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4498" w14:textId="6DCF95BF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D45116">
        <w:rPr>
          <w:rFonts w:ascii="Arial" w:hAnsi="Arial" w:cs="Arial"/>
          <w:b/>
          <w:sz w:val="24"/>
          <w:szCs w:val="24"/>
        </w:rPr>
        <w:t>2024/3667/NM</w:t>
      </w:r>
    </w:p>
    <w:p w14:paraId="06B8D81D" w14:textId="277AF373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D45116">
        <w:rPr>
          <w:rFonts w:ascii="Arial" w:hAnsi="Arial" w:cs="Arial"/>
          <w:b/>
          <w:sz w:val="24"/>
          <w:szCs w:val="24"/>
        </w:rPr>
        <w:t>241027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8EAAFF1" w14:textId="77777777" w:rsidR="00D45116" w:rsidRPr="00D45116" w:rsidRDefault="00D45116" w:rsidP="00D451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5116">
        <w:rPr>
          <w:rFonts w:ascii="Arial" w:hAnsi="Arial" w:cs="Arial"/>
          <w:b/>
          <w:bCs/>
          <w:sz w:val="24"/>
          <w:szCs w:val="24"/>
        </w:rPr>
        <w:t>AB&amp;C, s.r.o.</w:t>
      </w:r>
    </w:p>
    <w:p w14:paraId="1E6C83CC" w14:textId="77777777" w:rsidR="00D45116" w:rsidRPr="00D45116" w:rsidRDefault="00D45116" w:rsidP="00D45116">
      <w:pPr>
        <w:jc w:val="both"/>
        <w:rPr>
          <w:rFonts w:ascii="Arial" w:hAnsi="Arial" w:cs="Arial"/>
          <w:sz w:val="24"/>
          <w:szCs w:val="24"/>
        </w:rPr>
      </w:pPr>
      <w:r w:rsidRPr="00D45116">
        <w:rPr>
          <w:rFonts w:ascii="Arial" w:hAnsi="Arial" w:cs="Arial"/>
          <w:sz w:val="24"/>
          <w:szCs w:val="24"/>
        </w:rPr>
        <w:t>se sídlem: Milady Horákové 572/7, 251 01, Říčany, Radošovice</w:t>
      </w:r>
    </w:p>
    <w:p w14:paraId="4408FB61" w14:textId="77777777" w:rsidR="00D45116" w:rsidRPr="00D45116" w:rsidRDefault="00D45116" w:rsidP="00D45116">
      <w:pPr>
        <w:jc w:val="both"/>
        <w:rPr>
          <w:rFonts w:ascii="Arial" w:hAnsi="Arial" w:cs="Arial"/>
          <w:sz w:val="24"/>
          <w:szCs w:val="24"/>
        </w:rPr>
      </w:pPr>
      <w:r w:rsidRPr="00D45116">
        <w:rPr>
          <w:rFonts w:ascii="Arial" w:hAnsi="Arial" w:cs="Arial"/>
          <w:sz w:val="24"/>
          <w:szCs w:val="24"/>
        </w:rPr>
        <w:t>zastoupené: Ing. Milan Melichar, jednatel</w:t>
      </w:r>
    </w:p>
    <w:p w14:paraId="408BA171" w14:textId="77777777" w:rsidR="001E6C66" w:rsidRDefault="00D45116" w:rsidP="00D45116">
      <w:pPr>
        <w:jc w:val="both"/>
        <w:rPr>
          <w:rFonts w:ascii="Arial" w:hAnsi="Arial" w:cs="Arial"/>
          <w:sz w:val="24"/>
          <w:szCs w:val="24"/>
        </w:rPr>
      </w:pPr>
      <w:r w:rsidRPr="00D45116">
        <w:rPr>
          <w:rFonts w:ascii="Arial" w:hAnsi="Arial" w:cs="Arial"/>
          <w:sz w:val="24"/>
          <w:szCs w:val="24"/>
        </w:rPr>
        <w:t>IČ: 64583520</w:t>
      </w:r>
      <w:r w:rsidRPr="00D45116">
        <w:rPr>
          <w:rFonts w:ascii="Arial" w:hAnsi="Arial" w:cs="Arial"/>
          <w:sz w:val="24"/>
          <w:szCs w:val="24"/>
        </w:rPr>
        <w:tab/>
      </w:r>
    </w:p>
    <w:p w14:paraId="27A0A303" w14:textId="17695FC4" w:rsidR="00D45116" w:rsidRPr="00D45116" w:rsidRDefault="00D45116" w:rsidP="00D45116">
      <w:pPr>
        <w:jc w:val="both"/>
        <w:rPr>
          <w:rFonts w:ascii="Arial" w:hAnsi="Arial" w:cs="Arial"/>
          <w:sz w:val="24"/>
          <w:szCs w:val="24"/>
        </w:rPr>
      </w:pPr>
      <w:r w:rsidRPr="00D45116">
        <w:rPr>
          <w:rFonts w:ascii="Arial" w:hAnsi="Arial" w:cs="Arial"/>
          <w:sz w:val="24"/>
          <w:szCs w:val="24"/>
        </w:rPr>
        <w:t>DIČ: CZ64583520</w:t>
      </w:r>
    </w:p>
    <w:p w14:paraId="589A7DB5" w14:textId="18156A66" w:rsidR="00D45116" w:rsidRPr="00D45116" w:rsidRDefault="00D45116" w:rsidP="00D45116">
      <w:pPr>
        <w:jc w:val="both"/>
        <w:rPr>
          <w:rFonts w:ascii="Arial" w:hAnsi="Arial" w:cs="Arial"/>
          <w:sz w:val="24"/>
          <w:szCs w:val="24"/>
        </w:rPr>
      </w:pPr>
      <w:r w:rsidRPr="00D45116">
        <w:rPr>
          <w:rFonts w:ascii="Arial" w:hAnsi="Arial" w:cs="Arial"/>
          <w:sz w:val="24"/>
          <w:szCs w:val="24"/>
        </w:rPr>
        <w:t xml:space="preserve">bankovní spojení: </w:t>
      </w:r>
      <w:r w:rsidR="006F3AE9">
        <w:rPr>
          <w:rFonts w:ascii="Arial" w:hAnsi="Arial" w:cs="Arial"/>
          <w:sz w:val="24"/>
          <w:szCs w:val="24"/>
        </w:rPr>
        <w:t>xxxxxxxxxxxxxxxxxxxxxxxxxx</w:t>
      </w:r>
    </w:p>
    <w:p w14:paraId="39D57DDE" w14:textId="77777777" w:rsidR="00D45116" w:rsidRPr="00D45116" w:rsidRDefault="00D45116" w:rsidP="00D45116">
      <w:pPr>
        <w:jc w:val="both"/>
        <w:rPr>
          <w:rFonts w:ascii="Arial" w:hAnsi="Arial" w:cs="Arial"/>
          <w:bCs/>
          <w:sz w:val="24"/>
          <w:szCs w:val="24"/>
        </w:rPr>
      </w:pPr>
      <w:r w:rsidRPr="00D45116">
        <w:rPr>
          <w:rFonts w:ascii="Arial" w:hAnsi="Arial" w:cs="Arial"/>
          <w:bCs/>
          <w:sz w:val="24"/>
          <w:szCs w:val="24"/>
        </w:rPr>
        <w:t>(dále jen „prodávající“)</w:t>
      </w:r>
    </w:p>
    <w:p w14:paraId="03EBA5FE" w14:textId="77777777" w:rsidR="00135BB1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5EA8F67" w14:textId="77777777" w:rsidR="00D45116" w:rsidRPr="00587D3E" w:rsidRDefault="00D45116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1BE501EB" w14:textId="77777777" w:rsidR="000F0A38" w:rsidRPr="000F0A38" w:rsidRDefault="000F0A38" w:rsidP="000F0A38">
      <w:pPr>
        <w:jc w:val="both"/>
        <w:rPr>
          <w:rFonts w:ascii="Arial" w:hAnsi="Arial" w:cs="Arial"/>
          <w:bCs/>
          <w:sz w:val="24"/>
          <w:szCs w:val="24"/>
        </w:rPr>
      </w:pPr>
      <w:r w:rsidRPr="000F0A38">
        <w:rPr>
          <w:rFonts w:ascii="Arial" w:hAnsi="Arial" w:cs="Arial"/>
          <w:bCs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3B7B555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25B2C52A" w14:textId="6E082059" w:rsidR="007D6673" w:rsidRPr="007D6673" w:rsidRDefault="007D6673" w:rsidP="007D6673">
      <w:pPr>
        <w:jc w:val="both"/>
        <w:rPr>
          <w:rFonts w:ascii="Arial" w:hAnsi="Arial" w:cs="Arial"/>
          <w:sz w:val="24"/>
          <w:szCs w:val="24"/>
        </w:rPr>
      </w:pPr>
      <w:r w:rsidRPr="007D6673">
        <w:rPr>
          <w:rFonts w:ascii="Arial" w:hAnsi="Arial" w:cs="Arial"/>
          <w:sz w:val="24"/>
          <w:szCs w:val="24"/>
        </w:rPr>
        <w:t xml:space="preserve">kontaktní osoba: </w:t>
      </w:r>
      <w:r w:rsidR="006F3AE9">
        <w:rPr>
          <w:rFonts w:ascii="Arial" w:hAnsi="Arial" w:cs="Arial"/>
          <w:sz w:val="24"/>
          <w:szCs w:val="24"/>
        </w:rPr>
        <w:t>xxxxxxxxxxxxxxx</w:t>
      </w:r>
    </w:p>
    <w:p w14:paraId="5C193FA2" w14:textId="77777777" w:rsidR="00A92290" w:rsidRPr="00587D3E" w:rsidRDefault="00A92290" w:rsidP="00807875">
      <w:pPr>
        <w:jc w:val="both"/>
        <w:rPr>
          <w:rFonts w:ascii="Arial" w:hAnsi="Arial" w:cs="Arial"/>
          <w:sz w:val="24"/>
          <w:szCs w:val="24"/>
        </w:rPr>
      </w:pP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4533A85C" w:rsidR="00135BB1" w:rsidRPr="00587D3E" w:rsidRDefault="00135BB1" w:rsidP="00CB1B2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 xml:space="preserve">VZ </w:t>
      </w:r>
      <w:r w:rsidR="00137ED0">
        <w:rPr>
          <w:rFonts w:ascii="Arial" w:hAnsi="Arial" w:cs="Arial"/>
          <w:sz w:val="24"/>
          <w:szCs w:val="24"/>
        </w:rPr>
        <w:t>240196</w:t>
      </w:r>
      <w:r w:rsidR="00B83F93" w:rsidRPr="00587D3E">
        <w:rPr>
          <w:rFonts w:ascii="Arial" w:hAnsi="Arial" w:cs="Arial"/>
          <w:sz w:val="24"/>
          <w:szCs w:val="24"/>
        </w:rPr>
        <w:t xml:space="preserve">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4F232B62" w:rsidR="00135BB1" w:rsidRPr="00587D3E" w:rsidRDefault="00135BB1" w:rsidP="0FC3727D">
      <w:pPr>
        <w:pStyle w:val="Zkladntextodsazen"/>
        <w:numPr>
          <w:ilvl w:val="0"/>
          <w:numId w:val="5"/>
        </w:numPr>
        <w:spacing w:line="276" w:lineRule="auto"/>
        <w:rPr>
          <w:rFonts w:cs="Arial"/>
        </w:rPr>
      </w:pPr>
      <w:r w:rsidRPr="0FC3727D">
        <w:rPr>
          <w:rFonts w:cs="Arial"/>
        </w:rPr>
        <w:t xml:space="preserve">Prodávající je povinen předat </w:t>
      </w:r>
      <w:r w:rsidR="00031AA6" w:rsidRPr="0FC3727D">
        <w:rPr>
          <w:rFonts w:cs="Arial"/>
        </w:rPr>
        <w:t>věc</w:t>
      </w:r>
      <w:r w:rsidRPr="0FC3727D">
        <w:rPr>
          <w:rFonts w:cs="Arial"/>
        </w:rPr>
        <w:t xml:space="preserve"> kupujícímu dne </w:t>
      </w:r>
      <w:r w:rsidR="53E48298" w:rsidRPr="0FC3727D">
        <w:rPr>
          <w:rFonts w:cs="Arial"/>
        </w:rPr>
        <w:t>31.10.2024</w:t>
      </w:r>
      <w:r w:rsidRPr="0FC3727D">
        <w:rPr>
          <w:rFonts w:cs="Arial"/>
        </w:rPr>
        <w:t xml:space="preserve"> v</w:t>
      </w:r>
      <w:r w:rsidR="0087702E" w:rsidRPr="0FC3727D">
        <w:rPr>
          <w:rFonts w:cs="Arial"/>
        </w:rPr>
        <w:t> sídle kupujícího</w:t>
      </w:r>
      <w:r w:rsidRPr="0FC3727D">
        <w:rPr>
          <w:rFonts w:cs="Arial"/>
        </w:rPr>
        <w:t xml:space="preserve">. O předání </w:t>
      </w:r>
      <w:r w:rsidR="00031AA6" w:rsidRPr="0FC3727D">
        <w:rPr>
          <w:rFonts w:cs="Arial"/>
        </w:rPr>
        <w:t>věc</w:t>
      </w:r>
      <w:r w:rsidR="004D1D92" w:rsidRPr="0FC3727D">
        <w:rPr>
          <w:rFonts w:cs="Arial"/>
        </w:rPr>
        <w:t>i</w:t>
      </w:r>
      <w:r w:rsidRPr="0FC3727D">
        <w:rPr>
          <w:rFonts w:cs="Arial"/>
        </w:rPr>
        <w:t xml:space="preserve"> bude smluvními stranami sepsán předávací protokol. Nebezpečí škody na </w:t>
      </w:r>
      <w:r w:rsidR="00031AA6" w:rsidRPr="0FC3727D">
        <w:rPr>
          <w:rFonts w:cs="Arial"/>
        </w:rPr>
        <w:t>věc</w:t>
      </w:r>
      <w:r w:rsidR="004D1D92" w:rsidRPr="0FC3727D">
        <w:rPr>
          <w:rFonts w:cs="Arial"/>
        </w:rPr>
        <w:t>i</w:t>
      </w:r>
      <w:r w:rsidRPr="0FC3727D">
        <w:rPr>
          <w:rFonts w:cs="Arial"/>
        </w:rPr>
        <w:t xml:space="preserve"> přechází na kupujícího v </w:t>
      </w:r>
      <w:r w:rsidR="004D1D92" w:rsidRPr="0FC3727D">
        <w:rPr>
          <w:rFonts w:cs="Arial"/>
        </w:rPr>
        <w:t>okamžiku</w:t>
      </w:r>
      <w:r w:rsidRPr="0FC3727D">
        <w:rPr>
          <w:rFonts w:cs="Arial"/>
        </w:rPr>
        <w:t xml:space="preserve">, kdy převezme </w:t>
      </w:r>
      <w:r w:rsidR="00031AA6" w:rsidRPr="0FC3727D">
        <w:rPr>
          <w:rFonts w:cs="Arial"/>
        </w:rPr>
        <w:t>věc</w:t>
      </w:r>
      <w:r w:rsidRPr="0FC3727D">
        <w:rPr>
          <w:rFonts w:cs="Arial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47BD5194" w:rsidR="00135BB1" w:rsidRPr="00587D3E" w:rsidRDefault="004D1D92" w:rsidP="0FC3727D">
      <w:pPr>
        <w:pStyle w:val="Zkladntextodsazen"/>
        <w:numPr>
          <w:ilvl w:val="0"/>
          <w:numId w:val="1"/>
        </w:numPr>
        <w:spacing w:line="276" w:lineRule="auto"/>
        <w:rPr>
          <w:rFonts w:cs="Arial"/>
        </w:rPr>
      </w:pPr>
      <w:r w:rsidRPr="0FC3727D">
        <w:rPr>
          <w:rFonts w:cs="Arial"/>
        </w:rPr>
        <w:t xml:space="preserve">Kupující je povinen zaplatit </w:t>
      </w:r>
      <w:r w:rsidR="00135BB1" w:rsidRPr="0FC3727D">
        <w:rPr>
          <w:rFonts w:cs="Arial"/>
        </w:rPr>
        <w:t>prodávajícímu kupní cenu v</w:t>
      </w:r>
      <w:r w:rsidR="0087702E" w:rsidRPr="0FC3727D">
        <w:rPr>
          <w:rFonts w:cs="Arial"/>
        </w:rPr>
        <w:t>e</w:t>
      </w:r>
      <w:r w:rsidR="00135BB1" w:rsidRPr="0FC3727D">
        <w:rPr>
          <w:rFonts w:cs="Arial"/>
        </w:rPr>
        <w:t xml:space="preserve"> </w:t>
      </w:r>
      <w:r w:rsidR="007B2994" w:rsidRPr="0FC3727D">
        <w:rPr>
          <w:rFonts w:cs="Arial"/>
        </w:rPr>
        <w:t xml:space="preserve">výši </w:t>
      </w:r>
      <w:r w:rsidR="63725D8E" w:rsidRPr="0FC3727D">
        <w:rPr>
          <w:rFonts w:cs="Arial"/>
          <w:szCs w:val="24"/>
        </w:rPr>
        <w:t>920 000</w:t>
      </w:r>
      <w:r w:rsidR="00135BB1" w:rsidRPr="0FC3727D">
        <w:rPr>
          <w:rFonts w:cs="Arial"/>
          <w:szCs w:val="24"/>
        </w:rPr>
        <w:t xml:space="preserve">,- Kč </w:t>
      </w:r>
      <w:r w:rsidR="0087702E" w:rsidRPr="0FC3727D">
        <w:rPr>
          <w:rFonts w:cs="Arial"/>
        </w:rPr>
        <w:t xml:space="preserve">+ DPH ve výši </w:t>
      </w:r>
      <w:r w:rsidR="4572899A" w:rsidRPr="0FC3727D">
        <w:rPr>
          <w:rFonts w:cs="Arial"/>
        </w:rPr>
        <w:t>193 200,-</w:t>
      </w:r>
      <w:r w:rsidR="0087702E" w:rsidRPr="0FC3727D">
        <w:rPr>
          <w:rFonts w:cs="Arial"/>
        </w:rPr>
        <w:t xml:space="preserve"> Kč, celkem </w:t>
      </w:r>
      <w:r w:rsidR="007B2994" w:rsidRPr="0FC3727D">
        <w:rPr>
          <w:rFonts w:cs="Arial"/>
        </w:rPr>
        <w:t xml:space="preserve">vč. DPH </w:t>
      </w:r>
      <w:r w:rsidR="1EB87305" w:rsidRPr="0FC3727D">
        <w:rPr>
          <w:rFonts w:cs="Arial"/>
        </w:rPr>
        <w:t>1 113 200,-</w:t>
      </w:r>
      <w:r w:rsidR="0087702E" w:rsidRPr="0FC3727D">
        <w:rPr>
          <w:rFonts w:cs="Arial"/>
        </w:rPr>
        <w:t>Kč</w:t>
      </w:r>
      <w:r w:rsidR="00135BB1" w:rsidRPr="0FC3727D">
        <w:rPr>
          <w:rFonts w:cs="Arial"/>
        </w:rPr>
        <w:t>.</w:t>
      </w:r>
    </w:p>
    <w:p w14:paraId="03EBA61D" w14:textId="77777777" w:rsidR="00135BB1" w:rsidRPr="00587D3E" w:rsidRDefault="00135BB1" w:rsidP="0FC3727D">
      <w:pPr>
        <w:pStyle w:val="Zkladntextodsazen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FC3727D">
        <w:rPr>
          <w:rFonts w:ascii="Arial" w:hAnsi="Arial" w:cs="Arial"/>
        </w:rPr>
        <w:t xml:space="preserve">Kupní cena bude kupujícím zaplacena na základě </w:t>
      </w:r>
      <w:r w:rsidR="004D1D92" w:rsidRPr="0FC3727D">
        <w:rPr>
          <w:rFonts w:ascii="Arial" w:hAnsi="Arial" w:cs="Arial"/>
        </w:rPr>
        <w:t xml:space="preserve">daňového dokladu </w:t>
      </w:r>
      <w:r w:rsidRPr="0FC3727D">
        <w:rPr>
          <w:rFonts w:ascii="Arial" w:hAnsi="Arial" w:cs="Arial"/>
        </w:rPr>
        <w:t>vystavené</w:t>
      </w:r>
      <w:r w:rsidR="004D1D92" w:rsidRPr="0FC3727D">
        <w:rPr>
          <w:rFonts w:ascii="Arial" w:hAnsi="Arial" w:cs="Arial"/>
        </w:rPr>
        <w:t>ho</w:t>
      </w:r>
      <w:r w:rsidRPr="0FC3727D">
        <w:rPr>
          <w:rFonts w:ascii="Arial" w:hAnsi="Arial" w:cs="Arial"/>
        </w:rPr>
        <w:t xml:space="preserve"> prodávajícím. Prodávající vystaví </w:t>
      </w:r>
      <w:r w:rsidR="004D1D92" w:rsidRPr="0FC3727D">
        <w:rPr>
          <w:rFonts w:ascii="Arial" w:hAnsi="Arial" w:cs="Arial"/>
        </w:rPr>
        <w:t xml:space="preserve">daňový doklad </w:t>
      </w:r>
      <w:r w:rsidRPr="0FC3727D">
        <w:rPr>
          <w:rFonts w:ascii="Arial" w:hAnsi="Arial" w:cs="Arial"/>
        </w:rPr>
        <w:t xml:space="preserve">po předání </w:t>
      </w:r>
      <w:r w:rsidR="004D1D92" w:rsidRPr="0FC3727D">
        <w:rPr>
          <w:rFonts w:ascii="Arial" w:hAnsi="Arial" w:cs="Arial"/>
        </w:rPr>
        <w:t>věci kupujícímu</w:t>
      </w:r>
      <w:r w:rsidRPr="0FC3727D">
        <w:rPr>
          <w:rFonts w:ascii="Arial" w:hAnsi="Arial" w:cs="Arial"/>
        </w:rPr>
        <w:t xml:space="preserve">. </w:t>
      </w:r>
      <w:r w:rsidR="004D1D92" w:rsidRPr="0FC3727D">
        <w:rPr>
          <w:rFonts w:ascii="Arial" w:hAnsi="Arial" w:cs="Arial"/>
        </w:rPr>
        <w:t xml:space="preserve">Daňový doklad </w:t>
      </w:r>
      <w:r w:rsidRPr="0FC3727D">
        <w:rPr>
          <w:rFonts w:ascii="Arial" w:hAnsi="Arial" w:cs="Arial"/>
        </w:rPr>
        <w:t>vystaven</w:t>
      </w:r>
      <w:r w:rsidR="004D1D92" w:rsidRPr="0FC3727D">
        <w:rPr>
          <w:rFonts w:ascii="Arial" w:hAnsi="Arial" w:cs="Arial"/>
        </w:rPr>
        <w:t>ý</w:t>
      </w:r>
      <w:r w:rsidRPr="0FC3727D">
        <w:rPr>
          <w:rFonts w:ascii="Arial" w:hAnsi="Arial" w:cs="Arial"/>
        </w:rPr>
        <w:t xml:space="preserve"> prodávajícím bude splatn</w:t>
      </w:r>
      <w:r w:rsidR="004D1D92" w:rsidRPr="0FC3727D">
        <w:rPr>
          <w:rFonts w:ascii="Arial" w:hAnsi="Arial" w:cs="Arial"/>
        </w:rPr>
        <w:t>ý</w:t>
      </w:r>
      <w:r w:rsidRPr="0FC3727D">
        <w:rPr>
          <w:rFonts w:ascii="Arial" w:hAnsi="Arial" w:cs="Arial"/>
        </w:rPr>
        <w:t xml:space="preserve"> ve lhůtě 15 dnů od</w:t>
      </w:r>
      <w:r w:rsidR="004D1D92" w:rsidRPr="0FC3727D">
        <w:rPr>
          <w:rFonts w:ascii="Arial" w:hAnsi="Arial" w:cs="Arial"/>
        </w:rPr>
        <w:t>e dne</w:t>
      </w:r>
      <w:r w:rsidRPr="0FC3727D">
        <w:rPr>
          <w:rFonts w:ascii="Arial" w:hAnsi="Arial" w:cs="Arial"/>
        </w:rPr>
        <w:t xml:space="preserve"> </w:t>
      </w:r>
      <w:r w:rsidR="004D1D92" w:rsidRPr="0FC3727D">
        <w:rPr>
          <w:rFonts w:ascii="Arial" w:hAnsi="Arial" w:cs="Arial"/>
        </w:rPr>
        <w:t>jeho</w:t>
      </w:r>
      <w:r w:rsidRPr="0FC3727D">
        <w:rPr>
          <w:rFonts w:ascii="Arial" w:hAnsi="Arial" w:cs="Arial"/>
        </w:rPr>
        <w:t xml:space="preserve"> vystavení.</w:t>
      </w:r>
    </w:p>
    <w:p w14:paraId="03EBA61E" w14:textId="77777777" w:rsidR="002F14D0" w:rsidRPr="00587D3E" w:rsidRDefault="002F14D0" w:rsidP="0FC3727D">
      <w:pPr>
        <w:pStyle w:val="Zkladntextodsazen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FC3727D">
        <w:rPr>
          <w:rFonts w:ascii="Arial" w:hAnsi="Arial" w:cs="Arial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FC3727D">
      <w:pPr>
        <w:pStyle w:val="Zkladntextodsazen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FC3727D">
        <w:rPr>
          <w:rFonts w:ascii="Arial" w:hAnsi="Arial" w:cs="Arial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FC3727D">
        <w:rPr>
          <w:rFonts w:ascii="Arial" w:hAnsi="Arial" w:cs="Arial"/>
        </w:rPr>
        <w:t>řádně vystaveného</w:t>
      </w:r>
      <w:r w:rsidRPr="0FC3727D">
        <w:rPr>
          <w:rFonts w:ascii="Arial" w:hAnsi="Arial" w:cs="Arial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ust.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9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lastRenderedPageBreak/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C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77777777" w:rsidR="00EB6B79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7D3E">
              <w:rPr>
                <w:rFonts w:ascii="Arial" w:hAnsi="Arial" w:cs="Arial"/>
                <w:i/>
                <w:sz w:val="24"/>
                <w:szCs w:val="24"/>
              </w:rPr>
              <w:t>jméno a funkce</w:t>
            </w:r>
          </w:p>
          <w:p w14:paraId="03EBA656" w14:textId="77777777" w:rsidR="006B0546" w:rsidRPr="00587D3E" w:rsidRDefault="006B0546" w:rsidP="00E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77777777" w:rsidR="00EB6B79" w:rsidRPr="00587D3E" w:rsidRDefault="00EB6B79" w:rsidP="00EB6B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7D3E">
              <w:rPr>
                <w:rFonts w:ascii="Arial" w:hAnsi="Arial" w:cs="Arial"/>
                <w:i/>
                <w:sz w:val="24"/>
                <w:szCs w:val="24"/>
              </w:rPr>
              <w:t>jméno a funkce</w:t>
            </w:r>
          </w:p>
          <w:p w14:paraId="03EBA659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D2236B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DB8EBA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08B91E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42FEE7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09D17E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AF7769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C7A8E6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06CCED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8DBACF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BEE42F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7CA5EF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EA6688" w14:textId="77777777" w:rsidR="00137ED0" w:rsidRDefault="00137ED0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4FCA72" w14:textId="3DE2ACA9" w:rsidR="00137ED0" w:rsidRDefault="00137ED0" w:rsidP="0FC3727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6C66">
        <w:rPr>
          <w:rFonts w:ascii="Arial" w:hAnsi="Arial" w:cs="Arial"/>
          <w:b/>
          <w:bCs/>
          <w:sz w:val="24"/>
          <w:szCs w:val="24"/>
        </w:rPr>
        <w:t>Příloha č. 1</w:t>
      </w:r>
    </w:p>
    <w:p w14:paraId="0CB9C0BA" w14:textId="77777777" w:rsidR="00C45141" w:rsidRPr="001E6C66" w:rsidRDefault="00C45141" w:rsidP="0FC3727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249F63" w14:textId="13399383" w:rsidR="00E459DF" w:rsidRDefault="330BDCE2" w:rsidP="00C45141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FC3727D">
        <w:rPr>
          <w:rFonts w:ascii="Arial" w:hAnsi="Arial" w:cs="Arial"/>
          <w:sz w:val="24"/>
          <w:szCs w:val="24"/>
          <w:lang w:val="en-US"/>
        </w:rPr>
        <w:t>Magnetofon</w:t>
      </w:r>
      <w:r w:rsidR="00C45141">
        <w:rPr>
          <w:rFonts w:ascii="Arial" w:hAnsi="Arial" w:cs="Arial"/>
          <w:sz w:val="24"/>
          <w:szCs w:val="24"/>
          <w:lang w:val="en-US"/>
        </w:rPr>
        <w:t xml:space="preserve"> </w:t>
      </w:r>
      <w:r w:rsidRPr="0FC3727D">
        <w:rPr>
          <w:rFonts w:ascii="Arial" w:hAnsi="Arial" w:cs="Arial"/>
          <w:sz w:val="24"/>
          <w:szCs w:val="24"/>
          <w:lang w:val="en-US"/>
        </w:rPr>
        <w:t>Studer A80</w:t>
      </w:r>
      <w:r w:rsidR="73AA2DA4" w:rsidRPr="0FC3727D">
        <w:rPr>
          <w:rFonts w:ascii="Arial" w:hAnsi="Arial" w:cs="Arial"/>
          <w:sz w:val="24"/>
          <w:szCs w:val="24"/>
          <w:lang w:val="en-US"/>
        </w:rPr>
        <w:t xml:space="preserve"> a jeho specializované nastavení</w:t>
      </w:r>
      <w:r w:rsidR="00E459DF">
        <w:br/>
      </w:r>
      <w:r w:rsidR="2D1C0C68" w:rsidRPr="0FC3727D">
        <w:rPr>
          <w:rFonts w:ascii="Arial" w:hAnsi="Arial" w:cs="Arial"/>
          <w:sz w:val="24"/>
          <w:szCs w:val="24"/>
          <w:lang w:val="en-US"/>
        </w:rPr>
        <w:t>Gramofon Stanton ST150</w:t>
      </w:r>
      <w:r w:rsidR="3B9E9A2F" w:rsidRPr="0FC3727D">
        <w:rPr>
          <w:rFonts w:ascii="Arial" w:hAnsi="Arial" w:cs="Arial"/>
          <w:sz w:val="24"/>
          <w:szCs w:val="24"/>
          <w:lang w:val="en-US"/>
        </w:rPr>
        <w:t xml:space="preserve"> a jeho specializované nastavení</w:t>
      </w:r>
    </w:p>
    <w:p w14:paraId="3A9EB03B" w14:textId="4B9C6746" w:rsidR="3B9E9A2F" w:rsidRDefault="3B9E9A2F" w:rsidP="00C45141">
      <w:pPr>
        <w:spacing w:line="276" w:lineRule="auto"/>
        <w:rPr>
          <w:rFonts w:ascii="Arial" w:hAnsi="Arial" w:cs="Arial"/>
          <w:sz w:val="24"/>
          <w:szCs w:val="24"/>
        </w:rPr>
      </w:pPr>
      <w:r w:rsidRPr="0FC3727D">
        <w:rPr>
          <w:rFonts w:ascii="Arial" w:hAnsi="Arial" w:cs="Arial"/>
          <w:sz w:val="24"/>
          <w:szCs w:val="24"/>
        </w:rPr>
        <w:t>DAW stanice pro digitalizaci magnetofonových pásů</w:t>
      </w:r>
      <w:r w:rsidR="28C9D281" w:rsidRPr="0FC3727D">
        <w:rPr>
          <w:rFonts w:ascii="Arial" w:hAnsi="Arial" w:cs="Arial"/>
          <w:sz w:val="24"/>
          <w:szCs w:val="24"/>
        </w:rPr>
        <w:t xml:space="preserve"> a její nastavení </w:t>
      </w:r>
    </w:p>
    <w:p w14:paraId="3BBE2BDA" w14:textId="69908606" w:rsidR="28C9D281" w:rsidRDefault="28C9D281" w:rsidP="00C45141">
      <w:pPr>
        <w:spacing w:line="276" w:lineRule="auto"/>
        <w:rPr>
          <w:rFonts w:ascii="Arial" w:hAnsi="Arial" w:cs="Arial"/>
          <w:sz w:val="24"/>
          <w:szCs w:val="24"/>
        </w:rPr>
      </w:pPr>
      <w:r w:rsidRPr="0FC3727D">
        <w:rPr>
          <w:rFonts w:ascii="Arial" w:hAnsi="Arial" w:cs="Arial"/>
          <w:sz w:val="24"/>
          <w:szCs w:val="24"/>
        </w:rPr>
        <w:t>DAW stanice pro úpravu obrazu a její nastavení</w:t>
      </w:r>
    </w:p>
    <w:p w14:paraId="40321A1E" w14:textId="57FC6730" w:rsidR="5578C796" w:rsidRDefault="5578C796" w:rsidP="00C45141">
      <w:pPr>
        <w:spacing w:line="276" w:lineRule="auto"/>
        <w:rPr>
          <w:rFonts w:ascii="Arial" w:hAnsi="Arial" w:cs="Arial"/>
          <w:sz w:val="24"/>
          <w:szCs w:val="24"/>
        </w:rPr>
      </w:pPr>
      <w:r w:rsidRPr="0FC3727D">
        <w:rPr>
          <w:rFonts w:ascii="Arial" w:hAnsi="Arial" w:cs="Arial"/>
          <w:sz w:val="24"/>
          <w:szCs w:val="24"/>
        </w:rPr>
        <w:t>3x software Izotop RX 11</w:t>
      </w:r>
    </w:p>
    <w:p w14:paraId="6FC5300F" w14:textId="7695D0E9" w:rsidR="0FC3727D" w:rsidRDefault="0FC3727D" w:rsidP="0FC372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FC3727D" w:rsidSect="00236196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B731" w14:textId="77777777" w:rsidR="00776953" w:rsidRDefault="00776953">
      <w:r>
        <w:separator/>
      </w:r>
    </w:p>
  </w:endnote>
  <w:endnote w:type="continuationSeparator" w:id="0">
    <w:p w14:paraId="3AD21D6D" w14:textId="77777777" w:rsidR="00776953" w:rsidRDefault="0077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EB71" w14:textId="77777777" w:rsidR="00776953" w:rsidRDefault="00776953">
      <w:r>
        <w:separator/>
      </w:r>
    </w:p>
  </w:footnote>
  <w:footnote w:type="continuationSeparator" w:id="0">
    <w:p w14:paraId="5F4563CE" w14:textId="77777777" w:rsidR="00776953" w:rsidRDefault="0077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3E21F785"/>
    <w:multiLevelType w:val="hybridMultilevel"/>
    <w:tmpl w:val="585420E4"/>
    <w:lvl w:ilvl="0" w:tplc="2E04C822">
      <w:start w:val="1"/>
      <w:numFmt w:val="decimal"/>
      <w:lvlText w:val="%1."/>
      <w:lvlJc w:val="left"/>
      <w:pPr>
        <w:ind w:left="720" w:hanging="360"/>
      </w:pPr>
    </w:lvl>
    <w:lvl w:ilvl="1" w:tplc="44CA62C4">
      <w:start w:val="1"/>
      <w:numFmt w:val="lowerLetter"/>
      <w:lvlText w:val="%2."/>
      <w:lvlJc w:val="left"/>
      <w:pPr>
        <w:ind w:left="1440" w:hanging="360"/>
      </w:pPr>
    </w:lvl>
    <w:lvl w:ilvl="2" w:tplc="916ECFFE">
      <w:start w:val="1"/>
      <w:numFmt w:val="lowerRoman"/>
      <w:lvlText w:val="%3."/>
      <w:lvlJc w:val="right"/>
      <w:pPr>
        <w:ind w:left="2160" w:hanging="180"/>
      </w:pPr>
    </w:lvl>
    <w:lvl w:ilvl="3" w:tplc="FB7EC740">
      <w:start w:val="1"/>
      <w:numFmt w:val="decimal"/>
      <w:lvlText w:val="%4."/>
      <w:lvlJc w:val="left"/>
      <w:pPr>
        <w:ind w:left="2880" w:hanging="360"/>
      </w:pPr>
    </w:lvl>
    <w:lvl w:ilvl="4" w:tplc="706A1B3C">
      <w:start w:val="1"/>
      <w:numFmt w:val="lowerLetter"/>
      <w:lvlText w:val="%5."/>
      <w:lvlJc w:val="left"/>
      <w:pPr>
        <w:ind w:left="3600" w:hanging="360"/>
      </w:pPr>
    </w:lvl>
    <w:lvl w:ilvl="5" w:tplc="42F2CDD0">
      <w:start w:val="1"/>
      <w:numFmt w:val="lowerRoman"/>
      <w:lvlText w:val="%6."/>
      <w:lvlJc w:val="right"/>
      <w:pPr>
        <w:ind w:left="4320" w:hanging="180"/>
      </w:pPr>
    </w:lvl>
    <w:lvl w:ilvl="6" w:tplc="31981298">
      <w:start w:val="1"/>
      <w:numFmt w:val="decimal"/>
      <w:lvlText w:val="%7."/>
      <w:lvlJc w:val="left"/>
      <w:pPr>
        <w:ind w:left="5040" w:hanging="360"/>
      </w:pPr>
    </w:lvl>
    <w:lvl w:ilvl="7" w:tplc="C7885E12">
      <w:start w:val="1"/>
      <w:numFmt w:val="lowerLetter"/>
      <w:lvlText w:val="%8."/>
      <w:lvlJc w:val="left"/>
      <w:pPr>
        <w:ind w:left="5760" w:hanging="360"/>
      </w:pPr>
    </w:lvl>
    <w:lvl w:ilvl="8" w:tplc="3ECC79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1696586">
    <w:abstractNumId w:val="7"/>
  </w:num>
  <w:num w:numId="2" w16cid:durableId="1769765043">
    <w:abstractNumId w:val="12"/>
  </w:num>
  <w:num w:numId="3" w16cid:durableId="684936860">
    <w:abstractNumId w:val="9"/>
  </w:num>
  <w:num w:numId="4" w16cid:durableId="1238856995">
    <w:abstractNumId w:val="10"/>
  </w:num>
  <w:num w:numId="5" w16cid:durableId="501703196">
    <w:abstractNumId w:val="1"/>
  </w:num>
  <w:num w:numId="6" w16cid:durableId="974875113">
    <w:abstractNumId w:val="13"/>
  </w:num>
  <w:num w:numId="7" w16cid:durableId="1080060152">
    <w:abstractNumId w:val="2"/>
  </w:num>
  <w:num w:numId="8" w16cid:durableId="923026887">
    <w:abstractNumId w:val="11"/>
  </w:num>
  <w:num w:numId="9" w16cid:durableId="1929919030">
    <w:abstractNumId w:val="0"/>
  </w:num>
  <w:num w:numId="10" w16cid:durableId="326524034">
    <w:abstractNumId w:val="8"/>
  </w:num>
  <w:num w:numId="11" w16cid:durableId="557593275">
    <w:abstractNumId w:val="3"/>
  </w:num>
  <w:num w:numId="12" w16cid:durableId="1324890763">
    <w:abstractNumId w:val="4"/>
  </w:num>
  <w:num w:numId="13" w16cid:durableId="1310939029">
    <w:abstractNumId w:val="5"/>
  </w:num>
  <w:num w:numId="14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684B"/>
    <w:rsid w:val="00086964"/>
    <w:rsid w:val="00094D44"/>
    <w:rsid w:val="000A00EB"/>
    <w:rsid w:val="000B4ACC"/>
    <w:rsid w:val="000C5A20"/>
    <w:rsid w:val="000C61F6"/>
    <w:rsid w:val="000F0A38"/>
    <w:rsid w:val="00134E01"/>
    <w:rsid w:val="00135BB1"/>
    <w:rsid w:val="00137ED0"/>
    <w:rsid w:val="00171B43"/>
    <w:rsid w:val="00195BDA"/>
    <w:rsid w:val="001A2B7A"/>
    <w:rsid w:val="001D0730"/>
    <w:rsid w:val="001D40F1"/>
    <w:rsid w:val="001E6C66"/>
    <w:rsid w:val="002116E8"/>
    <w:rsid w:val="00232C5F"/>
    <w:rsid w:val="00236196"/>
    <w:rsid w:val="0025451D"/>
    <w:rsid w:val="00254CB7"/>
    <w:rsid w:val="00266C0C"/>
    <w:rsid w:val="002759C2"/>
    <w:rsid w:val="00291328"/>
    <w:rsid w:val="002A3C3C"/>
    <w:rsid w:val="002C2379"/>
    <w:rsid w:val="002E0AFB"/>
    <w:rsid w:val="002E350C"/>
    <w:rsid w:val="002F14D0"/>
    <w:rsid w:val="002F2107"/>
    <w:rsid w:val="00315299"/>
    <w:rsid w:val="00332377"/>
    <w:rsid w:val="00337FF2"/>
    <w:rsid w:val="00377A24"/>
    <w:rsid w:val="00391EBA"/>
    <w:rsid w:val="003976A5"/>
    <w:rsid w:val="003A16C2"/>
    <w:rsid w:val="00410EB7"/>
    <w:rsid w:val="0043425F"/>
    <w:rsid w:val="00436EBE"/>
    <w:rsid w:val="00440B47"/>
    <w:rsid w:val="00446BF8"/>
    <w:rsid w:val="00483A50"/>
    <w:rsid w:val="004B33AB"/>
    <w:rsid w:val="004C2C7D"/>
    <w:rsid w:val="004D04A4"/>
    <w:rsid w:val="004D1D92"/>
    <w:rsid w:val="004E1DA6"/>
    <w:rsid w:val="00536C02"/>
    <w:rsid w:val="00553625"/>
    <w:rsid w:val="00563019"/>
    <w:rsid w:val="00587D3E"/>
    <w:rsid w:val="005B1086"/>
    <w:rsid w:val="005E3F58"/>
    <w:rsid w:val="0065096B"/>
    <w:rsid w:val="00653D99"/>
    <w:rsid w:val="0069320A"/>
    <w:rsid w:val="006B0546"/>
    <w:rsid w:val="006C302C"/>
    <w:rsid w:val="006F3AE9"/>
    <w:rsid w:val="006F58B8"/>
    <w:rsid w:val="006F5B9A"/>
    <w:rsid w:val="006F6820"/>
    <w:rsid w:val="0070490D"/>
    <w:rsid w:val="00734455"/>
    <w:rsid w:val="00734668"/>
    <w:rsid w:val="007677E5"/>
    <w:rsid w:val="00776953"/>
    <w:rsid w:val="007825B1"/>
    <w:rsid w:val="007B0EBB"/>
    <w:rsid w:val="007B16BA"/>
    <w:rsid w:val="007B2994"/>
    <w:rsid w:val="007C4A67"/>
    <w:rsid w:val="007D6673"/>
    <w:rsid w:val="007E5BDA"/>
    <w:rsid w:val="00807875"/>
    <w:rsid w:val="0082484E"/>
    <w:rsid w:val="008274ED"/>
    <w:rsid w:val="00866BCE"/>
    <w:rsid w:val="0087702E"/>
    <w:rsid w:val="008872C1"/>
    <w:rsid w:val="008A289C"/>
    <w:rsid w:val="008B65C0"/>
    <w:rsid w:val="008C26F2"/>
    <w:rsid w:val="008D28E2"/>
    <w:rsid w:val="008E0B43"/>
    <w:rsid w:val="00930F9F"/>
    <w:rsid w:val="0093262F"/>
    <w:rsid w:val="00957820"/>
    <w:rsid w:val="00996521"/>
    <w:rsid w:val="009A6026"/>
    <w:rsid w:val="009F2B03"/>
    <w:rsid w:val="00A23393"/>
    <w:rsid w:val="00A34FC3"/>
    <w:rsid w:val="00A55667"/>
    <w:rsid w:val="00A92290"/>
    <w:rsid w:val="00AA51BA"/>
    <w:rsid w:val="00AB7062"/>
    <w:rsid w:val="00AE50A2"/>
    <w:rsid w:val="00B07093"/>
    <w:rsid w:val="00B2055B"/>
    <w:rsid w:val="00B61B47"/>
    <w:rsid w:val="00B634FA"/>
    <w:rsid w:val="00B7420F"/>
    <w:rsid w:val="00B83F93"/>
    <w:rsid w:val="00B860CE"/>
    <w:rsid w:val="00BA07EA"/>
    <w:rsid w:val="00BD7B58"/>
    <w:rsid w:val="00C34B54"/>
    <w:rsid w:val="00C45141"/>
    <w:rsid w:val="00C73BB9"/>
    <w:rsid w:val="00C80D98"/>
    <w:rsid w:val="00CB1B2A"/>
    <w:rsid w:val="00CC0185"/>
    <w:rsid w:val="00CC6DDA"/>
    <w:rsid w:val="00CE0D2D"/>
    <w:rsid w:val="00D45116"/>
    <w:rsid w:val="00D51A52"/>
    <w:rsid w:val="00DC724C"/>
    <w:rsid w:val="00DF2D45"/>
    <w:rsid w:val="00E03E97"/>
    <w:rsid w:val="00E36A0C"/>
    <w:rsid w:val="00E40CD7"/>
    <w:rsid w:val="00E417A2"/>
    <w:rsid w:val="00E452B7"/>
    <w:rsid w:val="00E459DF"/>
    <w:rsid w:val="00E5272F"/>
    <w:rsid w:val="00E57A41"/>
    <w:rsid w:val="00E639DF"/>
    <w:rsid w:val="00E7166C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D12F9"/>
    <w:rsid w:val="0889837A"/>
    <w:rsid w:val="0D1BA147"/>
    <w:rsid w:val="0FC3727D"/>
    <w:rsid w:val="105DE6EA"/>
    <w:rsid w:val="1C2C7508"/>
    <w:rsid w:val="1EB87305"/>
    <w:rsid w:val="28C9D281"/>
    <w:rsid w:val="29796468"/>
    <w:rsid w:val="2D1C0C68"/>
    <w:rsid w:val="32C54412"/>
    <w:rsid w:val="330BDCE2"/>
    <w:rsid w:val="3818B17C"/>
    <w:rsid w:val="3B9E9A2F"/>
    <w:rsid w:val="4572899A"/>
    <w:rsid w:val="4D94B4D4"/>
    <w:rsid w:val="53E48298"/>
    <w:rsid w:val="5578C796"/>
    <w:rsid w:val="63725D8E"/>
    <w:rsid w:val="64BBE7CA"/>
    <w:rsid w:val="68AF560D"/>
    <w:rsid w:val="69CA15E3"/>
    <w:rsid w:val="6E806524"/>
    <w:rsid w:val="73AA2DA4"/>
    <w:rsid w:val="76403BC3"/>
    <w:rsid w:val="7F90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f5ef8-f81d-46f1-95e3-d6b7f00103cc">
      <Terms xmlns="http://schemas.microsoft.com/office/infopath/2007/PartnerControls"/>
    </lcf76f155ced4ddcb4097134ff3c332f>
    <TaxCatchAll xmlns="534f648b-b294-475d-9f2d-4bbf7100df45" xsi:nil="true"/>
    <SharedWithUsers xmlns="534f648b-b294-475d-9f2d-4bbf7100df45">
      <UserInfo>
        <DisplayName>Mejzr Martin</DisplayName>
        <AccountId>133</AccountId>
        <AccountType/>
      </UserInfo>
      <UserInfo>
        <DisplayName>Šír Filip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857EED4221D4C9CA8F4176B188243" ma:contentTypeVersion="18" ma:contentTypeDescription="Vytvoří nový dokument" ma:contentTypeScope="" ma:versionID="f746e7d49ac73978719532b990d3294f">
  <xsd:schema xmlns:xsd="http://www.w3.org/2001/XMLSchema" xmlns:xs="http://www.w3.org/2001/XMLSchema" xmlns:p="http://schemas.microsoft.com/office/2006/metadata/properties" xmlns:ns2="534f648b-b294-475d-9f2d-4bbf7100df45" xmlns:ns3="e5ff5ef8-f81d-46f1-95e3-d6b7f00103cc" targetNamespace="http://schemas.microsoft.com/office/2006/metadata/properties" ma:root="true" ma:fieldsID="54822164f290d40f3da961712be7bfd8" ns2:_="" ns3:_="">
    <xsd:import namespace="534f648b-b294-475d-9f2d-4bbf7100df45"/>
    <xsd:import namespace="e5ff5ef8-f81d-46f1-95e3-d6b7f0010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648b-b294-475d-9f2d-4bbf7100d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759721-a636-49ee-b696-cfb04c825f31}" ma:internalName="TaxCatchAll" ma:showField="CatchAllData" ma:web="534f648b-b294-475d-9f2d-4bbf7100d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5ef8-f81d-46f1-95e3-d6b7f0010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5ff5ef8-f81d-46f1-95e3-d6b7f00103cc"/>
    <ds:schemaRef ds:uri="534f648b-b294-475d-9f2d-4bbf7100df45"/>
  </ds:schemaRefs>
</ds:datastoreItem>
</file>

<file path=customXml/itemProps2.xml><?xml version="1.0" encoding="utf-8"?>
<ds:datastoreItem xmlns:ds="http://schemas.openxmlformats.org/officeDocument/2006/customXml" ds:itemID="{98053E4C-F371-43DB-8F95-C82E22A5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f648b-b294-475d-9f2d-4bbf7100df45"/>
    <ds:schemaRef ds:uri="e5ff5ef8-f81d-46f1-95e3-d6b7f001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4180</Characters>
  <Application>Microsoft Office Word</Application>
  <DocSecurity>0</DocSecurity>
  <Lines>34</Lines>
  <Paragraphs>9</Paragraphs>
  <ScaleCrop>false</ScaleCrop>
  <Company>AK Nipl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2007-01-18T13:22:00Z</cp:lastPrinted>
  <dcterms:created xsi:type="dcterms:W3CDTF">2024-09-23T08:31:00Z</dcterms:created>
  <dcterms:modified xsi:type="dcterms:W3CDTF">2024-09-23T08:31:00Z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0x01010000A857EED4221D4C9CA8F4176B188243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