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310/2024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266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“VD Podhora – domek hrázného”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tabs>
          <w:tab w:pos="2807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tabs>
          <w:tab w:pos="2807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27"/>
      <w:bookmarkEnd w:id="28"/>
      <w:bookmarkEnd w:id="2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</w:t>
      </w:r>
      <w:bookmarkEnd w:id="30"/>
      <w:bookmarkEnd w:id="31"/>
      <w:bookmarkEnd w:id="3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33"/>
      <w:bookmarkEnd w:id="34"/>
      <w:bookmarkEnd w:id="3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36"/>
      <w:bookmarkEnd w:id="37"/>
      <w:bookmarkEnd w:id="38"/>
    </w:p>
    <w:p>
      <w:pPr>
        <w:pStyle w:val="Style2"/>
        <w:keepNext/>
        <w:keepLines/>
        <w:widowControl w:val="0"/>
        <w:shd w:val="clear" w:color="auto" w:fill="auto"/>
        <w:tabs>
          <w:tab w:pos="2807" w:val="left"/>
        </w:tabs>
        <w:bidi w:val="0"/>
        <w:spacing w:before="0" w:after="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9"/>
      <w:bookmarkEnd w:id="40"/>
      <w:bookmarkEnd w:id="41"/>
    </w:p>
    <w:p>
      <w:pPr>
        <w:pStyle w:val="Style2"/>
        <w:keepNext/>
        <w:keepLines/>
        <w:widowControl w:val="0"/>
        <w:shd w:val="clear" w:color="auto" w:fill="auto"/>
        <w:tabs>
          <w:tab w:pos="2807" w:val="left"/>
        </w:tabs>
        <w:bidi w:val="0"/>
        <w:spacing w:before="0" w:after="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42"/>
      <w:bookmarkEnd w:id="43"/>
      <w:bookmarkEnd w:id="4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45"/>
      <w:bookmarkEnd w:id="46"/>
      <w:bookmarkEnd w:id="4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8"/>
      <w:bookmarkEnd w:id="49"/>
      <w:bookmarkEnd w:id="5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51"/>
      <w:bookmarkEnd w:id="52"/>
      <w:bookmarkEnd w:id="5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54"/>
      <w:bookmarkEnd w:id="55"/>
      <w:bookmarkEnd w:id="56"/>
    </w:p>
    <w:p>
      <w:pPr>
        <w:pStyle w:val="Style2"/>
        <w:keepNext/>
        <w:keepLines/>
        <w:widowControl w:val="0"/>
        <w:shd w:val="clear" w:color="auto" w:fill="auto"/>
        <w:tabs>
          <w:tab w:pos="2807" w:val="left"/>
        </w:tabs>
        <w:bidi w:val="0"/>
        <w:spacing w:before="0" w:after="0" w:line="240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DREDGER s.r.o.</w:t>
      </w:r>
      <w:bookmarkEnd w:id="57"/>
      <w:bookmarkEnd w:id="58"/>
      <w:bookmarkEnd w:id="59"/>
    </w:p>
    <w:p>
      <w:pPr>
        <w:pStyle w:val="Style2"/>
        <w:keepNext/>
        <w:keepLines/>
        <w:widowControl w:val="0"/>
        <w:shd w:val="clear" w:color="auto" w:fill="auto"/>
        <w:tabs>
          <w:tab w:pos="2807" w:val="left"/>
        </w:tabs>
        <w:bidi w:val="0"/>
        <w:spacing w:before="0" w:after="0" w:line="240" w:lineRule="auto"/>
        <w:ind w:left="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Dubina 30, 362 72 Šemnice</w:t>
      </w:r>
      <w:bookmarkEnd w:id="60"/>
      <w:bookmarkEnd w:id="61"/>
      <w:bookmarkEnd w:id="6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63"/>
      <w:bookmarkEnd w:id="64"/>
      <w:bookmarkEnd w:id="6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66"/>
      <w:bookmarkEnd w:id="67"/>
      <w:bookmarkEnd w:id="6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69"/>
      <w:bookmarkEnd w:id="70"/>
      <w:bookmarkEnd w:id="7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72"/>
      <w:bookmarkEnd w:id="73"/>
      <w:bookmarkEnd w:id="7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75"/>
      <w:bookmarkEnd w:id="76"/>
      <w:bookmarkEnd w:id="77"/>
    </w:p>
    <w:p>
      <w:pPr>
        <w:pStyle w:val="Style2"/>
        <w:keepNext/>
        <w:keepLines/>
        <w:widowControl w:val="0"/>
        <w:shd w:val="clear" w:color="auto" w:fill="auto"/>
        <w:tabs>
          <w:tab w:pos="2807" w:val="left"/>
        </w:tabs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26353571</w:t>
      </w:r>
      <w:bookmarkEnd w:id="78"/>
      <w:bookmarkEnd w:id="79"/>
      <w:bookmarkEnd w:id="80"/>
    </w:p>
    <w:p>
      <w:pPr>
        <w:pStyle w:val="Style2"/>
        <w:keepNext/>
        <w:keepLines/>
        <w:widowControl w:val="0"/>
        <w:shd w:val="clear" w:color="auto" w:fill="auto"/>
        <w:tabs>
          <w:tab w:pos="2807" w:val="left"/>
        </w:tabs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CZ26353571</w:t>
      </w:r>
      <w:bookmarkEnd w:id="81"/>
      <w:bookmarkEnd w:id="82"/>
      <w:bookmarkEnd w:id="8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84"/>
      <w:bookmarkEnd w:id="85"/>
      <w:bookmarkEnd w:id="8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87"/>
      <w:bookmarkEnd w:id="88"/>
      <w:bookmarkEnd w:id="8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Krajský soud v Plzni, oddíl C, vložka 14845</w:t>
      </w:r>
      <w:bookmarkEnd w:id="90"/>
      <w:bookmarkEnd w:id="91"/>
      <w:bookmarkEnd w:id="92"/>
    </w:p>
    <w:p>
      <w:pPr>
        <w:pStyle w:val="Style2"/>
        <w:keepNext/>
        <w:keepLines/>
        <w:widowControl w:val="0"/>
        <w:shd w:val="clear" w:color="auto" w:fill="auto"/>
        <w:tabs>
          <w:tab w:pos="2807" w:val="left"/>
        </w:tabs>
        <w:bidi w:val="0"/>
        <w:spacing w:before="0" w:after="180" w:line="240" w:lineRule="auto"/>
        <w:ind w:left="0" w:right="0" w:firstLine="0"/>
        <w:jc w:val="left"/>
      </w:pPr>
      <w:bookmarkStart w:id="93" w:name="bookmark93"/>
      <w:bookmarkStart w:id="94" w:name="bookmark94"/>
      <w:bookmarkStart w:id="95" w:name="bookmark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tel:</w:t>
        <w:tab/>
        <w:t>e-mail:</w:t>
      </w:r>
      <w:bookmarkEnd w:id="93"/>
      <w:bookmarkEnd w:id="94"/>
      <w:bookmarkEnd w:id="9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bookmarkStart w:id="96" w:name="bookmark96"/>
      <w:bookmarkStart w:id="97" w:name="bookmark97"/>
      <w:bookmarkStart w:id="98" w:name="bookmark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96"/>
      <w:bookmarkEnd w:id="97"/>
      <w:bookmarkEnd w:id="9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9" w:h="16838"/>
          <w:pgMar w:top="1061" w:left="1394" w:right="1389" w:bottom="1191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realizace,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99" w:name="bookmark99"/>
      <w:bookmarkEnd w:id="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předmětu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Oceněného soupisu prací změn závazku ze dne 28.6.2024,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100" w:name="bookmark100"/>
      <w:bookmarkEnd w:id="10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termínu předání a převzetí dokončeného díla z důvodu projednávání a realizace změn plnění závazku,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101" w:name="bookmark101"/>
      <w:bookmarkEnd w:id="10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ceny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Provedení odpočtu neprovedených prací a upřesnění výměr u položek v soupisu prací. Tyto změny jsou obsahem Přílohy č. 1 Oceněného soupisu prací změn závazku ze dne 28.6.2024. Tato změna závazku ze smlouvy v souvislosti se zadáním dalších prací nemění celkovou povahu veřejné zakázky.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stran. Obě smluvní strany odsouhlasily a potvrdily oceněný soupis prací.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200" w:line="240" w:lineRule="auto"/>
        <w:ind w:left="0" w:right="0" w:firstLine="0"/>
        <w:jc w:val="both"/>
      </w:pPr>
      <w:bookmarkStart w:id="102" w:name="bookmark102"/>
      <w:bookmarkEnd w:id="10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účel a předmět smlouvy v rozsahu přílohy tohoto dodatku – Oceněného soupisu prací změn závazku ze dne 28.6.2024, který se tímto stává nedílnou součástí smlouvy,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103" w:name="bookmark103"/>
      <w:bookmarkEnd w:id="10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 plnění, bod 1. písmeno c) předání a převzetí dokončeného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 Nejpozději do 130 kalendářních dní (počínaje následujícím kalendářním dnem po předání staveniště).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 nejpozději do 31.10.2024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104" w:name="bookmark104"/>
      <w:bookmarkEnd w:id="1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Cena, odst. 4.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 (za všech 9 objektů) 2 499 141,56 Kč bez DPH Slovy (dva miliony čtyři sta devadesát devět tisíc jedno sto čtyřicet jedna korun českých padesát šest haléřů)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toho: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737" w:val="left"/>
        </w:tabs>
        <w:bidi w:val="0"/>
        <w:spacing w:before="0" w:after="20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(objekty 4) + 5) + 6) + 7) + 9)):</w:t>
        <w:tab/>
        <w:t>1 244 172,19 Kč bez DPH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357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investice (objekty 1) + 2) + 3) + 8)):</w:t>
        <w:tab/>
        <w:t xml:space="preserve">1 254 969,37 Kč bez DPH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 (za všech 9 objektů) 2 635 778,18 Kč bez DPH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Slovy (dva miliony šest set třicet pět tisíc sedm set sedmdesát osm korun českých osmnáct haléřů)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účinnosti zveřejněním v Registru smluv, pokud této účinnosti dle příslušných ustanovení dodatku ke smlouvě nenabude později.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76" w:lineRule="auto"/>
        <w:ind w:left="0" w:right="0" w:firstLine="0"/>
        <w:jc w:val="left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1334" w:left="1394" w:right="1384" w:bottom="67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Plnění předmětu tohoto dodatku smlouvy před účinností tohoto dodatku smlouvy se považuje za plnění podle tohoto dodatku smlouvy a práva a povinnosti z něj vzniklé se řídí tímto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Stránka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dodatkem smlouvy.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1085" w:left="1394" w:right="1384" w:bottom="963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Oceněný soupis prací změn závazku ze dne 28.6.2024</w:t>
      </w:r>
    </w:p>
    <w:p>
      <w:pPr>
        <w:widowControl w:val="0"/>
        <w:spacing w:before="104" w:after="10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9631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2335" w:bottom="9631" w:header="0" w:footer="3" w:gutter="0"/>
          <w:cols w:num="2" w:space="18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Dubině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7" w:after="11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19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4085590</wp:posOffset>
                </wp:positionH>
                <wp:positionV relativeFrom="paragraph">
                  <wp:posOffset>12700</wp:posOffset>
                </wp:positionV>
                <wp:extent cx="1082040" cy="3873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204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jednatelka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DREDGER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1.69999999999999pt;margin-top:1.pt;width:85.200000000000003pt;height:30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jednatelka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DREDGER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ekonomický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5" w:left="1394" w:right="5474" w:bottom="119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9936480</wp:posOffset>
              </wp:positionV>
              <wp:extent cx="749935" cy="17970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49935" cy="1797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5.69999999999999pt;margin-top:782.39999999999998pt;width:59.050000000000004pt;height:14.1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