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7E" w:rsidRDefault="002F645D">
      <w:pPr>
        <w:spacing w:after="0" w:line="259" w:lineRule="auto"/>
        <w:ind w:left="0" w:right="318" w:firstLine="0"/>
        <w:jc w:val="center"/>
      </w:pPr>
      <w:bookmarkStart w:id="0" w:name="_GoBack"/>
      <w:bookmarkEnd w:id="0"/>
      <w:r>
        <w:rPr>
          <w:b/>
          <w:sz w:val="32"/>
        </w:rPr>
        <w:t xml:space="preserve">SMLOUVA O DÍLO </w:t>
      </w:r>
    </w:p>
    <w:p w:rsidR="0044027E" w:rsidRDefault="002F645D">
      <w:pPr>
        <w:spacing w:after="0" w:line="259" w:lineRule="auto"/>
        <w:ind w:left="279" w:right="171"/>
        <w:jc w:val="center"/>
      </w:pPr>
      <w:r>
        <w:rPr>
          <w:b/>
        </w:rPr>
        <w:t xml:space="preserve">Prodej, Implementace terminálu a zprovoznění služby InsightSofa OneTouch™ </w:t>
      </w:r>
    </w:p>
    <w:p w:rsidR="0044027E" w:rsidRDefault="002F645D">
      <w:pPr>
        <w:spacing w:after="21" w:line="259" w:lineRule="auto"/>
        <w:ind w:left="156" w:firstLine="0"/>
        <w:jc w:val="center"/>
      </w:pPr>
      <w:r>
        <w:rPr>
          <w:b/>
        </w:rPr>
        <w:t xml:space="preserve"> </w:t>
      </w:r>
    </w:p>
    <w:p w:rsidR="0044027E" w:rsidRDefault="002F645D">
      <w:pPr>
        <w:ind w:left="-5"/>
      </w:pPr>
      <w:r>
        <w:t xml:space="preserve">Městký úřad Aš </w:t>
      </w:r>
    </w:p>
    <w:p w:rsidR="0044027E" w:rsidRDefault="002F645D">
      <w:pPr>
        <w:ind w:left="-5" w:right="6674"/>
      </w:pPr>
      <w:r>
        <w:t xml:space="preserve">Kamenná 473/52, 352 01 Aš 1 IČ: 00253901, DIČ: CZ00253901 </w:t>
      </w:r>
    </w:p>
    <w:p w:rsidR="0044027E" w:rsidRDefault="002F645D">
      <w:pPr>
        <w:spacing w:after="4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 xml:space="preserve">(dále jen jako „Objednatel“)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 xml:space="preserve">a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 xml:space="preserve">ROUCEK Group s.r.o. </w:t>
      </w:r>
    </w:p>
    <w:p w:rsidR="0044027E" w:rsidRDefault="002F645D">
      <w:pPr>
        <w:ind w:left="-5"/>
      </w:pPr>
      <w:r>
        <w:t xml:space="preserve">IČ: 01451561, DIČ: CZ01451561 </w:t>
      </w:r>
    </w:p>
    <w:p w:rsidR="0044027E" w:rsidRDefault="002F645D">
      <w:pPr>
        <w:ind w:left="-5"/>
      </w:pPr>
      <w:r>
        <w:t xml:space="preserve">Se sídlem Rvačov 154, 413 01 Roudnice nad Labem, zastoupená jednatelem Ing. Alešem Roučkem (dále jen jako „Zhotovitel“) </w:t>
      </w:r>
    </w:p>
    <w:p w:rsidR="0044027E" w:rsidRDefault="002F645D">
      <w:pPr>
        <w:spacing w:after="23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>uzavírají níže uvedeného dne, měsíce a roku podle § 2586 a násl. zákona č. 89/2012 Sb., občanský zákon</w:t>
      </w:r>
      <w:r>
        <w:t xml:space="preserve">ík, ve znění pozdějších předpisů, tuto smlouvu o dílo (dále jen „Smlouva“)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25" w:line="259" w:lineRule="auto"/>
        <w:ind w:left="279" w:right="173"/>
        <w:jc w:val="center"/>
      </w:pPr>
      <w:r>
        <w:rPr>
          <w:b/>
        </w:rPr>
        <w:t xml:space="preserve">I. </w:t>
      </w:r>
    </w:p>
    <w:p w:rsidR="0044027E" w:rsidRDefault="002F645D">
      <w:pPr>
        <w:spacing w:after="0" w:line="259" w:lineRule="auto"/>
        <w:ind w:left="279" w:right="172"/>
        <w:jc w:val="center"/>
      </w:pPr>
      <w:r>
        <w:rPr>
          <w:b/>
        </w:rPr>
        <w:t xml:space="preserve">Předmět Smlouvy </w:t>
      </w:r>
    </w:p>
    <w:p w:rsidR="0044027E" w:rsidRDefault="002F645D">
      <w:pPr>
        <w:spacing w:after="3" w:line="259" w:lineRule="auto"/>
        <w:ind w:left="156" w:firstLine="0"/>
        <w:jc w:val="center"/>
      </w:pPr>
      <w:r>
        <w:rPr>
          <w:b/>
        </w:rPr>
        <w:t xml:space="preserve"> </w:t>
      </w:r>
    </w:p>
    <w:p w:rsidR="0044027E" w:rsidRDefault="002F645D">
      <w:pPr>
        <w:ind w:left="-5"/>
      </w:pPr>
      <w:r>
        <w:t xml:space="preserve">Zhotovitel se touto smlouvou zavazuje, za podmínek níže uvedených, provést pro objednatele: </w:t>
      </w:r>
    </w:p>
    <w:p w:rsidR="0044027E" w:rsidRDefault="002F645D">
      <w:pPr>
        <w:numPr>
          <w:ilvl w:val="0"/>
          <w:numId w:val="1"/>
        </w:numPr>
        <w:ind w:hanging="360"/>
      </w:pPr>
      <w:r>
        <w:t xml:space="preserve">Dodání celkem 1 ks terminálu InsightSofa OneTouch (prodej) </w:t>
      </w:r>
    </w:p>
    <w:p w:rsidR="0044027E" w:rsidRDefault="002F645D">
      <w:pPr>
        <w:numPr>
          <w:ilvl w:val="0"/>
          <w:numId w:val="1"/>
        </w:numPr>
        <w:ind w:hanging="360"/>
      </w:pPr>
      <w:r>
        <w:t xml:space="preserve">Kompletně nastavit analytický nástroj InsightSofa k běhu služby </w:t>
      </w:r>
    </w:p>
    <w:p w:rsidR="0044027E" w:rsidRDefault="002F645D">
      <w:pPr>
        <w:numPr>
          <w:ilvl w:val="0"/>
          <w:numId w:val="1"/>
        </w:numPr>
        <w:ind w:hanging="360"/>
      </w:pPr>
      <w:r>
        <w:t xml:space="preserve">Předat veškeré potřebné přihlašovací údaje k analýze zákaznické zkušenosti </w:t>
      </w:r>
    </w:p>
    <w:p w:rsidR="0044027E" w:rsidRDefault="002F645D">
      <w:pPr>
        <w:numPr>
          <w:ilvl w:val="0"/>
          <w:numId w:val="1"/>
        </w:numPr>
        <w:ind w:hanging="360"/>
      </w:pPr>
      <w:r>
        <w:t xml:space="preserve">Zaškolit pracovníky s používáním aplikace InsightSofa (formou video konference) </w:t>
      </w:r>
    </w:p>
    <w:p w:rsidR="0044027E" w:rsidRDefault="002F645D">
      <w:pPr>
        <w:spacing w:after="21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>a Objednatel se zavazuje Dílo př</w:t>
      </w:r>
      <w:r>
        <w:t xml:space="preserve">evzít a zaplatit za něj Zhotoviteli cenu, která je sjednána v čl. II této Smlouvy.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279" w:right="175"/>
        <w:jc w:val="center"/>
      </w:pPr>
      <w:r>
        <w:rPr>
          <w:b/>
        </w:rPr>
        <w:t xml:space="preserve">II. </w:t>
      </w:r>
    </w:p>
    <w:p w:rsidR="0044027E" w:rsidRDefault="002F645D">
      <w:pPr>
        <w:spacing w:after="0" w:line="259" w:lineRule="auto"/>
        <w:ind w:left="279" w:right="175"/>
        <w:jc w:val="center"/>
      </w:pPr>
      <w:r>
        <w:rPr>
          <w:b/>
        </w:rPr>
        <w:t xml:space="preserve">Cena Díla a způsob úhrady </w:t>
      </w:r>
    </w:p>
    <w:p w:rsidR="0044027E" w:rsidRDefault="002F645D">
      <w:pPr>
        <w:spacing w:after="13" w:line="259" w:lineRule="auto"/>
        <w:ind w:left="156" w:firstLine="0"/>
        <w:jc w:val="center"/>
      </w:pPr>
      <w:r>
        <w:rPr>
          <w:b/>
        </w:rPr>
        <w:t xml:space="preserve"> </w:t>
      </w:r>
    </w:p>
    <w:p w:rsidR="0044027E" w:rsidRDefault="002F645D">
      <w:pPr>
        <w:ind w:left="-5"/>
      </w:pPr>
      <w:r>
        <w:t xml:space="preserve">Celková cena díla obsahuje prodej 1ks terminálu, implementační služby a provoz služby (licence): </w:t>
      </w:r>
      <w:r>
        <w:rPr>
          <w:b/>
        </w:rPr>
        <w:t xml:space="preserve">Prodej terminálu a implementace v ceně </w:t>
      </w:r>
      <w:r>
        <w:rPr>
          <w:b/>
        </w:rPr>
        <w:t xml:space="preserve">18 000,-Kč bez DPH obsahuje: </w:t>
      </w:r>
    </w:p>
    <w:p w:rsidR="0044027E" w:rsidRDefault="002F645D">
      <w:pPr>
        <w:numPr>
          <w:ilvl w:val="0"/>
          <w:numId w:val="2"/>
        </w:numPr>
        <w:ind w:hanging="360"/>
      </w:pPr>
      <w:r>
        <w:t xml:space="preserve">Dodání 1ks terminálu </w:t>
      </w:r>
    </w:p>
    <w:p w:rsidR="0044027E" w:rsidRDefault="002F645D">
      <w:pPr>
        <w:numPr>
          <w:ilvl w:val="0"/>
          <w:numId w:val="2"/>
        </w:numPr>
        <w:ind w:hanging="360"/>
      </w:pPr>
      <w:r>
        <w:t xml:space="preserve">Sestavení terminálu a uvedení do provozu </w:t>
      </w:r>
    </w:p>
    <w:p w:rsidR="0044027E" w:rsidRDefault="002F645D">
      <w:pPr>
        <w:numPr>
          <w:ilvl w:val="0"/>
          <w:numId w:val="2"/>
        </w:numPr>
        <w:ind w:hanging="360"/>
      </w:pPr>
      <w:r>
        <w:t xml:space="preserve">Zprovoznění nové instance InsightSofa </w:t>
      </w:r>
    </w:p>
    <w:p w:rsidR="0044027E" w:rsidRDefault="002F645D">
      <w:pPr>
        <w:numPr>
          <w:ilvl w:val="0"/>
          <w:numId w:val="2"/>
        </w:numPr>
        <w:ind w:hanging="360"/>
      </w:pPr>
      <w:r>
        <w:t xml:space="preserve">Nastavení uživatelů a práv </w:t>
      </w:r>
    </w:p>
    <w:p w:rsidR="0044027E" w:rsidRDefault="002F645D">
      <w:pPr>
        <w:numPr>
          <w:ilvl w:val="0"/>
          <w:numId w:val="2"/>
        </w:numPr>
        <w:ind w:hanging="360"/>
      </w:pPr>
      <w:r>
        <w:t xml:space="preserve">Zaškolení práce se systémem (formou video konference)- </w:t>
      </w:r>
    </w:p>
    <w:p w:rsidR="0044027E" w:rsidRDefault="002F645D">
      <w:pPr>
        <w:numPr>
          <w:ilvl w:val="0"/>
          <w:numId w:val="2"/>
        </w:numPr>
        <w:ind w:hanging="360"/>
      </w:pPr>
      <w:r>
        <w:t xml:space="preserve">Konzultace (1 hod online) </w:t>
      </w:r>
    </w:p>
    <w:p w:rsidR="0044027E" w:rsidRDefault="002F645D">
      <w:pPr>
        <w:numPr>
          <w:ilvl w:val="0"/>
          <w:numId w:val="2"/>
        </w:numPr>
        <w:ind w:hanging="360"/>
      </w:pPr>
      <w:r>
        <w:t>1 touchpoint</w:t>
      </w:r>
      <w:r>
        <w:t xml:space="preserve">  </w:t>
      </w:r>
    </w:p>
    <w:p w:rsidR="0044027E" w:rsidRDefault="002F645D">
      <w:pPr>
        <w:numPr>
          <w:ilvl w:val="0"/>
          <w:numId w:val="2"/>
        </w:numPr>
        <w:ind w:hanging="360"/>
      </w:pPr>
      <w:r>
        <w:t xml:space="preserve">1 jazyková mutace  </w:t>
      </w:r>
    </w:p>
    <w:p w:rsidR="0044027E" w:rsidRDefault="002F645D">
      <w:pPr>
        <w:spacing w:after="24" w:line="259" w:lineRule="auto"/>
        <w:ind w:left="0" w:firstLine="0"/>
      </w:pPr>
      <w:r>
        <w:rPr>
          <w:b/>
        </w:rPr>
        <w:t>Provoz služby v ceně 990,-Kč bez DPH/měsíc,- obsahuje:</w:t>
      </w:r>
      <w:r>
        <w:t xml:space="preserve"> </w:t>
      </w:r>
    </w:p>
    <w:p w:rsidR="0044027E" w:rsidRDefault="002F645D">
      <w:pPr>
        <w:numPr>
          <w:ilvl w:val="0"/>
          <w:numId w:val="2"/>
        </w:numPr>
        <w:ind w:hanging="360"/>
      </w:pPr>
      <w:r>
        <w:t xml:space="preserve">Měsíční licence aplikace, neomezený počet uživatelů  </w:t>
      </w:r>
    </w:p>
    <w:p w:rsidR="0044027E" w:rsidRDefault="002F645D">
      <w:pPr>
        <w:spacing w:after="21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lastRenderedPageBreak/>
        <w:t>Smluvní strany strany se dohodly, že provoz služby bude hrazen kvartálně a to na základě vystavené faktury od Zhotovitele</w:t>
      </w:r>
      <w:r>
        <w:t xml:space="preserve">. Cena za prodej terminálu a implementaci bude hrazena po přádání terminálu na základě vystavené faktury. Zaplacením Implementace (a podpisem smlouvy) se tato Smlouva stává platnou.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26" w:line="259" w:lineRule="auto"/>
        <w:ind w:left="279" w:right="174"/>
        <w:jc w:val="center"/>
      </w:pPr>
      <w:r>
        <w:rPr>
          <w:b/>
        </w:rPr>
        <w:t xml:space="preserve">III. </w:t>
      </w:r>
    </w:p>
    <w:p w:rsidR="0044027E" w:rsidRDefault="002F645D">
      <w:pPr>
        <w:spacing w:after="0" w:line="259" w:lineRule="auto"/>
        <w:ind w:left="279" w:right="176"/>
        <w:jc w:val="center"/>
      </w:pPr>
      <w:r>
        <w:rPr>
          <w:b/>
        </w:rPr>
        <w:t xml:space="preserve">Termín zhotovení díla </w:t>
      </w:r>
    </w:p>
    <w:p w:rsidR="0044027E" w:rsidRDefault="002F645D">
      <w:pPr>
        <w:spacing w:after="16" w:line="259" w:lineRule="auto"/>
        <w:ind w:left="156" w:firstLine="0"/>
        <w:jc w:val="center"/>
      </w:pPr>
      <w:r>
        <w:rPr>
          <w:b/>
        </w:rPr>
        <w:t xml:space="preserve"> </w:t>
      </w:r>
    </w:p>
    <w:p w:rsidR="0044027E" w:rsidRDefault="002F645D">
      <w:pPr>
        <w:ind w:left="-5"/>
      </w:pPr>
      <w:r>
        <w:t xml:space="preserve">Smluvní strany se dohodly, že Dílo bude Zhotovitelem dodáno v maximální době 4 týdny po podpisu této smlouvy. </w:t>
      </w:r>
    </w:p>
    <w:p w:rsidR="0044027E" w:rsidRDefault="002F645D">
      <w:pPr>
        <w:spacing w:after="0" w:line="259" w:lineRule="auto"/>
        <w:ind w:left="156" w:firstLine="0"/>
        <w:jc w:val="center"/>
      </w:pPr>
      <w:r>
        <w:t xml:space="preserve"> </w:t>
      </w:r>
    </w:p>
    <w:p w:rsidR="0044027E" w:rsidRDefault="002F645D">
      <w:pPr>
        <w:spacing w:after="26" w:line="259" w:lineRule="auto"/>
        <w:ind w:left="279"/>
        <w:jc w:val="center"/>
      </w:pPr>
      <w:r>
        <w:rPr>
          <w:b/>
        </w:rPr>
        <w:t xml:space="preserve">IV. </w:t>
      </w:r>
    </w:p>
    <w:p w:rsidR="0044027E" w:rsidRDefault="002F645D">
      <w:pPr>
        <w:spacing w:after="0" w:line="259" w:lineRule="auto"/>
        <w:ind w:left="279" w:right="177"/>
        <w:jc w:val="center"/>
      </w:pPr>
      <w:r>
        <w:rPr>
          <w:b/>
        </w:rPr>
        <w:t xml:space="preserve">Předání a převzetí Díla </w:t>
      </w:r>
    </w:p>
    <w:p w:rsidR="0044027E" w:rsidRDefault="002F645D">
      <w:pPr>
        <w:spacing w:after="0" w:line="259" w:lineRule="auto"/>
        <w:ind w:left="156" w:firstLine="0"/>
        <w:jc w:val="center"/>
      </w:pPr>
      <w:r>
        <w:rPr>
          <w:b/>
        </w:rPr>
        <w:t xml:space="preserve"> </w:t>
      </w:r>
    </w:p>
    <w:p w:rsidR="0044027E" w:rsidRDefault="002F645D">
      <w:pPr>
        <w:ind w:left="-5"/>
      </w:pPr>
      <w:r>
        <w:t xml:space="preserve">K předání a převzetí Díla dojde dnem předání Díla Objednateli, nejpozději však bude dílo zhotoveno i předáno v </w:t>
      </w:r>
      <w:r>
        <w:t xml:space="preserve">termínu uvedeným v čl. III této smlouvy. </w:t>
      </w:r>
    </w:p>
    <w:p w:rsidR="0044027E" w:rsidRDefault="002F645D">
      <w:pPr>
        <w:spacing w:after="23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 xml:space="preserve">O předání a převzetí Díla bude Smluvními stranami vyhotoven Předávací protokol.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 xml:space="preserve">Smluvní strany se pro případ prodlení objednatele se zaplacením ceny Díla dohodly na smluvní pokutě ve výši 0,01% za každý </w:t>
      </w:r>
      <w:r>
        <w:t xml:space="preserve">den prodlení.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 xml:space="preserve">Pro případ prodlení se zhotovením Díla na straně zhotovitele má objednatel právo namísto smluvní pokuty na slevu z ceny Díla ve výši 5% za každých započatých 7 dní prodlení. </w:t>
      </w:r>
    </w:p>
    <w:p w:rsidR="0044027E" w:rsidRDefault="002F645D">
      <w:pPr>
        <w:spacing w:after="15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>Pro případ, že by Nájemce přestal platit měsíční poplatky za l</w:t>
      </w:r>
      <w:r>
        <w:t xml:space="preserve">icenci k terminálů InsightSofa OneTouch, a toto zpoždění bylo více jak 30 dní, je Zhotovitel oprávněn p pozastavit Službu. </w:t>
      </w:r>
    </w:p>
    <w:p w:rsidR="0044027E" w:rsidRDefault="002F645D">
      <w:pPr>
        <w:spacing w:after="0" w:line="259" w:lineRule="auto"/>
        <w:ind w:left="156" w:firstLine="0"/>
        <w:jc w:val="center"/>
      </w:pPr>
      <w:r>
        <w:rPr>
          <w:b/>
        </w:rPr>
        <w:t xml:space="preserve"> </w:t>
      </w:r>
    </w:p>
    <w:p w:rsidR="0044027E" w:rsidRDefault="002F645D">
      <w:pPr>
        <w:spacing w:after="26" w:line="259" w:lineRule="auto"/>
        <w:ind w:left="279" w:right="175"/>
        <w:jc w:val="center"/>
      </w:pPr>
      <w:r>
        <w:rPr>
          <w:b/>
        </w:rPr>
        <w:t xml:space="preserve">V. </w:t>
      </w:r>
    </w:p>
    <w:p w:rsidR="0044027E" w:rsidRDefault="002F645D">
      <w:pPr>
        <w:spacing w:after="0" w:line="259" w:lineRule="auto"/>
        <w:ind w:left="279" w:right="175"/>
        <w:jc w:val="center"/>
      </w:pPr>
      <w:r>
        <w:rPr>
          <w:b/>
        </w:rPr>
        <w:t xml:space="preserve">Odpovědnost za vady </w:t>
      </w:r>
    </w:p>
    <w:p w:rsidR="0044027E" w:rsidRDefault="002F645D">
      <w:pPr>
        <w:spacing w:after="0" w:line="259" w:lineRule="auto"/>
        <w:ind w:left="156" w:firstLine="0"/>
        <w:jc w:val="center"/>
      </w:pPr>
      <w:r>
        <w:rPr>
          <w:b/>
        </w:rPr>
        <w:t xml:space="preserve"> </w:t>
      </w:r>
    </w:p>
    <w:p w:rsidR="0044027E" w:rsidRDefault="002F645D">
      <w:pPr>
        <w:ind w:left="-5"/>
      </w:pPr>
      <w:r>
        <w:t>Zhotovitel poskytne na Dílo záruku po dobu provozu služby. Záruka se nevztahuje na vady díla, které bud</w:t>
      </w:r>
      <w:r>
        <w:t xml:space="preserve">ou způsobeny vadami materiálu, který předal zhotoviteli podle čl. III této Smlouvy objednatel. </w:t>
      </w:r>
    </w:p>
    <w:p w:rsidR="0044027E" w:rsidRDefault="002F645D">
      <w:pPr>
        <w:spacing w:after="23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 xml:space="preserve">Zhotovitel se zavazuje předat Dílo bez vad a nedodělků. </w:t>
      </w:r>
    </w:p>
    <w:p w:rsidR="0044027E" w:rsidRDefault="002F645D">
      <w:pPr>
        <w:spacing w:after="23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>Smluvní strany se dále dohodly, že budou-li v době předání na Díle viditelné vady či nedodělky, k p</w:t>
      </w:r>
      <w:r>
        <w:t xml:space="preserve">ředání a převzetí Díla dojde až po jejich odstranění. O této skutečnosti bude Smluvními stranami sepsán záznam.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lastRenderedPageBreak/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26" w:line="259" w:lineRule="auto"/>
        <w:ind w:left="279" w:right="173"/>
        <w:jc w:val="center"/>
      </w:pPr>
      <w:r>
        <w:rPr>
          <w:b/>
        </w:rPr>
        <w:t xml:space="preserve">VI. </w:t>
      </w:r>
    </w:p>
    <w:p w:rsidR="0044027E" w:rsidRDefault="002F645D">
      <w:pPr>
        <w:spacing w:after="0" w:line="259" w:lineRule="auto"/>
        <w:ind w:left="279" w:right="176"/>
        <w:jc w:val="center"/>
      </w:pPr>
      <w:r>
        <w:rPr>
          <w:b/>
        </w:rPr>
        <w:t xml:space="preserve">Závěrečná ustanovení </w:t>
      </w:r>
    </w:p>
    <w:p w:rsidR="0044027E" w:rsidRDefault="002F645D">
      <w:pPr>
        <w:spacing w:after="15" w:line="259" w:lineRule="auto"/>
        <w:ind w:left="156" w:firstLine="0"/>
        <w:jc w:val="center"/>
      </w:pPr>
      <w:r>
        <w:rPr>
          <w:b/>
        </w:rPr>
        <w:t xml:space="preserve"> </w:t>
      </w:r>
    </w:p>
    <w:p w:rsidR="0044027E" w:rsidRDefault="002F645D">
      <w:pPr>
        <w:ind w:left="-5"/>
      </w:pPr>
      <w:r>
        <w:t xml:space="preserve">Tato Smlouva nabývá platnosti a účinnosti dnem jejího podpisu oběma Smluvními stranami. Uzavírá se na dobu neurčitou. Výpovědní doba smlouvy 30 dnů a počíná běžet dnem doručení výpovědi písemnou formou druhé straně. </w:t>
      </w:r>
    </w:p>
    <w:p w:rsidR="0044027E" w:rsidRDefault="002F645D">
      <w:pPr>
        <w:ind w:left="-5"/>
      </w:pPr>
      <w:r>
        <w:t xml:space="preserve">Tato Smlouva a vztahy z ní vyplývající </w:t>
      </w:r>
      <w:r>
        <w:t xml:space="preserve">se řídí právním řádem České republiky, zejména příslušnými ustanoveními zák. č. 89/2012 Sb., občanský zákoník, ve znění pozdějších předpisů.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 xml:space="preserve">Smlouva byla vyhotovena ve dvou stejnopisech, z nichž každá Smluvní strana obdrží po jednom vyhotovení.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>Smluv</w:t>
      </w:r>
      <w:r>
        <w:t xml:space="preserve">ní strany níže svým podpisem stvrzují, že si Smlouvu před jejím podpisem přečetly, s jejím obsahem souhlasí, a tato je sepsána podle jejich pravé a skutečné vůle, srozumitelně a určitě, nikoli v tísni za nápadně nevýhodných podmínek.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ind w:left="-5"/>
      </w:pPr>
      <w:r>
        <w:t>V Roudnici nad Labe</w:t>
      </w:r>
      <w:r>
        <w:t xml:space="preserve">m dne  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after="0" w:line="259" w:lineRule="auto"/>
        <w:ind w:left="0" w:firstLine="0"/>
      </w:pPr>
      <w:r>
        <w:t xml:space="preserve"> </w:t>
      </w:r>
    </w:p>
    <w:p w:rsidR="0044027E" w:rsidRDefault="002F645D">
      <w:pPr>
        <w:spacing w:line="252" w:lineRule="auto"/>
        <w:ind w:left="103" w:right="93"/>
        <w:jc w:val="center"/>
      </w:pPr>
      <w:r>
        <w:t xml:space="preserve">  ...........................................................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         ........................................................... Objednatel                                                                                        Zhotov</w:t>
      </w:r>
      <w:r>
        <w:t xml:space="preserve">itel </w:t>
      </w:r>
    </w:p>
    <w:p w:rsidR="0044027E" w:rsidRDefault="002F645D">
      <w:pPr>
        <w:tabs>
          <w:tab w:val="center" w:pos="1826"/>
          <w:tab w:val="center" w:pos="3138"/>
          <w:tab w:val="center" w:pos="3846"/>
          <w:tab w:val="center" w:pos="4554"/>
          <w:tab w:val="center" w:pos="5262"/>
          <w:tab w:val="center" w:pos="5970"/>
          <w:tab w:val="center" w:pos="7864"/>
        </w:tabs>
        <w:spacing w:line="252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Městský úřad Aš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ROUCEK Group s.r.o. </w:t>
      </w:r>
    </w:p>
    <w:p w:rsidR="0044027E" w:rsidRDefault="002F645D">
      <w:pPr>
        <w:spacing w:line="252" w:lineRule="auto"/>
        <w:ind w:left="103"/>
        <w:jc w:val="center"/>
      </w:pPr>
      <w:r>
        <w:t xml:space="preserve">Zastoupený Vítězslavem Kokořem                                         Zastoupená Ing. Alešem Roučkem </w:t>
      </w:r>
    </w:p>
    <w:p w:rsidR="0044027E" w:rsidRDefault="002F645D">
      <w:pPr>
        <w:ind w:left="5035" w:right="1424" w:hanging="3455"/>
      </w:pPr>
      <w:r>
        <w:t>Starostou                                                                                  Jedn</w:t>
      </w:r>
      <w:r>
        <w:t xml:space="preserve">atelem  </w:t>
      </w:r>
    </w:p>
    <w:p w:rsidR="0044027E" w:rsidRDefault="002F645D">
      <w:pPr>
        <w:spacing w:after="0" w:line="259" w:lineRule="auto"/>
        <w:ind w:left="156" w:firstLine="0"/>
        <w:jc w:val="center"/>
      </w:pPr>
      <w:r>
        <w:t xml:space="preserve"> </w:t>
      </w:r>
    </w:p>
    <w:p w:rsidR="0044027E" w:rsidRDefault="002F645D">
      <w:pPr>
        <w:spacing w:after="0" w:line="259" w:lineRule="auto"/>
        <w:ind w:left="708" w:firstLine="0"/>
      </w:pPr>
      <w:r>
        <w:t xml:space="preserve"> </w:t>
      </w:r>
    </w:p>
    <w:sectPr w:rsidR="00440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010" w:right="936" w:bottom="1067" w:left="991" w:header="1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5D" w:rsidRDefault="002F645D">
      <w:pPr>
        <w:spacing w:after="0" w:line="240" w:lineRule="auto"/>
      </w:pPr>
      <w:r>
        <w:separator/>
      </w:r>
    </w:p>
  </w:endnote>
  <w:endnote w:type="continuationSeparator" w:id="0">
    <w:p w:rsidR="002F645D" w:rsidRDefault="002F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7E" w:rsidRDefault="002F645D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InsightSofa je registrovanou obchodní známkou společnosti ROUCEK Group s.r.o.                                kontakt: </w:t>
    </w:r>
    <w:r>
      <w:rPr>
        <w:rFonts w:ascii="Calibri" w:eastAsia="Calibri" w:hAnsi="Calibri" w:cs="Calibri"/>
        <w:color w:val="0563C1"/>
        <w:sz w:val="16"/>
        <w:u w:val="single" w:color="0563C1"/>
      </w:rPr>
      <w:t>info@insightsofa.com</w:t>
    </w:r>
    <w:r>
      <w:rPr>
        <w:rFonts w:ascii="Calibri" w:eastAsia="Calibri" w:hAnsi="Calibri" w:cs="Calibri"/>
        <w:sz w:val="16"/>
      </w:rPr>
      <w:t xml:space="preserve">, www.insightsofa.com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7E" w:rsidRDefault="002F645D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InsightSofa je registrovanou obchodní známkou společnosti ROUCEK Group s.r.o.                                kontakt: </w:t>
    </w:r>
    <w:r>
      <w:rPr>
        <w:rFonts w:ascii="Calibri" w:eastAsia="Calibri" w:hAnsi="Calibri" w:cs="Calibri"/>
        <w:color w:val="0563C1"/>
        <w:sz w:val="16"/>
        <w:u w:val="single" w:color="0563C1"/>
      </w:rPr>
      <w:t>info@insightsofa.com</w:t>
    </w:r>
    <w:r>
      <w:rPr>
        <w:rFonts w:ascii="Calibri" w:eastAsia="Calibri" w:hAnsi="Calibri" w:cs="Calibri"/>
        <w:sz w:val="16"/>
      </w:rPr>
      <w:t xml:space="preserve">, www.insightsofa.com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7E" w:rsidRDefault="002F645D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>InsightSofa je registrovanou obchodní známkou společnosti ROUCEK Group s.r.o.</w:t>
    </w:r>
    <w:r>
      <w:rPr>
        <w:rFonts w:ascii="Calibri" w:eastAsia="Calibri" w:hAnsi="Calibri" w:cs="Calibri"/>
        <w:sz w:val="16"/>
      </w:rPr>
      <w:t xml:space="preserve">                                kontakt: </w:t>
    </w:r>
    <w:r>
      <w:rPr>
        <w:rFonts w:ascii="Calibri" w:eastAsia="Calibri" w:hAnsi="Calibri" w:cs="Calibri"/>
        <w:color w:val="0563C1"/>
        <w:sz w:val="16"/>
        <w:u w:val="single" w:color="0563C1"/>
      </w:rPr>
      <w:t>info@insightsofa.com</w:t>
    </w:r>
    <w:r>
      <w:rPr>
        <w:rFonts w:ascii="Calibri" w:eastAsia="Calibri" w:hAnsi="Calibri" w:cs="Calibri"/>
        <w:sz w:val="16"/>
      </w:rPr>
      <w:t xml:space="preserve">, www.insightsofa.com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5D" w:rsidRDefault="002F645D">
      <w:pPr>
        <w:spacing w:after="0" w:line="240" w:lineRule="auto"/>
      </w:pPr>
      <w:r>
        <w:separator/>
      </w:r>
    </w:p>
  </w:footnote>
  <w:footnote w:type="continuationSeparator" w:id="0">
    <w:p w:rsidR="002F645D" w:rsidRDefault="002F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7E" w:rsidRDefault="002F645D">
    <w:pPr>
      <w:spacing w:after="0" w:line="259" w:lineRule="auto"/>
      <w:ind w:left="0" w:right="-9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5525135</wp:posOffset>
          </wp:positionH>
          <wp:positionV relativeFrom="page">
            <wp:posOffset>114300</wp:posOffset>
          </wp:positionV>
          <wp:extent cx="1494790" cy="74739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479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7E" w:rsidRDefault="002F645D">
    <w:pPr>
      <w:spacing w:after="0" w:line="259" w:lineRule="auto"/>
      <w:ind w:left="0" w:right="-92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5525135</wp:posOffset>
          </wp:positionH>
          <wp:positionV relativeFrom="page">
            <wp:posOffset>114300</wp:posOffset>
          </wp:positionV>
          <wp:extent cx="1494790" cy="747395"/>
          <wp:effectExtent l="0" t="0" r="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479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7E" w:rsidRDefault="002F645D">
    <w:pPr>
      <w:spacing w:after="0" w:line="259" w:lineRule="auto"/>
      <w:ind w:left="0" w:right="-92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5525135</wp:posOffset>
          </wp:positionH>
          <wp:positionV relativeFrom="page">
            <wp:posOffset>114300</wp:posOffset>
          </wp:positionV>
          <wp:extent cx="1494790" cy="747395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479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B88"/>
    <w:multiLevelType w:val="hybridMultilevel"/>
    <w:tmpl w:val="11FC4736"/>
    <w:lvl w:ilvl="0" w:tplc="7504B73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05E6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6D2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4A6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E41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4C3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424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7C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441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1A6FBE"/>
    <w:multiLevelType w:val="hybridMultilevel"/>
    <w:tmpl w:val="4152492E"/>
    <w:lvl w:ilvl="0" w:tplc="C5B2C7A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202A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E05B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4EEC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2667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46C6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6403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2589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89FD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7E"/>
    <w:rsid w:val="002F645D"/>
    <w:rsid w:val="0044027E"/>
    <w:rsid w:val="0047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E8E4-A72F-4232-AC95-0B3904C4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Roucek</dc:creator>
  <cp:keywords/>
  <cp:lastModifiedBy>Blanka Vaněčková Rašková</cp:lastModifiedBy>
  <cp:revision>2</cp:revision>
  <dcterms:created xsi:type="dcterms:W3CDTF">2024-09-23T09:55:00Z</dcterms:created>
  <dcterms:modified xsi:type="dcterms:W3CDTF">2024-09-23T09:55:00Z</dcterms:modified>
</cp:coreProperties>
</file>