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787983576"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45721B7"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sidR="002B1E09">
        <w:rPr>
          <w:rFonts w:ascii="Tahoma" w:hAnsi="Tahoma" w:cs="Tahoma"/>
          <w:sz w:val="22"/>
          <w:szCs w:val="22"/>
        </w:rPr>
        <w:t>atném</w:t>
      </w:r>
      <w:r w:rsidRPr="00D045D5">
        <w:rPr>
          <w:rFonts w:ascii="Tahoma" w:hAnsi="Tahoma" w:cs="Tahoma"/>
          <w:sz w:val="22"/>
          <w:szCs w:val="22"/>
        </w:rPr>
        <w:t xml:space="preserve"> zn</w:t>
      </w:r>
      <w:r w:rsidR="00701DCE">
        <w:rPr>
          <w:rFonts w:ascii="Tahoma" w:hAnsi="Tahoma" w:cs="Tahoma"/>
          <w:sz w:val="22"/>
          <w:szCs w:val="22"/>
        </w:rPr>
        <w:t>ění</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27896EDA"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w:t>
      </w:r>
      <w:r w:rsidR="00701DCE">
        <w:rPr>
          <w:rFonts w:ascii="Tahoma" w:hAnsi="Tahoma" w:cs="Tahoma"/>
          <w:sz w:val="22"/>
          <w:szCs w:val="22"/>
        </w:rPr>
        <w:t> </w:t>
      </w:r>
      <w:r w:rsidRPr="00D045D5">
        <w:rPr>
          <w:rFonts w:ascii="Tahoma" w:hAnsi="Tahoma" w:cs="Tahoma"/>
          <w:sz w:val="22"/>
          <w:szCs w:val="22"/>
        </w:rPr>
        <w:t>pl</w:t>
      </w:r>
      <w:r w:rsidR="00701DCE">
        <w:rPr>
          <w:rFonts w:ascii="Tahoma" w:hAnsi="Tahoma" w:cs="Tahoma"/>
          <w:sz w:val="22"/>
          <w:szCs w:val="22"/>
        </w:rPr>
        <w:t>atném znění</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59FAFDB4" w14:textId="77777777" w:rsidR="00975BA1" w:rsidRDefault="00975BA1" w:rsidP="00975BA1">
      <w:pPr>
        <w:widowControl w:val="0"/>
        <w:tabs>
          <w:tab w:val="left" w:pos="3544"/>
        </w:tabs>
        <w:spacing w:line="360" w:lineRule="auto"/>
        <w:ind w:left="3544" w:hanging="3544"/>
        <w:rPr>
          <w:rStyle w:val="preformatted"/>
          <w:rFonts w:ascii="Tahoma" w:hAnsi="Tahoma" w:cs="Tahoma"/>
          <w:b/>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D25690">
        <w:rPr>
          <w:rFonts w:ascii="Tahoma" w:hAnsi="Tahoma" w:cs="Tahoma"/>
          <w:b/>
          <w:snapToGrid w:val="0"/>
        </w:rPr>
        <w:t xml:space="preserve">SKI-KLUB </w:t>
      </w:r>
      <w:proofErr w:type="gramStart"/>
      <w:r w:rsidRPr="00D25690">
        <w:rPr>
          <w:rFonts w:ascii="Tahoma" w:hAnsi="Tahoma" w:cs="Tahoma"/>
          <w:b/>
          <w:snapToGrid w:val="0"/>
        </w:rPr>
        <w:t>Strakonice</w:t>
      </w:r>
      <w:r w:rsidRPr="00D25690">
        <w:rPr>
          <w:rStyle w:val="preformatted"/>
          <w:rFonts w:ascii="Tahoma" w:hAnsi="Tahoma" w:cs="Tahoma"/>
          <w:b/>
        </w:rPr>
        <w:t>, z. s.</w:t>
      </w:r>
      <w:proofErr w:type="gramEnd"/>
    </w:p>
    <w:p w14:paraId="1606183A" w14:textId="373727B4" w:rsidR="00975BA1" w:rsidRPr="00D045D5" w:rsidRDefault="00975BA1" w:rsidP="00975BA1">
      <w:pPr>
        <w:widowControl w:val="0"/>
        <w:tabs>
          <w:tab w:val="left" w:pos="3544"/>
        </w:tabs>
        <w:spacing w:line="360" w:lineRule="auto"/>
        <w:ind w:left="3544" w:hanging="3544"/>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Máchova 108</w:t>
      </w:r>
      <w:r w:rsidRPr="00D045D5">
        <w:rPr>
          <w:rFonts w:ascii="Tahoma" w:hAnsi="Tahoma" w:cs="Tahoma"/>
          <w:snapToGrid w:val="0"/>
          <w:sz w:val="22"/>
          <w:szCs w:val="22"/>
        </w:rPr>
        <w:t>, Strakonice</w:t>
      </w:r>
    </w:p>
    <w:p w14:paraId="02DC1774" w14:textId="77777777" w:rsidR="00975BA1" w:rsidRPr="00D045D5" w:rsidRDefault="00975BA1" w:rsidP="00975BA1">
      <w:pPr>
        <w:widowControl w:val="0"/>
        <w:tabs>
          <w:tab w:val="left" w:pos="3544"/>
        </w:tabs>
        <w:spacing w:line="360" w:lineRule="auto"/>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60090022</w:t>
      </w:r>
      <w:r w:rsidRPr="00D045D5">
        <w:rPr>
          <w:rFonts w:ascii="Tahoma" w:hAnsi="Tahoma" w:cs="Tahoma"/>
          <w:snapToGrid w:val="0"/>
          <w:sz w:val="22"/>
          <w:szCs w:val="22"/>
        </w:rPr>
        <w:t xml:space="preserve">          </w:t>
      </w:r>
    </w:p>
    <w:p w14:paraId="66B1B318" w14:textId="77777777" w:rsidR="00975BA1" w:rsidRDefault="00975BA1" w:rsidP="00975BA1">
      <w:pPr>
        <w:widowControl w:val="0"/>
        <w:tabs>
          <w:tab w:val="left" w:pos="3544"/>
        </w:tabs>
        <w:spacing w:line="360" w:lineRule="auto"/>
        <w:rPr>
          <w:rFonts w:ascii="Tahoma" w:hAnsi="Tahoma" w:cs="Tahoma"/>
          <w:snapToGrid w:val="0"/>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Pr>
          <w:rFonts w:ascii="Tahoma" w:hAnsi="Tahoma" w:cs="Tahoma"/>
          <w:snapToGrid w:val="0"/>
          <w:sz w:val="22"/>
          <w:szCs w:val="22"/>
        </w:rPr>
        <w:t>místo</w:t>
      </w:r>
      <w:r w:rsidRPr="00D045D5">
        <w:rPr>
          <w:rFonts w:ascii="Tahoma" w:hAnsi="Tahoma" w:cs="Tahoma"/>
          <w:snapToGrid w:val="0"/>
          <w:sz w:val="22"/>
          <w:szCs w:val="22"/>
        </w:rPr>
        <w:t xml:space="preserve">předsedou </w:t>
      </w:r>
      <w:r>
        <w:rPr>
          <w:rFonts w:ascii="Tahoma" w:hAnsi="Tahoma" w:cs="Tahoma"/>
          <w:snapToGrid w:val="0"/>
          <w:sz w:val="22"/>
          <w:szCs w:val="22"/>
        </w:rPr>
        <w:t>Mgr. Radkem Sosnou</w:t>
      </w:r>
    </w:p>
    <w:p w14:paraId="38A59DEE" w14:textId="75BCCA81" w:rsidR="00E35E4D" w:rsidRPr="00D045D5" w:rsidRDefault="00975BA1" w:rsidP="00975BA1">
      <w:pPr>
        <w:widowControl w:val="0"/>
        <w:tabs>
          <w:tab w:val="left" w:pos="3544"/>
        </w:tabs>
        <w:spacing w:line="360" w:lineRule="auto"/>
        <w:rPr>
          <w:rFonts w:ascii="Tahoma" w:hAnsi="Tahoma" w:cs="Tahoma"/>
          <w:snapToGrid w:val="0"/>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sidRPr="008F772F">
        <w:rPr>
          <w:rFonts w:ascii="Tahoma" w:hAnsi="Tahoma" w:cs="Tahoma"/>
          <w:sz w:val="22"/>
        </w:rPr>
        <w:t>284430212/0300</w:t>
      </w:r>
      <w:r w:rsidRPr="008F772F">
        <w:rPr>
          <w:rFonts w:ascii="Tahoma" w:hAnsi="Tahoma" w:cs="Tahoma"/>
          <w:snapToGrid w:val="0"/>
          <w:sz w:val="22"/>
        </w:rPr>
        <w:tab/>
      </w:r>
      <w:r w:rsidR="00E35E4D" w:rsidRPr="00D045D5">
        <w:rPr>
          <w:rFonts w:ascii="Tahoma" w:hAnsi="Tahoma" w:cs="Tahoma"/>
          <w:sz w:val="22"/>
          <w:szCs w:val="22"/>
        </w:rPr>
        <w:tab/>
      </w:r>
      <w:r w:rsidR="00E35E4D" w:rsidRPr="00D045D5">
        <w:rPr>
          <w:rFonts w:ascii="Tahoma" w:hAnsi="Tahoma" w:cs="Tahoma"/>
          <w:snapToGrid w:val="0"/>
          <w:sz w:val="22"/>
          <w:szCs w:val="22"/>
        </w:rPr>
        <w:tab/>
      </w:r>
      <w:r w:rsidR="00E35E4D" w:rsidRPr="00D045D5">
        <w:rPr>
          <w:rFonts w:ascii="Tahoma" w:hAnsi="Tahoma" w:cs="Tahoma"/>
          <w:snapToGrid w:val="0"/>
          <w:sz w:val="22"/>
          <w:szCs w:val="22"/>
        </w:rPr>
        <w:tab/>
        <w:t xml:space="preserve"> </w:t>
      </w:r>
    </w:p>
    <w:p w14:paraId="44A897B7" w14:textId="0CE3D004" w:rsidR="00E35E4D" w:rsidRPr="00D045D5" w:rsidRDefault="00E35E4D" w:rsidP="00E35E4D">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79F6554A" w14:textId="13DE9496"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4CEB12F0" w:rsidR="0004780D" w:rsidRDefault="0004780D">
      <w:pPr>
        <w:jc w:val="center"/>
        <w:rPr>
          <w:rFonts w:ascii="Tahoma" w:hAnsi="Tahoma" w:cs="Tahoma"/>
          <w:b/>
          <w:bCs/>
          <w:sz w:val="22"/>
          <w:szCs w:val="22"/>
        </w:rPr>
      </w:pPr>
    </w:p>
    <w:p w14:paraId="71425481" w14:textId="7447867A" w:rsidR="00EF050A" w:rsidRDefault="00EF050A">
      <w:pPr>
        <w:jc w:val="center"/>
        <w:rPr>
          <w:rFonts w:ascii="Tahoma" w:hAnsi="Tahoma" w:cs="Tahoma"/>
          <w:b/>
          <w:bCs/>
          <w:sz w:val="22"/>
          <w:szCs w:val="22"/>
        </w:rPr>
      </w:pPr>
    </w:p>
    <w:p w14:paraId="76FEFED6" w14:textId="77777777" w:rsidR="00B47F48" w:rsidRDefault="00B47F48">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73F51F67"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 z rozpočtu poskytovatele příjemci pro kalendářní rok 202</w:t>
      </w:r>
      <w:r w:rsidR="00177575">
        <w:rPr>
          <w:rFonts w:ascii="Tahoma" w:hAnsi="Tahoma" w:cs="Tahoma"/>
          <w:sz w:val="22"/>
          <w:szCs w:val="22"/>
        </w:rPr>
        <w:t>4</w:t>
      </w:r>
      <w:r w:rsidRPr="00093CAC">
        <w:rPr>
          <w:rFonts w:ascii="Tahoma" w:hAnsi="Tahoma" w:cs="Tahoma"/>
          <w:sz w:val="22"/>
          <w:szCs w:val="22"/>
        </w:rPr>
        <w:t xml:space="preserve"> ve výši </w:t>
      </w:r>
      <w:r w:rsidR="00F9786B">
        <w:rPr>
          <w:rFonts w:ascii="Tahoma" w:hAnsi="Tahoma" w:cs="Tahoma"/>
          <w:sz w:val="22"/>
          <w:szCs w:val="22"/>
        </w:rPr>
        <w:t>66.240</w:t>
      </w:r>
      <w:r w:rsidRPr="00093CAC">
        <w:rPr>
          <w:rFonts w:ascii="Tahoma" w:hAnsi="Tahoma" w:cs="Tahoma"/>
          <w:sz w:val="22"/>
          <w:szCs w:val="22"/>
        </w:rPr>
        <w:t xml:space="preserve"> Kč, slovy: </w:t>
      </w:r>
      <w:proofErr w:type="spellStart"/>
      <w:r w:rsidR="00F9786B">
        <w:rPr>
          <w:rFonts w:ascii="Tahoma" w:hAnsi="Tahoma" w:cs="Tahoma"/>
          <w:sz w:val="22"/>
          <w:szCs w:val="22"/>
        </w:rPr>
        <w:t>Šedesátšest</w:t>
      </w:r>
      <w:r w:rsidRPr="00093CAC">
        <w:rPr>
          <w:rFonts w:ascii="Tahoma" w:hAnsi="Tahoma" w:cs="Tahoma"/>
          <w:sz w:val="22"/>
          <w:szCs w:val="22"/>
        </w:rPr>
        <w:t>tisíc</w:t>
      </w:r>
      <w:r w:rsidR="00F9786B">
        <w:rPr>
          <w:rFonts w:ascii="Tahoma" w:hAnsi="Tahoma" w:cs="Tahoma"/>
          <w:sz w:val="22"/>
          <w:szCs w:val="22"/>
        </w:rPr>
        <w:t>dvěstěčtyřicet</w:t>
      </w:r>
      <w:proofErr w:type="spellEnd"/>
      <w:r w:rsidRPr="00093CAC">
        <w:rPr>
          <w:rFonts w:ascii="Tahoma" w:hAnsi="Tahoma" w:cs="Tahoma"/>
          <w:sz w:val="22"/>
          <w:szCs w:val="22"/>
        </w:rPr>
        <w:t xml:space="preserve"> korun českých (dále jen dotace). Zdrojem krytí dotace je v plné výši rozpočet poskytovatele.</w:t>
      </w:r>
    </w:p>
    <w:p w14:paraId="74E0B513" w14:textId="710DC33C" w:rsidR="00D35C71" w:rsidRDefault="00D35C71" w:rsidP="00D35C71">
      <w:pPr>
        <w:pStyle w:val="Zkladntext"/>
        <w:tabs>
          <w:tab w:val="left" w:pos="284"/>
        </w:tabs>
        <w:rPr>
          <w:rFonts w:ascii="Tahoma" w:hAnsi="Tahoma" w:cs="Tahoma"/>
          <w:sz w:val="22"/>
          <w:szCs w:val="22"/>
        </w:rPr>
      </w:pPr>
      <w:r w:rsidRPr="00D35C71">
        <w:rPr>
          <w:rFonts w:ascii="Tahoma" w:hAnsi="Tahoma" w:cs="Tahoma"/>
          <w:sz w:val="22"/>
          <w:szCs w:val="22"/>
        </w:rPr>
        <w:t>Poskytnutí této dotace bylo schváleno usnesením Rady města Strakonice</w:t>
      </w:r>
      <w:r w:rsidRPr="00D35C71">
        <w:rPr>
          <w:rFonts w:ascii="Tahoma" w:hAnsi="Tahoma" w:cs="Tahoma"/>
          <w:sz w:val="22"/>
          <w:szCs w:val="22"/>
        </w:rPr>
        <w:br/>
        <w:t xml:space="preserve">č. </w:t>
      </w:r>
      <w:r w:rsidR="00F9786B">
        <w:rPr>
          <w:rFonts w:ascii="Tahoma" w:hAnsi="Tahoma" w:cs="Tahoma"/>
          <w:sz w:val="22"/>
          <w:szCs w:val="22"/>
        </w:rPr>
        <w:t>2462</w:t>
      </w:r>
      <w:r w:rsidRPr="00D35C71">
        <w:rPr>
          <w:rFonts w:ascii="Tahoma" w:hAnsi="Tahoma" w:cs="Tahoma"/>
          <w:sz w:val="22"/>
          <w:szCs w:val="22"/>
        </w:rPr>
        <w:t>/202</w:t>
      </w:r>
      <w:r w:rsidR="00177575">
        <w:rPr>
          <w:rFonts w:ascii="Tahoma" w:hAnsi="Tahoma" w:cs="Tahoma"/>
          <w:sz w:val="22"/>
          <w:szCs w:val="22"/>
        </w:rPr>
        <w:t>4</w:t>
      </w:r>
      <w:r w:rsidRPr="00D35C71">
        <w:rPr>
          <w:rFonts w:ascii="Tahoma" w:hAnsi="Tahoma" w:cs="Tahoma"/>
          <w:sz w:val="22"/>
          <w:szCs w:val="22"/>
        </w:rPr>
        <w:t xml:space="preserve"> dne </w:t>
      </w:r>
      <w:r w:rsidR="00F9786B">
        <w:rPr>
          <w:rFonts w:ascii="Tahoma" w:hAnsi="Tahoma" w:cs="Tahoma"/>
          <w:sz w:val="22"/>
          <w:szCs w:val="22"/>
        </w:rPr>
        <w:t>28</w:t>
      </w:r>
      <w:r w:rsidRPr="00D35C71">
        <w:rPr>
          <w:rFonts w:ascii="Tahoma" w:hAnsi="Tahoma" w:cs="Tahoma"/>
          <w:sz w:val="22"/>
          <w:szCs w:val="22"/>
        </w:rPr>
        <w:t xml:space="preserve">. </w:t>
      </w:r>
      <w:r w:rsidR="00F9786B">
        <w:rPr>
          <w:rFonts w:ascii="Tahoma" w:hAnsi="Tahoma" w:cs="Tahoma"/>
          <w:sz w:val="22"/>
          <w:szCs w:val="22"/>
        </w:rPr>
        <w:t>8</w:t>
      </w:r>
      <w:r w:rsidRPr="00D35C71">
        <w:rPr>
          <w:rFonts w:ascii="Tahoma" w:hAnsi="Tahoma" w:cs="Tahoma"/>
          <w:sz w:val="22"/>
          <w:szCs w:val="22"/>
        </w:rPr>
        <w:t>. 202</w:t>
      </w:r>
      <w:r w:rsidR="00177575">
        <w:rPr>
          <w:rFonts w:ascii="Tahoma" w:hAnsi="Tahoma" w:cs="Tahoma"/>
          <w:sz w:val="22"/>
          <w:szCs w:val="22"/>
        </w:rPr>
        <w:t>4</w:t>
      </w:r>
      <w:r w:rsidRPr="00D35C71">
        <w:rPr>
          <w:rFonts w:ascii="Tahoma" w:hAnsi="Tahoma" w:cs="Tahoma"/>
          <w:sz w:val="22"/>
          <w:szCs w:val="22"/>
        </w:rPr>
        <w:t xml:space="preserve">. </w:t>
      </w:r>
    </w:p>
    <w:p w14:paraId="707A7553" w14:textId="77777777" w:rsidR="00D35C71" w:rsidRPr="00D35C71" w:rsidRDefault="00D35C71" w:rsidP="00D35C71">
      <w:pPr>
        <w:pStyle w:val="Zkladntext"/>
        <w:tabs>
          <w:tab w:val="left" w:pos="284"/>
        </w:tabs>
        <w:rPr>
          <w:rFonts w:ascii="Tahoma" w:hAnsi="Tahoma" w:cs="Tahoma"/>
          <w:sz w:val="22"/>
          <w:szCs w:val="22"/>
        </w:rPr>
      </w:pPr>
    </w:p>
    <w:p w14:paraId="0056E148" w14:textId="7C67C13F" w:rsidR="00D35C71" w:rsidRPr="00F2684E" w:rsidRDefault="00D35C71" w:rsidP="004F611B">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o poskytnutí dotace, tj. </w:t>
      </w:r>
      <w:r w:rsidR="002A468C" w:rsidRPr="002A468C">
        <w:rPr>
          <w:rFonts w:ascii="Tahoma" w:hAnsi="Tahoma" w:cs="Tahoma"/>
          <w:sz w:val="22"/>
        </w:rPr>
        <w:t>na spolufinancování zakoupení systému časomíry.</w:t>
      </w:r>
      <w:r w:rsidR="002A468C" w:rsidRPr="002A468C">
        <w:rPr>
          <w:rFonts w:ascii="Tahoma" w:hAnsi="Tahoma" w:cs="Tahoma"/>
          <w:b/>
          <w:sz w:val="22"/>
        </w:rPr>
        <w:t xml:space="preserve"> </w:t>
      </w:r>
      <w:bookmarkStart w:id="0" w:name="_GoBack"/>
      <w:bookmarkEnd w:id="0"/>
      <w:r w:rsidRPr="00F2684E">
        <w:rPr>
          <w:rFonts w:ascii="Tahoma" w:hAnsi="Tahoma" w:cs="Tahoma"/>
          <w:sz w:val="22"/>
        </w:rPr>
        <w:t>Dotace nesmí být použita k jinému účelu.</w:t>
      </w:r>
    </w:p>
    <w:p w14:paraId="3B8238C6" w14:textId="77777777" w:rsidR="00D35C71" w:rsidRPr="00D35C71" w:rsidRDefault="00D35C71" w:rsidP="00D35C71">
      <w:pPr>
        <w:pStyle w:val="Odstavecseseznamem"/>
        <w:ind w:left="0"/>
        <w:jc w:val="both"/>
        <w:rPr>
          <w:rFonts w:ascii="Tahoma" w:hAnsi="Tahoma" w:cs="Tahoma"/>
          <w:sz w:val="22"/>
        </w:rPr>
      </w:pPr>
    </w:p>
    <w:p w14:paraId="63410EFE" w14:textId="3DBD4003"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77777777"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V případě, že je příjemce dotace plátcem daně z přidané hodnoty a u výdajů hrazených z prostředků dotace je oprávněn k odpočtu daně na vstupu podle zákona č. 235/2004 Sb., o dani z přidané hodnoty, v platném znění, nesmí být z prostředků dotace hrazena daň z přidané hodnoty.</w:t>
      </w:r>
    </w:p>
    <w:p w14:paraId="754E2C54"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14:paraId="53079963"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14:paraId="1322BB3E" w14:textId="0AC1731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14:paraId="3675FEC2"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1F0C8C9C"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1. </w:t>
      </w:r>
      <w:r w:rsidR="00AA2784">
        <w:rPr>
          <w:rFonts w:ascii="Tahoma" w:hAnsi="Tahoma" w:cs="Tahoma"/>
          <w:sz w:val="22"/>
          <w:szCs w:val="22"/>
        </w:rPr>
        <w:t>1</w:t>
      </w:r>
      <w:r w:rsidRPr="00D045D5">
        <w:rPr>
          <w:rFonts w:ascii="Tahoma" w:hAnsi="Tahoma" w:cs="Tahoma"/>
          <w:sz w:val="22"/>
          <w:szCs w:val="22"/>
        </w:rPr>
        <w:t xml:space="preserve">. do </w:t>
      </w:r>
      <w:r w:rsidR="00B87EE2">
        <w:rPr>
          <w:rFonts w:ascii="Tahoma" w:hAnsi="Tahoma" w:cs="Tahoma"/>
          <w:sz w:val="22"/>
          <w:szCs w:val="22"/>
        </w:rPr>
        <w:t xml:space="preserve">31. </w:t>
      </w:r>
      <w:r w:rsidR="00312BFE">
        <w:rPr>
          <w:rFonts w:ascii="Tahoma" w:hAnsi="Tahoma" w:cs="Tahoma"/>
          <w:sz w:val="22"/>
          <w:szCs w:val="22"/>
        </w:rPr>
        <w:t>12</w:t>
      </w:r>
      <w:r w:rsidRPr="00D045D5">
        <w:rPr>
          <w:rFonts w:ascii="Tahoma" w:hAnsi="Tahoma" w:cs="Tahoma"/>
          <w:sz w:val="22"/>
          <w:szCs w:val="22"/>
        </w:rPr>
        <w:t>. 20</w:t>
      </w:r>
      <w:r>
        <w:rPr>
          <w:rFonts w:ascii="Tahoma" w:hAnsi="Tahoma" w:cs="Tahoma"/>
          <w:sz w:val="22"/>
          <w:szCs w:val="22"/>
        </w:rPr>
        <w:t>2</w:t>
      </w:r>
      <w:r w:rsidR="00F77272">
        <w:rPr>
          <w:rFonts w:ascii="Tahoma" w:hAnsi="Tahoma" w:cs="Tahoma"/>
          <w:sz w:val="22"/>
          <w:szCs w:val="22"/>
        </w:rPr>
        <w:t>4</w:t>
      </w:r>
      <w:r w:rsidRPr="00D045D5">
        <w:rPr>
          <w:rFonts w:ascii="Tahoma" w:hAnsi="Tahoma" w:cs="Tahoma"/>
          <w:sz w:val="22"/>
          <w:szCs w:val="22"/>
        </w:rPr>
        <w:t xml:space="preserve"> </w:t>
      </w:r>
      <w:r>
        <w:rPr>
          <w:rFonts w:ascii="Tahoma" w:hAnsi="Tahoma" w:cs="Tahoma"/>
          <w:sz w:val="22"/>
          <w:szCs w:val="22"/>
        </w:rPr>
        <w:t>a podléhá finančnímu vypořádání s rozpočtem poskytovatele za rok 202</w:t>
      </w:r>
      <w:r w:rsidR="00F77272">
        <w:rPr>
          <w:rFonts w:ascii="Tahoma" w:hAnsi="Tahoma" w:cs="Tahoma"/>
          <w:sz w:val="22"/>
          <w:szCs w:val="22"/>
        </w:rPr>
        <w:t>4</w:t>
      </w:r>
      <w:r>
        <w:rPr>
          <w:rFonts w:ascii="Tahoma" w:hAnsi="Tahoma" w:cs="Tahoma"/>
          <w:sz w:val="22"/>
          <w:szCs w:val="22"/>
        </w:rPr>
        <w:t>.</w:t>
      </w:r>
    </w:p>
    <w:p w14:paraId="23B00306" w14:textId="77777777"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5034C2AB"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r w:rsidR="00F2684E">
        <w:rPr>
          <w:rFonts w:ascii="Tahoma" w:hAnsi="Tahoma" w:cs="Tahoma"/>
          <w:sz w:val="22"/>
        </w:rPr>
        <w:t>1</w:t>
      </w:r>
      <w:r w:rsidR="00F77272">
        <w:rPr>
          <w:rFonts w:ascii="Tahoma" w:hAnsi="Tahoma" w:cs="Tahoma"/>
          <w:sz w:val="22"/>
        </w:rPr>
        <w:t>7</w:t>
      </w:r>
      <w:r w:rsidR="00BE1B56">
        <w:rPr>
          <w:rFonts w:ascii="Tahoma" w:hAnsi="Tahoma" w:cs="Tahoma"/>
          <w:sz w:val="22"/>
        </w:rPr>
        <w:t xml:space="preserve">. </w:t>
      </w:r>
      <w:r w:rsidR="00733DB2">
        <w:rPr>
          <w:rFonts w:ascii="Tahoma" w:hAnsi="Tahoma" w:cs="Tahoma"/>
          <w:sz w:val="22"/>
        </w:rPr>
        <w:t>1</w:t>
      </w:r>
      <w:r w:rsidR="00BE1B56">
        <w:rPr>
          <w:rFonts w:ascii="Tahoma" w:hAnsi="Tahoma" w:cs="Tahoma"/>
          <w:sz w:val="22"/>
        </w:rPr>
        <w:t>. 202</w:t>
      </w:r>
      <w:r w:rsidR="00F77272">
        <w:rPr>
          <w:rFonts w:ascii="Tahoma" w:hAnsi="Tahoma" w:cs="Tahoma"/>
          <w:sz w:val="22"/>
        </w:rPr>
        <w:t>5</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lastRenderedPageBreak/>
        <w:t>fotokopie prvotních dokladů, týkajících se čerpání dotace, které musí být doloženy fotokopiemi dokladů o zaplacení. Doložení fotokopie dokladu o zaplacení se nevyžaduje, je-li provedení úhrady zřejmé přímo z prvotního dokladu.</w:t>
      </w:r>
    </w:p>
    <w:p w14:paraId="3949378F"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 xml:space="preserve">na originálu prvotního dokladu musí být uvedeno -  </w:t>
      </w:r>
      <w:r w:rsidRPr="00D045D5">
        <w:rPr>
          <w:rFonts w:ascii="Tahoma" w:hAnsi="Tahoma" w:cs="Tahoma"/>
          <w:i/>
          <w:iCs/>
          <w:sz w:val="22"/>
          <w:szCs w:val="22"/>
        </w:rPr>
        <w:t>„hrazeno z dotace města Strakonice“</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smlouvy, má poskytovatel právo je neposkytnout.</w:t>
      </w:r>
    </w:p>
    <w:p w14:paraId="6AC67A6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lastRenderedPageBreak/>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187BAAA1" w14:textId="77777777" w:rsidR="006F3B93" w:rsidRPr="00D045D5" w:rsidRDefault="006F3B93" w:rsidP="006F3B93">
      <w:pPr>
        <w:pStyle w:val="Zkladntext"/>
        <w:jc w:val="left"/>
        <w:rPr>
          <w:rFonts w:ascii="Tahoma" w:hAnsi="Tahoma" w:cs="Tahoma"/>
          <w:sz w:val="22"/>
          <w:szCs w:val="22"/>
        </w:rPr>
      </w:pP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w:t>
      </w:r>
      <w:r w:rsidRPr="00D25393">
        <w:rPr>
          <w:rFonts w:ascii="Tahoma" w:hAnsi="Tahoma" w:cs="Tahoma"/>
          <w:sz w:val="22"/>
        </w:rPr>
        <w:lastRenderedPageBreak/>
        <w:t>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77777777"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0584FC86" w14:textId="2DFD9CD2" w:rsidR="00701DCE" w:rsidRDefault="00701DCE" w:rsidP="00701DCE">
      <w:pPr>
        <w:tabs>
          <w:tab w:val="left" w:pos="284"/>
        </w:tabs>
        <w:overflowPunct w:val="0"/>
        <w:autoSpaceDE w:val="0"/>
        <w:autoSpaceDN w:val="0"/>
        <w:adjustRightInd w:val="0"/>
        <w:jc w:val="both"/>
        <w:textAlignment w:val="baseline"/>
        <w:rPr>
          <w:rFonts w:ascii="Tahoma" w:hAnsi="Tahoma" w:cs="Tahoma"/>
          <w:sz w:val="22"/>
        </w:rPr>
      </w:pP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77777777"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14:paraId="531E732E" w14:textId="77777777"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14:paraId="523591B0" w14:textId="77777777"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77777777" w:rsidR="00402AA1" w:rsidRP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77777777" w:rsidR="0092711B" w:rsidRPr="0092711B" w:rsidRDefault="0092711B" w:rsidP="0092711B">
      <w:pPr>
        <w:jc w:val="both"/>
        <w:rPr>
          <w:rFonts w:ascii="Tahoma" w:hAnsi="Tahoma" w:cs="Tahoma"/>
          <w:sz w:val="22"/>
          <w:szCs w:val="22"/>
        </w:rPr>
      </w:pPr>
      <w:r w:rsidRPr="0092711B">
        <w:rPr>
          <w:rFonts w:ascii="Tahoma" w:hAnsi="Tahoma" w:cs="Tahoma"/>
          <w:sz w:val="22"/>
          <w:szCs w:val="22"/>
        </w:rPr>
        <w:t>5) Změny a doplňky této smlouvy lze provádět pouze dohodou smluvních stran formou písemných číslovaných dodatků podepsaných oběma smluvními stranami.</w:t>
      </w:r>
    </w:p>
    <w:p w14:paraId="4FC4B759" w14:textId="77777777" w:rsidR="0092711B" w:rsidRDefault="0092711B" w:rsidP="0092711B">
      <w:pPr>
        <w:jc w:val="both"/>
        <w:rPr>
          <w:rFonts w:ascii="Tahoma" w:hAnsi="Tahoma" w:cs="Tahoma"/>
          <w:sz w:val="22"/>
          <w:szCs w:val="22"/>
        </w:rPr>
      </w:pPr>
    </w:p>
    <w:p w14:paraId="53C51BBB" w14:textId="65B444EA" w:rsidR="0092711B" w:rsidRPr="0092711B" w:rsidRDefault="0092711B" w:rsidP="0092711B">
      <w:pPr>
        <w:jc w:val="both"/>
        <w:rPr>
          <w:rFonts w:ascii="Tahoma" w:hAnsi="Tahoma" w:cs="Tahoma"/>
          <w:sz w:val="22"/>
          <w:szCs w:val="22"/>
        </w:rPr>
      </w:pPr>
      <w:r w:rsidRPr="0092711B">
        <w:rPr>
          <w:rFonts w:ascii="Tahoma" w:hAnsi="Tahoma" w:cs="Tahoma"/>
          <w:sz w:val="22"/>
          <w:szCs w:val="22"/>
        </w:rPr>
        <w:t>6) Tato smlouva je sepsána ve dvou vyhotoveních, z nichž jedno obdrží příjemce dotace a jedno poskytovatel.</w:t>
      </w:r>
    </w:p>
    <w:p w14:paraId="4BC5AC60" w14:textId="77777777" w:rsidR="0092711B" w:rsidRPr="0092711B" w:rsidRDefault="0092711B" w:rsidP="0092711B">
      <w:pPr>
        <w:jc w:val="both"/>
        <w:rPr>
          <w:rFonts w:ascii="Tahoma" w:hAnsi="Tahoma" w:cs="Tahoma"/>
          <w:sz w:val="22"/>
          <w:szCs w:val="22"/>
        </w:rPr>
      </w:pPr>
    </w:p>
    <w:p w14:paraId="7972B7BD" w14:textId="3FFAC9A6" w:rsidR="0092711B" w:rsidRPr="0092711B" w:rsidRDefault="0092711B" w:rsidP="0092711B">
      <w:pPr>
        <w:jc w:val="both"/>
        <w:rPr>
          <w:rFonts w:ascii="Tahoma" w:hAnsi="Tahoma" w:cs="Tahoma"/>
          <w:sz w:val="22"/>
          <w:szCs w:val="22"/>
        </w:rPr>
      </w:pPr>
      <w:r w:rsidRPr="0092711B">
        <w:rPr>
          <w:rFonts w:ascii="Tahoma" w:hAnsi="Tahoma" w:cs="Tahoma"/>
          <w:sz w:val="22"/>
          <w:szCs w:val="22"/>
        </w:rPr>
        <w:lastRenderedPageBreak/>
        <w:t xml:space="preserve">7) Uzavření této smlouvy bylo schváleno usnesením Rady města Strakonice č. </w:t>
      </w:r>
      <w:r w:rsidR="00F9786B">
        <w:rPr>
          <w:rFonts w:ascii="Tahoma" w:hAnsi="Tahoma" w:cs="Tahoma"/>
          <w:sz w:val="22"/>
          <w:szCs w:val="22"/>
        </w:rPr>
        <w:t>2462</w:t>
      </w:r>
      <w:r w:rsidRPr="0092711B">
        <w:rPr>
          <w:rFonts w:ascii="Tahoma" w:hAnsi="Tahoma" w:cs="Tahoma"/>
          <w:sz w:val="22"/>
          <w:szCs w:val="22"/>
        </w:rPr>
        <w:t>/202</w:t>
      </w:r>
      <w:r w:rsidR="000355B5">
        <w:rPr>
          <w:rFonts w:ascii="Tahoma" w:hAnsi="Tahoma" w:cs="Tahoma"/>
          <w:sz w:val="22"/>
          <w:szCs w:val="22"/>
        </w:rPr>
        <w:t>4</w:t>
      </w:r>
      <w:r w:rsidRPr="0092711B">
        <w:rPr>
          <w:rFonts w:ascii="Tahoma" w:hAnsi="Tahoma" w:cs="Tahoma"/>
          <w:sz w:val="22"/>
          <w:szCs w:val="22"/>
        </w:rPr>
        <w:t xml:space="preserve"> dne </w:t>
      </w:r>
      <w:r w:rsidR="00F9786B">
        <w:rPr>
          <w:rFonts w:ascii="Tahoma" w:hAnsi="Tahoma" w:cs="Tahoma"/>
          <w:sz w:val="22"/>
          <w:szCs w:val="22"/>
        </w:rPr>
        <w:t>28</w:t>
      </w:r>
      <w:r w:rsidRPr="0092711B">
        <w:rPr>
          <w:rFonts w:ascii="Tahoma" w:hAnsi="Tahoma" w:cs="Tahoma"/>
          <w:sz w:val="22"/>
          <w:szCs w:val="22"/>
        </w:rPr>
        <w:t xml:space="preserve">. </w:t>
      </w:r>
      <w:r w:rsidR="00F9786B">
        <w:rPr>
          <w:rFonts w:ascii="Tahoma" w:hAnsi="Tahoma" w:cs="Tahoma"/>
          <w:sz w:val="22"/>
          <w:szCs w:val="22"/>
        </w:rPr>
        <w:t>8</w:t>
      </w:r>
      <w:r w:rsidRPr="0092711B">
        <w:rPr>
          <w:rFonts w:ascii="Tahoma" w:hAnsi="Tahoma" w:cs="Tahoma"/>
          <w:sz w:val="22"/>
          <w:szCs w:val="22"/>
        </w:rPr>
        <w:t>. 202</w:t>
      </w:r>
      <w:r w:rsidR="000355B5">
        <w:rPr>
          <w:rFonts w:ascii="Tahoma" w:hAnsi="Tahoma" w:cs="Tahoma"/>
          <w:sz w:val="22"/>
          <w:szCs w:val="22"/>
        </w:rPr>
        <w:t>4</w:t>
      </w:r>
      <w:r w:rsidRPr="0092711B">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2D3C4F0E" w14:textId="77777777" w:rsidR="0092711B" w:rsidRPr="0092711B" w:rsidRDefault="0092711B" w:rsidP="0092711B">
      <w:pPr>
        <w:jc w:val="both"/>
        <w:rPr>
          <w:rFonts w:ascii="Tahoma" w:hAnsi="Tahoma" w:cs="Tahoma"/>
          <w:sz w:val="22"/>
          <w:szCs w:val="22"/>
        </w:rPr>
      </w:pPr>
      <w:r w:rsidRPr="0092711B">
        <w:rPr>
          <w:rFonts w:ascii="Tahoma" w:hAnsi="Tahoma" w:cs="Tahoma"/>
          <w:sz w:val="22"/>
          <w:szCs w:val="22"/>
        </w:rPr>
        <w:t>8) Tato smlouva nabývá platnosti a účinnosti dnem podpisu oprávněnými zástupci obou smluvních stran. Změny a doplňky této smlouvy lze provádět pouze dohodou smluvních stran formou písemných číslovaných dodatků podepsaných oběma smluvními stranami</w:t>
      </w:r>
    </w:p>
    <w:p w14:paraId="7DB19C68" w14:textId="77777777"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 </w:t>
      </w:r>
    </w:p>
    <w:p w14:paraId="6A5535B0" w14:textId="21CA3732" w:rsidR="006F3B93" w:rsidRDefault="0092711B" w:rsidP="0092711B">
      <w:pPr>
        <w:jc w:val="both"/>
        <w:rPr>
          <w:rFonts w:ascii="Tahoma" w:hAnsi="Tahoma" w:cs="Tahoma"/>
          <w:snapToGrid w:val="0"/>
          <w:sz w:val="22"/>
          <w:szCs w:val="22"/>
        </w:rPr>
      </w:pPr>
      <w:r w:rsidRPr="0092711B">
        <w:rPr>
          <w:rFonts w:ascii="Tahoma" w:hAnsi="Tahoma" w:cs="Tahoma"/>
          <w:sz w:val="22"/>
          <w:szCs w:val="22"/>
        </w:rPr>
        <w:t>9)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76B34E52"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F9786B">
        <w:rPr>
          <w:rFonts w:ascii="Tahoma" w:hAnsi="Tahoma" w:cs="Tahoma"/>
          <w:sz w:val="22"/>
          <w:szCs w:val="22"/>
        </w:rPr>
        <w:t>Mgr. Radek Sosna</w:t>
      </w:r>
      <w:r w:rsidR="000A67DC" w:rsidRPr="00D045D5">
        <w:rPr>
          <w:rFonts w:ascii="Tahoma" w:hAnsi="Tahoma" w:cs="Tahoma"/>
          <w:sz w:val="22"/>
          <w:szCs w:val="22"/>
        </w:rPr>
        <w:tab/>
      </w:r>
    </w:p>
    <w:p w14:paraId="5FE99306" w14:textId="50D81886"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F9786B">
        <w:rPr>
          <w:rFonts w:ascii="Tahoma" w:hAnsi="Tahoma" w:cs="Tahoma"/>
          <w:sz w:val="22"/>
          <w:szCs w:val="22"/>
        </w:rPr>
        <w:t>místo</w:t>
      </w:r>
      <w:r w:rsidR="00BE1B56">
        <w:rPr>
          <w:rFonts w:ascii="Tahoma" w:hAnsi="Tahoma" w:cs="Tahoma"/>
          <w:sz w:val="22"/>
          <w:szCs w:val="22"/>
        </w:rPr>
        <w:t>předseda sp</w:t>
      </w:r>
      <w:r w:rsidR="00652A2B">
        <w:rPr>
          <w:rFonts w:ascii="Tahoma" w:hAnsi="Tahoma" w:cs="Tahoma"/>
          <w:sz w:val="22"/>
          <w:szCs w:val="22"/>
        </w:rPr>
        <w:t>olku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91AAB"/>
    <w:rsid w:val="00095E76"/>
    <w:rsid w:val="000A2562"/>
    <w:rsid w:val="000A2E56"/>
    <w:rsid w:val="000A438E"/>
    <w:rsid w:val="000A67DC"/>
    <w:rsid w:val="000B15F0"/>
    <w:rsid w:val="000B26F2"/>
    <w:rsid w:val="000B3BCE"/>
    <w:rsid w:val="000B4AA7"/>
    <w:rsid w:val="000D0DE5"/>
    <w:rsid w:val="000D36C0"/>
    <w:rsid w:val="000F58DA"/>
    <w:rsid w:val="000F7C93"/>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468C"/>
    <w:rsid w:val="002A5542"/>
    <w:rsid w:val="002A61B4"/>
    <w:rsid w:val="002A75F9"/>
    <w:rsid w:val="002B1E09"/>
    <w:rsid w:val="002B2300"/>
    <w:rsid w:val="002B4265"/>
    <w:rsid w:val="002E27D5"/>
    <w:rsid w:val="00310940"/>
    <w:rsid w:val="00312BFE"/>
    <w:rsid w:val="003146B1"/>
    <w:rsid w:val="0037571B"/>
    <w:rsid w:val="00376A1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A40E4"/>
    <w:rsid w:val="004B23A7"/>
    <w:rsid w:val="004B4BF1"/>
    <w:rsid w:val="004C2B3B"/>
    <w:rsid w:val="004C2ECF"/>
    <w:rsid w:val="004C5B1B"/>
    <w:rsid w:val="004D657C"/>
    <w:rsid w:val="004E1CDB"/>
    <w:rsid w:val="004E442A"/>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C64CD"/>
    <w:rsid w:val="005D2432"/>
    <w:rsid w:val="005D4C09"/>
    <w:rsid w:val="005D50F7"/>
    <w:rsid w:val="005D565A"/>
    <w:rsid w:val="005E11E4"/>
    <w:rsid w:val="005E1BD6"/>
    <w:rsid w:val="005F2E19"/>
    <w:rsid w:val="0063452B"/>
    <w:rsid w:val="00635ACD"/>
    <w:rsid w:val="00644561"/>
    <w:rsid w:val="00652A2B"/>
    <w:rsid w:val="006564B4"/>
    <w:rsid w:val="00676D9D"/>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AAD"/>
    <w:rsid w:val="007B1183"/>
    <w:rsid w:val="007E1BB2"/>
    <w:rsid w:val="007F2A25"/>
    <w:rsid w:val="007F6255"/>
    <w:rsid w:val="007F7E86"/>
    <w:rsid w:val="00802F9C"/>
    <w:rsid w:val="008174FF"/>
    <w:rsid w:val="00820656"/>
    <w:rsid w:val="0082383B"/>
    <w:rsid w:val="00823E6C"/>
    <w:rsid w:val="008370EA"/>
    <w:rsid w:val="00837BBF"/>
    <w:rsid w:val="0084507C"/>
    <w:rsid w:val="00854B91"/>
    <w:rsid w:val="00866121"/>
    <w:rsid w:val="00874262"/>
    <w:rsid w:val="00881F4F"/>
    <w:rsid w:val="0088417B"/>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70317"/>
    <w:rsid w:val="00975219"/>
    <w:rsid w:val="00975BA1"/>
    <w:rsid w:val="009841F1"/>
    <w:rsid w:val="00995C90"/>
    <w:rsid w:val="00996C05"/>
    <w:rsid w:val="009B689B"/>
    <w:rsid w:val="009C133D"/>
    <w:rsid w:val="009C31DB"/>
    <w:rsid w:val="009C5BC9"/>
    <w:rsid w:val="009D2D94"/>
    <w:rsid w:val="009D4F06"/>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B01A8E"/>
    <w:rsid w:val="00B02086"/>
    <w:rsid w:val="00B0739A"/>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1571A"/>
    <w:rsid w:val="00C15BFC"/>
    <w:rsid w:val="00C17FA0"/>
    <w:rsid w:val="00C22E1B"/>
    <w:rsid w:val="00C30552"/>
    <w:rsid w:val="00C321FD"/>
    <w:rsid w:val="00C47066"/>
    <w:rsid w:val="00C4793B"/>
    <w:rsid w:val="00C96CBF"/>
    <w:rsid w:val="00CA790C"/>
    <w:rsid w:val="00CB0B50"/>
    <w:rsid w:val="00CB7933"/>
    <w:rsid w:val="00CC3409"/>
    <w:rsid w:val="00CD7F20"/>
    <w:rsid w:val="00CE31EF"/>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A377F"/>
    <w:rsid w:val="00DB4C40"/>
    <w:rsid w:val="00DB531C"/>
    <w:rsid w:val="00DC04B2"/>
    <w:rsid w:val="00DC22C4"/>
    <w:rsid w:val="00DD194E"/>
    <w:rsid w:val="00DE58B5"/>
    <w:rsid w:val="00DE7FA9"/>
    <w:rsid w:val="00DF66AA"/>
    <w:rsid w:val="00E00101"/>
    <w:rsid w:val="00E0245E"/>
    <w:rsid w:val="00E115B8"/>
    <w:rsid w:val="00E31A4C"/>
    <w:rsid w:val="00E33CB9"/>
    <w:rsid w:val="00E35401"/>
    <w:rsid w:val="00E35E4D"/>
    <w:rsid w:val="00E40591"/>
    <w:rsid w:val="00E405D6"/>
    <w:rsid w:val="00E40978"/>
    <w:rsid w:val="00E426A5"/>
    <w:rsid w:val="00E53B6E"/>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7846"/>
    <w:rsid w:val="00EE0A30"/>
    <w:rsid w:val="00EE298D"/>
    <w:rsid w:val="00EE53BF"/>
    <w:rsid w:val="00EF050A"/>
    <w:rsid w:val="00EF1280"/>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9786B"/>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DF195-38D2-4968-BA04-EC2A520D3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1946</Words>
  <Characters>11460</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4</cp:revision>
  <cp:lastPrinted>2022-06-27T11:34:00Z</cp:lastPrinted>
  <dcterms:created xsi:type="dcterms:W3CDTF">2024-09-16T07:09:00Z</dcterms:created>
  <dcterms:modified xsi:type="dcterms:W3CDTF">2024-09-16T07:20:00Z</dcterms:modified>
</cp:coreProperties>
</file>