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38" w:rsidRDefault="0004498F">
      <w:pPr>
        <w:spacing w:before="73"/>
        <w:ind w:left="134" w:right="15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Dodatek č. 2</w:t>
      </w:r>
    </w:p>
    <w:p w:rsidR="005B3A38" w:rsidRDefault="0004498F">
      <w:pPr>
        <w:pStyle w:val="Nadpis1"/>
        <w:spacing w:before="1"/>
        <w:ind w:right="150"/>
      </w:pPr>
      <w:r>
        <w:t>ke Smlouvě o účasti na řešení projektu č. NU21-04-00307 a poskytnutí účelové podpory ze státního rozpočtu ČR (dále jen „tento Dodatek“)</w:t>
      </w:r>
    </w:p>
    <w:p w:rsidR="005B3A38" w:rsidRDefault="005B3A38">
      <w:pPr>
        <w:pStyle w:val="Zkladntext"/>
        <w:rPr>
          <w:b/>
          <w:sz w:val="24"/>
        </w:rPr>
      </w:pPr>
    </w:p>
    <w:p w:rsidR="005B3A38" w:rsidRDefault="005B3A38">
      <w:pPr>
        <w:pStyle w:val="Zkladntext"/>
        <w:spacing w:before="1"/>
        <w:rPr>
          <w:b/>
          <w:sz w:val="24"/>
        </w:rPr>
      </w:pPr>
    </w:p>
    <w:p w:rsidR="005B3A38" w:rsidRDefault="0004498F">
      <w:pPr>
        <w:spacing w:line="250" w:lineRule="exact"/>
        <w:ind w:left="103"/>
        <w:rPr>
          <w:b/>
        </w:rPr>
      </w:pPr>
      <w:r>
        <w:rPr>
          <w:b/>
        </w:rPr>
        <w:t>Národní ústav duševního zdraví</w:t>
      </w:r>
    </w:p>
    <w:p w:rsidR="005B3A38" w:rsidRDefault="0004498F">
      <w:pPr>
        <w:pStyle w:val="Zkladntext"/>
        <w:ind w:left="103" w:right="5734"/>
      </w:pPr>
      <w:r>
        <w:t xml:space="preserve">se sídlem: Topolová 748, 250 67 Klecany ID datové schránky: </w:t>
      </w:r>
      <w:proofErr w:type="spellStart"/>
      <w:r>
        <w:t>uehpcbb</w:t>
      </w:r>
      <w:proofErr w:type="spellEnd"/>
    </w:p>
    <w:p w:rsidR="005B3A38" w:rsidRDefault="0004498F">
      <w:pPr>
        <w:pStyle w:val="Zkladntext"/>
        <w:ind w:left="103" w:right="4507"/>
      </w:pPr>
      <w:r>
        <w:t>zastoupený: PhDr. Petrem Winklerem, Ph.D., ředitelem IČ: 00023752</w:t>
      </w:r>
    </w:p>
    <w:p w:rsidR="005B3A38" w:rsidRDefault="0004498F">
      <w:pPr>
        <w:pStyle w:val="Zkladntext"/>
        <w:spacing w:line="252" w:lineRule="exact"/>
        <w:ind w:left="103"/>
      </w:pPr>
      <w:r>
        <w:t>DIČ: CZ00023752</w:t>
      </w:r>
    </w:p>
    <w:p w:rsidR="005B3A38" w:rsidRDefault="0004498F">
      <w:pPr>
        <w:pStyle w:val="Zkladntext"/>
        <w:ind w:left="103" w:right="3742"/>
      </w:pPr>
      <w:r>
        <w:t>bankovní spojení: Česká národní banka, č. účtu: 25234081/0710 (dále jen „příjemce“)</w:t>
      </w:r>
    </w:p>
    <w:p w:rsidR="005B3A38" w:rsidRDefault="005B3A38">
      <w:pPr>
        <w:pStyle w:val="Zkladntext"/>
        <w:spacing w:before="9"/>
        <w:rPr>
          <w:sz w:val="21"/>
        </w:rPr>
      </w:pPr>
    </w:p>
    <w:p w:rsidR="005B3A38" w:rsidRDefault="0004498F">
      <w:pPr>
        <w:pStyle w:val="Zkladntext"/>
        <w:ind w:right="16"/>
        <w:jc w:val="center"/>
      </w:pPr>
      <w:r>
        <w:t>a</w:t>
      </w:r>
    </w:p>
    <w:p w:rsidR="005B3A38" w:rsidRDefault="005B3A38">
      <w:pPr>
        <w:pStyle w:val="Zkladntext"/>
        <w:spacing w:before="5"/>
      </w:pPr>
    </w:p>
    <w:p w:rsidR="005B3A38" w:rsidRDefault="0004498F">
      <w:pPr>
        <w:pStyle w:val="Nadpis1"/>
        <w:spacing w:line="251" w:lineRule="exact"/>
        <w:ind w:left="103"/>
        <w:jc w:val="left"/>
      </w:pPr>
      <w:r>
        <w:t>Vysoká škola chemicko-technologická v Praze</w:t>
      </w:r>
    </w:p>
    <w:p w:rsidR="005B3A38" w:rsidRDefault="0004498F">
      <w:pPr>
        <w:pStyle w:val="Zkladntext"/>
        <w:ind w:left="103" w:right="5612"/>
      </w:pPr>
      <w:r>
        <w:t>se sídlem: Technická 1905/5, 166 28 Praha IČ: 60461373</w:t>
      </w:r>
    </w:p>
    <w:p w:rsidR="005B3A38" w:rsidRDefault="0004498F">
      <w:pPr>
        <w:pStyle w:val="Zkladntext"/>
        <w:spacing w:line="251" w:lineRule="exact"/>
        <w:ind w:left="103"/>
      </w:pPr>
      <w:r>
        <w:t>DIČ: CZ60461373</w:t>
      </w:r>
    </w:p>
    <w:p w:rsidR="0009245F" w:rsidRDefault="0004498F">
      <w:pPr>
        <w:pStyle w:val="Zkladntext"/>
        <w:ind w:left="103" w:right="4018"/>
      </w:pPr>
      <w:r>
        <w:t xml:space="preserve">Zastoupená: </w:t>
      </w:r>
      <w:r w:rsidR="0009245F" w:rsidRPr="0004498F">
        <w:rPr>
          <w:b/>
          <w:highlight w:val="yellow"/>
        </w:rPr>
        <w:t>VYMAZÁNO</w:t>
      </w:r>
    </w:p>
    <w:p w:rsidR="005B3A38" w:rsidRDefault="0004498F">
      <w:pPr>
        <w:pStyle w:val="Zkladntext"/>
        <w:ind w:left="103" w:right="4018"/>
      </w:pPr>
      <w:r>
        <w:t>Bankovní spojení: ČSOB, číslo účtu: 130197294/0300</w:t>
      </w:r>
    </w:p>
    <w:p w:rsidR="005B3A38" w:rsidRDefault="0004498F">
      <w:pPr>
        <w:pStyle w:val="Zkladntext"/>
        <w:ind w:left="103"/>
      </w:pPr>
      <w:r>
        <w:t>(dále jen „Další účastník“)</w:t>
      </w:r>
    </w:p>
    <w:p w:rsidR="005B3A38" w:rsidRDefault="005B3A38">
      <w:pPr>
        <w:pStyle w:val="Zkladntext"/>
        <w:rPr>
          <w:sz w:val="24"/>
        </w:rPr>
      </w:pPr>
    </w:p>
    <w:p w:rsidR="005B3A38" w:rsidRDefault="005B3A38">
      <w:pPr>
        <w:pStyle w:val="Zkladntext"/>
        <w:spacing w:before="4"/>
        <w:rPr>
          <w:sz w:val="20"/>
        </w:rPr>
      </w:pPr>
    </w:p>
    <w:p w:rsidR="005B3A38" w:rsidRDefault="0004498F">
      <w:pPr>
        <w:pStyle w:val="Nadpis1"/>
        <w:spacing w:before="1" w:line="250" w:lineRule="exact"/>
        <w:ind w:left="3073"/>
        <w:jc w:val="both"/>
      </w:pPr>
      <w:r>
        <w:t>uzavírají tento Dodatek na základě:</w:t>
      </w:r>
    </w:p>
    <w:p w:rsidR="005B3A38" w:rsidRDefault="0004498F">
      <w:pPr>
        <w:pStyle w:val="Zkladntext"/>
        <w:ind w:left="103" w:right="116"/>
        <w:jc w:val="both"/>
      </w:pPr>
      <w:r>
        <w:t xml:space="preserve">Dodatku č. 2 ke Smlouvě o poskytnutí účelové podpory na řešení projektu č. </w:t>
      </w:r>
      <w:r>
        <w:rPr>
          <w:b/>
        </w:rPr>
        <w:t>NU21-04-00307 – změna uznaných nákladů</w:t>
      </w:r>
      <w:r>
        <w:t>, uzavřeném mezi příjemcem a poskytovatelem Českou republikou – Ministerstvem zdravotnictví (dále jen „Dodatek č. 2“), který je nedílnou přílohou tohoto Dodatku.</w:t>
      </w:r>
    </w:p>
    <w:p w:rsidR="005B3A38" w:rsidRDefault="005B3A38">
      <w:pPr>
        <w:pStyle w:val="Zkladntext"/>
        <w:rPr>
          <w:sz w:val="24"/>
        </w:rPr>
      </w:pPr>
    </w:p>
    <w:p w:rsidR="005B3A38" w:rsidRDefault="005B3A38">
      <w:pPr>
        <w:pStyle w:val="Zkladntext"/>
        <w:spacing w:before="2"/>
        <w:rPr>
          <w:sz w:val="20"/>
        </w:rPr>
      </w:pPr>
    </w:p>
    <w:p w:rsidR="005B3A38" w:rsidRDefault="0004498F">
      <w:pPr>
        <w:pStyle w:val="Nadpis1"/>
        <w:ind w:right="147"/>
      </w:pPr>
      <w:r>
        <w:t>Čl. 1</w:t>
      </w:r>
    </w:p>
    <w:p w:rsidR="005B3A38" w:rsidRDefault="005B3A38">
      <w:pPr>
        <w:pStyle w:val="Zkladntext"/>
        <w:spacing w:before="7"/>
        <w:rPr>
          <w:b/>
          <w:sz w:val="21"/>
        </w:rPr>
      </w:pPr>
    </w:p>
    <w:p w:rsidR="005B3A38" w:rsidRDefault="0004498F">
      <w:pPr>
        <w:pStyle w:val="Odstavecseseznamem"/>
        <w:numPr>
          <w:ilvl w:val="0"/>
          <w:numId w:val="3"/>
        </w:numPr>
        <w:tabs>
          <w:tab w:val="left" w:pos="669"/>
          <w:tab w:val="left" w:pos="671"/>
        </w:tabs>
        <w:spacing w:line="252" w:lineRule="exact"/>
        <w:ind w:hanging="568"/>
      </w:pPr>
      <w:r>
        <w:t>Mezi</w:t>
      </w:r>
      <w:r>
        <w:rPr>
          <w:spacing w:val="8"/>
        </w:rPr>
        <w:t xml:space="preserve"> </w:t>
      </w:r>
      <w:r>
        <w:t>shora</w:t>
      </w:r>
      <w:r>
        <w:rPr>
          <w:spacing w:val="8"/>
        </w:rPr>
        <w:t xml:space="preserve"> </w:t>
      </w:r>
      <w:r>
        <w:t>uvedenými</w:t>
      </w:r>
      <w:r>
        <w:rPr>
          <w:spacing w:val="9"/>
        </w:rPr>
        <w:t xml:space="preserve"> </w:t>
      </w:r>
      <w:r>
        <w:t>stranami</w:t>
      </w:r>
      <w:r>
        <w:rPr>
          <w:spacing w:val="8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t>30. 3.</w:t>
      </w:r>
      <w:r>
        <w:rPr>
          <w:spacing w:val="-1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uzavřena</w:t>
      </w:r>
      <w:r>
        <w:rPr>
          <w:spacing w:val="9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účasti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řešení</w:t>
      </w:r>
    </w:p>
    <w:p w:rsidR="005B3A38" w:rsidRDefault="0004498F">
      <w:pPr>
        <w:spacing w:line="252" w:lineRule="exact"/>
        <w:ind w:left="670"/>
      </w:pPr>
      <w:r>
        <w:rPr>
          <w:b/>
        </w:rPr>
        <w:t xml:space="preserve">projektu NU21-04-00307 </w:t>
      </w:r>
      <w:r>
        <w:t>a poskytnutí účelové podpory ze státního rozpočtu ČR (dále jen</w:t>
      </w:r>
    </w:p>
    <w:p w:rsidR="005B3A38" w:rsidRDefault="0004498F">
      <w:pPr>
        <w:spacing w:before="1" w:line="244" w:lineRule="auto"/>
        <w:ind w:left="670"/>
        <w:rPr>
          <w:b/>
        </w:rPr>
      </w:pPr>
      <w:r>
        <w:t xml:space="preserve">„Smlouva“), jejímž předmětem je řešení projektu </w:t>
      </w:r>
      <w:r>
        <w:rPr>
          <w:b/>
        </w:rPr>
        <w:t>„</w:t>
      </w:r>
      <w:proofErr w:type="spellStart"/>
      <w:r>
        <w:rPr>
          <w:b/>
        </w:rPr>
        <w:t>Psilocybin</w:t>
      </w:r>
      <w:proofErr w:type="spellEnd"/>
      <w:r>
        <w:rPr>
          <w:b/>
        </w:rPr>
        <w:t xml:space="preserve"> versus </w:t>
      </w:r>
      <w:proofErr w:type="spellStart"/>
      <w:r>
        <w:rPr>
          <w:b/>
        </w:rPr>
        <w:t>ketamin</w:t>
      </w:r>
      <w:proofErr w:type="spellEnd"/>
      <w:r>
        <w:rPr>
          <w:b/>
        </w:rPr>
        <w:t xml:space="preserve"> – strategie rychlé antidepresivní odpovědi u deprese resistentní k léčbě“.</w:t>
      </w:r>
    </w:p>
    <w:p w:rsidR="005B3A38" w:rsidRDefault="005B3A38">
      <w:pPr>
        <w:pStyle w:val="Zkladntext"/>
        <w:spacing w:before="1"/>
        <w:rPr>
          <w:b/>
          <w:sz w:val="21"/>
        </w:rPr>
      </w:pPr>
    </w:p>
    <w:p w:rsidR="005B3A38" w:rsidRDefault="0004498F">
      <w:pPr>
        <w:ind w:left="670" w:right="119" w:hanging="15"/>
        <w:jc w:val="both"/>
      </w:pPr>
      <w:r>
        <w:t xml:space="preserve">Smluvní strany se tímto Dodatkem dohodly na </w:t>
      </w:r>
      <w:r>
        <w:rPr>
          <w:b/>
        </w:rPr>
        <w:t xml:space="preserve">navýšení uznaných nákladů Projektu o vlastní vklad v celkové výši 60 tis. Kč v položce Osobní náklady. </w:t>
      </w:r>
      <w:r>
        <w:t>Tato změna je odůvodněna prodloužením doby trvání Smlouvy a doby řešení Projektu o jeden rok, tj. do 31. 12. 2025 bez nároku na účelovou podporu poskytnutou od Poskytovatele.</w:t>
      </w:r>
    </w:p>
    <w:p w:rsidR="005B3A38" w:rsidRDefault="005B3A38">
      <w:pPr>
        <w:pStyle w:val="Zkladntext"/>
        <w:spacing w:before="1"/>
      </w:pPr>
    </w:p>
    <w:p w:rsidR="005B3A38" w:rsidRDefault="0004498F">
      <w:pPr>
        <w:pStyle w:val="Odstavecseseznamem"/>
        <w:numPr>
          <w:ilvl w:val="0"/>
          <w:numId w:val="3"/>
        </w:numPr>
        <w:tabs>
          <w:tab w:val="left" w:pos="669"/>
          <w:tab w:val="left" w:pos="671"/>
        </w:tabs>
        <w:ind w:right="125"/>
      </w:pPr>
      <w:r>
        <w:t>Tato změna byla schválena odpovědnými orgány Agentury pro zdravotnický výzkum České republiky (dále jen „AZV“) na základě žádosti o změnu ze dne 6. 5.</w:t>
      </w:r>
      <w:r>
        <w:rPr>
          <w:spacing w:val="-5"/>
        </w:rPr>
        <w:t xml:space="preserve"> </w:t>
      </w:r>
      <w:r>
        <w:t>2024.</w:t>
      </w:r>
    </w:p>
    <w:p w:rsidR="005B3A38" w:rsidRDefault="005B3A38">
      <w:pPr>
        <w:pStyle w:val="Zkladntext"/>
        <w:rPr>
          <w:sz w:val="24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04498F">
      <w:pPr>
        <w:pStyle w:val="Odstavecseseznamem"/>
        <w:numPr>
          <w:ilvl w:val="0"/>
          <w:numId w:val="3"/>
        </w:numPr>
        <w:tabs>
          <w:tab w:val="left" w:pos="669"/>
          <w:tab w:val="left" w:pos="671"/>
        </w:tabs>
        <w:spacing w:before="1"/>
        <w:ind w:hanging="568"/>
      </w:pPr>
      <w:r>
        <w:t>Ostatní ustanovení Smlouvy se nemění a zůstávají v</w:t>
      </w:r>
      <w:r>
        <w:rPr>
          <w:spacing w:val="-1"/>
        </w:rPr>
        <w:t xml:space="preserve"> </w:t>
      </w:r>
      <w:r>
        <w:t>platnosti.</w:t>
      </w:r>
    </w:p>
    <w:p w:rsidR="005B3A38" w:rsidRDefault="005B3A38">
      <w:pPr>
        <w:pStyle w:val="Zkladntext"/>
        <w:spacing w:before="5"/>
      </w:pPr>
    </w:p>
    <w:p w:rsidR="005B3A38" w:rsidRDefault="0004498F">
      <w:pPr>
        <w:pStyle w:val="Nadpis1"/>
        <w:ind w:right="147"/>
      </w:pPr>
      <w:r>
        <w:t>Čl. 2</w:t>
      </w:r>
    </w:p>
    <w:p w:rsidR="005B3A38" w:rsidRDefault="005B3A38">
      <w:pPr>
        <w:pStyle w:val="Zkladntext"/>
        <w:rPr>
          <w:b/>
          <w:sz w:val="24"/>
        </w:rPr>
      </w:pPr>
    </w:p>
    <w:p w:rsidR="005B3A38" w:rsidRDefault="005B3A38">
      <w:pPr>
        <w:pStyle w:val="Zkladntext"/>
        <w:spacing w:before="6"/>
        <w:rPr>
          <w:b/>
          <w:sz w:val="19"/>
        </w:rPr>
      </w:pPr>
    </w:p>
    <w:p w:rsidR="005B3A38" w:rsidRDefault="0004498F">
      <w:pPr>
        <w:pStyle w:val="Odstavecseseznamem"/>
        <w:numPr>
          <w:ilvl w:val="0"/>
          <w:numId w:val="2"/>
        </w:numPr>
        <w:tabs>
          <w:tab w:val="left" w:pos="669"/>
          <w:tab w:val="left" w:pos="671"/>
        </w:tabs>
        <w:ind w:right="123"/>
      </w:pPr>
      <w:r>
        <w:t>Smluvní strany konstatují, že tento Dodatek podléhající povinnému uveřejnění nabývá účinnosti dnem</w:t>
      </w:r>
      <w:r>
        <w:rPr>
          <w:spacing w:val="-4"/>
        </w:rPr>
        <w:t xml:space="preserve"> </w:t>
      </w:r>
      <w:r>
        <w:t>uveřejnění.</w:t>
      </w:r>
    </w:p>
    <w:p w:rsidR="005B3A38" w:rsidRDefault="005B3A38">
      <w:pPr>
        <w:sectPr w:rsidR="005B3A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200" w:right="1180" w:bottom="1380" w:left="1200" w:header="708" w:footer="1197" w:gutter="0"/>
          <w:pgNumType w:start="1"/>
          <w:cols w:space="708"/>
        </w:sectPr>
      </w:pPr>
    </w:p>
    <w:p w:rsidR="005B3A38" w:rsidRDefault="0004498F">
      <w:pPr>
        <w:pStyle w:val="Odstavecseseznamem"/>
        <w:numPr>
          <w:ilvl w:val="0"/>
          <w:numId w:val="2"/>
        </w:numPr>
        <w:tabs>
          <w:tab w:val="left" w:pos="671"/>
        </w:tabs>
        <w:spacing w:before="70"/>
        <w:ind w:right="117"/>
        <w:jc w:val="both"/>
      </w:pPr>
      <w:r>
        <w:lastRenderedPageBreak/>
        <w:t>K uveřejnění tohoto Dodatku se zavazuje příjemce. Smluvní strany se dohodly, že tento Dodatek bude uveřejněn jako celek s vyloučením informací, které nelze poskytnout při postupu podle předpisů upravujících svobodný přístup k informacím z důvodu ochrany osobních údajů nebo bankovního</w:t>
      </w:r>
      <w:r>
        <w:rPr>
          <w:spacing w:val="-1"/>
        </w:rPr>
        <w:t xml:space="preserve"> </w:t>
      </w:r>
      <w:r>
        <w:t>tajemství.</w:t>
      </w:r>
    </w:p>
    <w:p w:rsidR="005B3A38" w:rsidRDefault="005B3A38">
      <w:pPr>
        <w:pStyle w:val="Zkladntext"/>
        <w:rPr>
          <w:sz w:val="24"/>
        </w:rPr>
      </w:pPr>
    </w:p>
    <w:p w:rsidR="005B3A38" w:rsidRDefault="005B3A38">
      <w:pPr>
        <w:pStyle w:val="Zkladntext"/>
        <w:spacing w:before="3"/>
        <w:rPr>
          <w:sz w:val="20"/>
        </w:rPr>
      </w:pPr>
    </w:p>
    <w:p w:rsidR="005B3A38" w:rsidRDefault="0004498F">
      <w:pPr>
        <w:pStyle w:val="Nadpis1"/>
        <w:spacing w:before="1"/>
        <w:ind w:right="147"/>
      </w:pPr>
      <w:r>
        <w:t>Čl. 3</w:t>
      </w:r>
    </w:p>
    <w:p w:rsidR="005B3A38" w:rsidRDefault="005B3A38">
      <w:pPr>
        <w:pStyle w:val="Zkladntext"/>
        <w:spacing w:before="7"/>
        <w:rPr>
          <w:b/>
          <w:sz w:val="21"/>
        </w:rPr>
      </w:pPr>
    </w:p>
    <w:p w:rsidR="005B3A38" w:rsidRDefault="0004498F">
      <w:pPr>
        <w:pStyle w:val="Odstavecseseznamem"/>
        <w:numPr>
          <w:ilvl w:val="0"/>
          <w:numId w:val="1"/>
        </w:numPr>
        <w:tabs>
          <w:tab w:val="left" w:pos="671"/>
        </w:tabs>
        <w:ind w:right="122"/>
        <w:jc w:val="both"/>
      </w:pPr>
      <w:r>
        <w:t>Pokud je tento Dodatek uzavírán v písemné formě, Tento dodatek může být uzavřen i elektronickými prostředky v souladu se zákonem č. 297/2016 Sb., o službách vytvářejících důvěru pro elektronické transakce, ve znění pozdějších</w:t>
      </w:r>
      <w:r>
        <w:rPr>
          <w:spacing w:val="-4"/>
        </w:rPr>
        <w:t xml:space="preserve"> </w:t>
      </w:r>
      <w:r>
        <w:t>předpisů.</w:t>
      </w:r>
    </w:p>
    <w:p w:rsidR="005B3A38" w:rsidRDefault="005B3A38">
      <w:pPr>
        <w:pStyle w:val="Zkladntext"/>
        <w:spacing w:before="7"/>
        <w:rPr>
          <w:sz w:val="25"/>
        </w:rPr>
      </w:pPr>
    </w:p>
    <w:p w:rsidR="005B3A38" w:rsidRDefault="0004498F">
      <w:pPr>
        <w:pStyle w:val="Odstavecseseznamem"/>
        <w:numPr>
          <w:ilvl w:val="0"/>
          <w:numId w:val="1"/>
        </w:numPr>
        <w:tabs>
          <w:tab w:val="left" w:pos="671"/>
        </w:tabs>
        <w:ind w:right="124"/>
        <w:jc w:val="both"/>
      </w:pPr>
      <w:r>
        <w:t>Tento Dodatek se uzavírá na dobu určitou, a to na dobu schválenou poskytovatelem k řešení grantového</w:t>
      </w:r>
      <w:r>
        <w:rPr>
          <w:spacing w:val="-1"/>
        </w:rPr>
        <w:t xml:space="preserve"> </w:t>
      </w:r>
      <w:r>
        <w:t>projektu.</w:t>
      </w:r>
    </w:p>
    <w:p w:rsidR="005B3A38" w:rsidRDefault="005B3A38">
      <w:pPr>
        <w:pStyle w:val="Zkladntext"/>
        <w:spacing w:before="9"/>
        <w:rPr>
          <w:sz w:val="21"/>
        </w:rPr>
      </w:pPr>
    </w:p>
    <w:p w:rsidR="005B3A38" w:rsidRDefault="0004498F">
      <w:pPr>
        <w:pStyle w:val="Odstavecseseznamem"/>
        <w:numPr>
          <w:ilvl w:val="0"/>
          <w:numId w:val="1"/>
        </w:numPr>
        <w:tabs>
          <w:tab w:val="left" w:pos="671"/>
        </w:tabs>
        <w:ind w:right="120"/>
        <w:jc w:val="both"/>
      </w:pPr>
      <w:r>
        <w:t>Smluvní strany svými níže připojenými podpisy potvrzují, že jsou seznámeny a srozuměny s celým obsahem tohoto Dodatku a že pokud jim z tohoto Dodatku plynou jakékoli povinnosti či naopak práva, bez výhrad je přijímají a takto se k tomuto Dodatku</w:t>
      </w:r>
      <w:r>
        <w:rPr>
          <w:spacing w:val="-12"/>
        </w:rPr>
        <w:t xml:space="preserve"> </w:t>
      </w:r>
      <w:r>
        <w:t>připojují.</w:t>
      </w: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rPr>
          <w:sz w:val="20"/>
        </w:rPr>
      </w:pPr>
    </w:p>
    <w:p w:rsidR="005B3A38" w:rsidRDefault="005B3A38">
      <w:pPr>
        <w:pStyle w:val="Zkladntext"/>
        <w:spacing w:before="7"/>
        <w:rPr>
          <w:sz w:val="27"/>
        </w:rPr>
      </w:pPr>
    </w:p>
    <w:p w:rsidR="005B3A38" w:rsidRDefault="005B3A38">
      <w:pPr>
        <w:rPr>
          <w:sz w:val="27"/>
        </w:rPr>
        <w:sectPr w:rsidR="005B3A38">
          <w:pgSz w:w="11910" w:h="16850"/>
          <w:pgMar w:top="1200" w:right="1180" w:bottom="1380" w:left="1200" w:header="0" w:footer="1197" w:gutter="0"/>
          <w:cols w:space="708"/>
        </w:sectPr>
      </w:pPr>
    </w:p>
    <w:p w:rsidR="005B3A38" w:rsidRDefault="0009245F" w:rsidP="0009245F">
      <w:pPr>
        <w:pStyle w:val="Zkladntext"/>
        <w:spacing w:before="11"/>
        <w:rPr>
          <w:rFonts w:ascii="Arial"/>
          <w:sz w:val="8"/>
        </w:rPr>
        <w:sectPr w:rsidR="005B3A38">
          <w:type w:val="continuous"/>
          <w:pgSz w:w="11910" w:h="16850"/>
          <w:pgMar w:top="1200" w:right="1180" w:bottom="1380" w:left="1200" w:header="708" w:footer="708" w:gutter="0"/>
          <w:cols w:num="4" w:space="708" w:equalWidth="0">
            <w:col w:w="2159" w:space="40"/>
            <w:col w:w="1606" w:space="382"/>
            <w:col w:w="2465" w:space="40"/>
            <w:col w:w="2838"/>
          </w:cols>
        </w:sectPr>
      </w:pPr>
      <w:r w:rsidRPr="0009245F">
        <w:rPr>
          <w:b/>
          <w:highlight w:val="yellow"/>
        </w:rPr>
        <w:t>VYMAZÁNO</w:t>
      </w:r>
      <w:r>
        <w:t xml:space="preserve"> </w:t>
      </w:r>
      <w:r>
        <w:tab/>
      </w:r>
      <w:r>
        <w:tab/>
      </w:r>
      <w:r>
        <w:tab/>
      </w:r>
      <w:r>
        <w:tab/>
      </w:r>
      <w:r w:rsidR="0004498F">
        <w:br w:type="column"/>
      </w:r>
      <w:proofErr w:type="spellStart"/>
      <w:r w:rsidRPr="0009245F">
        <w:rPr>
          <w:b/>
          <w:highlight w:val="yellow"/>
        </w:rPr>
        <w:t>VYMAZÁNO</w:t>
      </w:r>
      <w:proofErr w:type="spellEnd"/>
    </w:p>
    <w:p w:rsidR="005B3A38" w:rsidRDefault="0004498F">
      <w:pPr>
        <w:pStyle w:val="Zkladntext"/>
        <w:tabs>
          <w:tab w:val="left" w:pos="5144"/>
        </w:tabs>
        <w:spacing w:before="168"/>
        <w:ind w:left="103"/>
      </w:pPr>
      <w:r>
        <w:t>Příjemce:………………………………….</w:t>
      </w:r>
      <w:r>
        <w:tab/>
        <w:t>Další</w:t>
      </w:r>
      <w:r>
        <w:rPr>
          <w:spacing w:val="-2"/>
        </w:rPr>
        <w:t xml:space="preserve"> </w:t>
      </w:r>
      <w:r>
        <w:t>účastník:…………………………</w:t>
      </w:r>
    </w:p>
    <w:p w:rsidR="005B3A38" w:rsidRDefault="0004498F">
      <w:pPr>
        <w:pStyle w:val="Zkladntext"/>
        <w:tabs>
          <w:tab w:val="left" w:pos="5144"/>
        </w:tabs>
        <w:spacing w:before="61"/>
        <w:ind w:left="103"/>
      </w:pPr>
      <w:r>
        <w:t>PhDr. Petr</w:t>
      </w:r>
      <w:r>
        <w:rPr>
          <w:spacing w:val="-3"/>
        </w:rPr>
        <w:t xml:space="preserve"> </w:t>
      </w:r>
      <w:r>
        <w:t>Winkler,</w:t>
      </w:r>
      <w:r>
        <w:rPr>
          <w:spacing w:val="-1"/>
        </w:rPr>
        <w:t xml:space="preserve"> </w:t>
      </w:r>
      <w:r>
        <w:t>Ph.D.</w:t>
      </w:r>
      <w:r>
        <w:tab/>
      </w:r>
      <w:r w:rsidR="0009245F" w:rsidRPr="0009245F">
        <w:rPr>
          <w:b/>
          <w:highlight w:val="yellow"/>
        </w:rPr>
        <w:t>VYMAZÁNO</w:t>
      </w:r>
    </w:p>
    <w:p w:rsidR="005B3A38" w:rsidRDefault="0004498F">
      <w:pPr>
        <w:pStyle w:val="Zkladntext"/>
        <w:tabs>
          <w:tab w:val="left" w:pos="5144"/>
        </w:tabs>
        <w:spacing w:before="59"/>
        <w:ind w:left="103"/>
      </w:pPr>
      <w:r>
        <w:t>ředitel</w:t>
      </w:r>
      <w:r>
        <w:tab/>
        <w:t>prorektor pro vědu a výzkum</w:t>
      </w:r>
    </w:p>
    <w:sectPr w:rsidR="005B3A38">
      <w:type w:val="continuous"/>
      <w:pgSz w:w="11910" w:h="16850"/>
      <w:pgMar w:top="1200" w:right="1180" w:bottom="13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5D" w:rsidRDefault="0004498F">
      <w:r>
        <w:separator/>
      </w:r>
    </w:p>
  </w:endnote>
  <w:endnote w:type="continuationSeparator" w:id="0">
    <w:p w:rsidR="006E255D" w:rsidRDefault="0004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C8" w:rsidRDefault="009235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38" w:rsidRDefault="005B3A38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C8" w:rsidRDefault="009235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5D" w:rsidRDefault="0004498F">
      <w:r>
        <w:separator/>
      </w:r>
    </w:p>
  </w:footnote>
  <w:footnote w:type="continuationSeparator" w:id="0">
    <w:p w:rsidR="006E255D" w:rsidRDefault="0004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C8" w:rsidRDefault="0092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C8" w:rsidRDefault="009235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C8" w:rsidRDefault="009235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F11"/>
    <w:multiLevelType w:val="hybridMultilevel"/>
    <w:tmpl w:val="44C0F850"/>
    <w:lvl w:ilvl="0" w:tplc="DF567656">
      <w:start w:val="1"/>
      <w:numFmt w:val="decimal"/>
      <w:lvlText w:val="%1."/>
      <w:lvlJc w:val="left"/>
      <w:pPr>
        <w:ind w:left="67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1CB0114A">
      <w:numFmt w:val="bullet"/>
      <w:lvlText w:val="•"/>
      <w:lvlJc w:val="left"/>
      <w:pPr>
        <w:ind w:left="1564" w:hanging="567"/>
      </w:pPr>
      <w:rPr>
        <w:rFonts w:hint="default"/>
        <w:lang w:val="cs-CZ" w:eastAsia="cs-CZ" w:bidi="cs-CZ"/>
      </w:rPr>
    </w:lvl>
    <w:lvl w:ilvl="2" w:tplc="7F8A5CE0">
      <w:numFmt w:val="bullet"/>
      <w:lvlText w:val="•"/>
      <w:lvlJc w:val="left"/>
      <w:pPr>
        <w:ind w:left="2449" w:hanging="567"/>
      </w:pPr>
      <w:rPr>
        <w:rFonts w:hint="default"/>
        <w:lang w:val="cs-CZ" w:eastAsia="cs-CZ" w:bidi="cs-CZ"/>
      </w:rPr>
    </w:lvl>
    <w:lvl w:ilvl="3" w:tplc="6D4A2566">
      <w:numFmt w:val="bullet"/>
      <w:lvlText w:val="•"/>
      <w:lvlJc w:val="left"/>
      <w:pPr>
        <w:ind w:left="3333" w:hanging="567"/>
      </w:pPr>
      <w:rPr>
        <w:rFonts w:hint="default"/>
        <w:lang w:val="cs-CZ" w:eastAsia="cs-CZ" w:bidi="cs-CZ"/>
      </w:rPr>
    </w:lvl>
    <w:lvl w:ilvl="4" w:tplc="2F22A7CE">
      <w:numFmt w:val="bullet"/>
      <w:lvlText w:val="•"/>
      <w:lvlJc w:val="left"/>
      <w:pPr>
        <w:ind w:left="4218" w:hanging="567"/>
      </w:pPr>
      <w:rPr>
        <w:rFonts w:hint="default"/>
        <w:lang w:val="cs-CZ" w:eastAsia="cs-CZ" w:bidi="cs-CZ"/>
      </w:rPr>
    </w:lvl>
    <w:lvl w:ilvl="5" w:tplc="35765FFC">
      <w:numFmt w:val="bullet"/>
      <w:lvlText w:val="•"/>
      <w:lvlJc w:val="left"/>
      <w:pPr>
        <w:ind w:left="5103" w:hanging="567"/>
      </w:pPr>
      <w:rPr>
        <w:rFonts w:hint="default"/>
        <w:lang w:val="cs-CZ" w:eastAsia="cs-CZ" w:bidi="cs-CZ"/>
      </w:rPr>
    </w:lvl>
    <w:lvl w:ilvl="6" w:tplc="AF4A481E">
      <w:numFmt w:val="bullet"/>
      <w:lvlText w:val="•"/>
      <w:lvlJc w:val="left"/>
      <w:pPr>
        <w:ind w:left="5987" w:hanging="567"/>
      </w:pPr>
      <w:rPr>
        <w:rFonts w:hint="default"/>
        <w:lang w:val="cs-CZ" w:eastAsia="cs-CZ" w:bidi="cs-CZ"/>
      </w:rPr>
    </w:lvl>
    <w:lvl w:ilvl="7" w:tplc="0C767130">
      <w:numFmt w:val="bullet"/>
      <w:lvlText w:val="•"/>
      <w:lvlJc w:val="left"/>
      <w:pPr>
        <w:ind w:left="6872" w:hanging="567"/>
      </w:pPr>
      <w:rPr>
        <w:rFonts w:hint="default"/>
        <w:lang w:val="cs-CZ" w:eastAsia="cs-CZ" w:bidi="cs-CZ"/>
      </w:rPr>
    </w:lvl>
    <w:lvl w:ilvl="8" w:tplc="C96CDC46">
      <w:numFmt w:val="bullet"/>
      <w:lvlText w:val="•"/>
      <w:lvlJc w:val="left"/>
      <w:pPr>
        <w:ind w:left="7757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70C633DB"/>
    <w:multiLevelType w:val="hybridMultilevel"/>
    <w:tmpl w:val="1DFCA6B6"/>
    <w:lvl w:ilvl="0" w:tplc="1CA42A90">
      <w:start w:val="1"/>
      <w:numFmt w:val="decimal"/>
      <w:lvlText w:val="%1."/>
      <w:lvlJc w:val="left"/>
      <w:pPr>
        <w:ind w:left="67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2CD669E8">
      <w:numFmt w:val="bullet"/>
      <w:lvlText w:val="•"/>
      <w:lvlJc w:val="left"/>
      <w:pPr>
        <w:ind w:left="1564" w:hanging="567"/>
      </w:pPr>
      <w:rPr>
        <w:rFonts w:hint="default"/>
        <w:lang w:val="cs-CZ" w:eastAsia="cs-CZ" w:bidi="cs-CZ"/>
      </w:rPr>
    </w:lvl>
    <w:lvl w:ilvl="2" w:tplc="62967E84">
      <w:numFmt w:val="bullet"/>
      <w:lvlText w:val="•"/>
      <w:lvlJc w:val="left"/>
      <w:pPr>
        <w:ind w:left="2449" w:hanging="567"/>
      </w:pPr>
      <w:rPr>
        <w:rFonts w:hint="default"/>
        <w:lang w:val="cs-CZ" w:eastAsia="cs-CZ" w:bidi="cs-CZ"/>
      </w:rPr>
    </w:lvl>
    <w:lvl w:ilvl="3" w:tplc="1ED092F0">
      <w:numFmt w:val="bullet"/>
      <w:lvlText w:val="•"/>
      <w:lvlJc w:val="left"/>
      <w:pPr>
        <w:ind w:left="3333" w:hanging="567"/>
      </w:pPr>
      <w:rPr>
        <w:rFonts w:hint="default"/>
        <w:lang w:val="cs-CZ" w:eastAsia="cs-CZ" w:bidi="cs-CZ"/>
      </w:rPr>
    </w:lvl>
    <w:lvl w:ilvl="4" w:tplc="ACCEE792">
      <w:numFmt w:val="bullet"/>
      <w:lvlText w:val="•"/>
      <w:lvlJc w:val="left"/>
      <w:pPr>
        <w:ind w:left="4218" w:hanging="567"/>
      </w:pPr>
      <w:rPr>
        <w:rFonts w:hint="default"/>
        <w:lang w:val="cs-CZ" w:eastAsia="cs-CZ" w:bidi="cs-CZ"/>
      </w:rPr>
    </w:lvl>
    <w:lvl w:ilvl="5" w:tplc="74A0BBD0">
      <w:numFmt w:val="bullet"/>
      <w:lvlText w:val="•"/>
      <w:lvlJc w:val="left"/>
      <w:pPr>
        <w:ind w:left="5103" w:hanging="567"/>
      </w:pPr>
      <w:rPr>
        <w:rFonts w:hint="default"/>
        <w:lang w:val="cs-CZ" w:eastAsia="cs-CZ" w:bidi="cs-CZ"/>
      </w:rPr>
    </w:lvl>
    <w:lvl w:ilvl="6" w:tplc="C76054C8">
      <w:numFmt w:val="bullet"/>
      <w:lvlText w:val="•"/>
      <w:lvlJc w:val="left"/>
      <w:pPr>
        <w:ind w:left="5987" w:hanging="567"/>
      </w:pPr>
      <w:rPr>
        <w:rFonts w:hint="default"/>
        <w:lang w:val="cs-CZ" w:eastAsia="cs-CZ" w:bidi="cs-CZ"/>
      </w:rPr>
    </w:lvl>
    <w:lvl w:ilvl="7" w:tplc="E8905F98">
      <w:numFmt w:val="bullet"/>
      <w:lvlText w:val="•"/>
      <w:lvlJc w:val="left"/>
      <w:pPr>
        <w:ind w:left="6872" w:hanging="567"/>
      </w:pPr>
      <w:rPr>
        <w:rFonts w:hint="default"/>
        <w:lang w:val="cs-CZ" w:eastAsia="cs-CZ" w:bidi="cs-CZ"/>
      </w:rPr>
    </w:lvl>
    <w:lvl w:ilvl="8" w:tplc="BF5E02A6">
      <w:numFmt w:val="bullet"/>
      <w:lvlText w:val="•"/>
      <w:lvlJc w:val="left"/>
      <w:pPr>
        <w:ind w:left="7757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79A321D6"/>
    <w:multiLevelType w:val="hybridMultilevel"/>
    <w:tmpl w:val="A8008084"/>
    <w:lvl w:ilvl="0" w:tplc="F04E9B44">
      <w:start w:val="1"/>
      <w:numFmt w:val="decimal"/>
      <w:lvlText w:val="%1."/>
      <w:lvlJc w:val="left"/>
      <w:pPr>
        <w:ind w:left="67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1" w:tplc="0F823F08">
      <w:numFmt w:val="bullet"/>
      <w:lvlText w:val="•"/>
      <w:lvlJc w:val="left"/>
      <w:pPr>
        <w:ind w:left="1564" w:hanging="567"/>
      </w:pPr>
      <w:rPr>
        <w:rFonts w:hint="default"/>
        <w:lang w:val="cs-CZ" w:eastAsia="cs-CZ" w:bidi="cs-CZ"/>
      </w:rPr>
    </w:lvl>
    <w:lvl w:ilvl="2" w:tplc="A2FE5FFA">
      <w:numFmt w:val="bullet"/>
      <w:lvlText w:val="•"/>
      <w:lvlJc w:val="left"/>
      <w:pPr>
        <w:ind w:left="2449" w:hanging="567"/>
      </w:pPr>
      <w:rPr>
        <w:rFonts w:hint="default"/>
        <w:lang w:val="cs-CZ" w:eastAsia="cs-CZ" w:bidi="cs-CZ"/>
      </w:rPr>
    </w:lvl>
    <w:lvl w:ilvl="3" w:tplc="65A49D50">
      <w:numFmt w:val="bullet"/>
      <w:lvlText w:val="•"/>
      <w:lvlJc w:val="left"/>
      <w:pPr>
        <w:ind w:left="3333" w:hanging="567"/>
      </w:pPr>
      <w:rPr>
        <w:rFonts w:hint="default"/>
        <w:lang w:val="cs-CZ" w:eastAsia="cs-CZ" w:bidi="cs-CZ"/>
      </w:rPr>
    </w:lvl>
    <w:lvl w:ilvl="4" w:tplc="A6CA165A">
      <w:numFmt w:val="bullet"/>
      <w:lvlText w:val="•"/>
      <w:lvlJc w:val="left"/>
      <w:pPr>
        <w:ind w:left="4218" w:hanging="567"/>
      </w:pPr>
      <w:rPr>
        <w:rFonts w:hint="default"/>
        <w:lang w:val="cs-CZ" w:eastAsia="cs-CZ" w:bidi="cs-CZ"/>
      </w:rPr>
    </w:lvl>
    <w:lvl w:ilvl="5" w:tplc="EA4CF21E">
      <w:numFmt w:val="bullet"/>
      <w:lvlText w:val="•"/>
      <w:lvlJc w:val="left"/>
      <w:pPr>
        <w:ind w:left="5103" w:hanging="567"/>
      </w:pPr>
      <w:rPr>
        <w:rFonts w:hint="default"/>
        <w:lang w:val="cs-CZ" w:eastAsia="cs-CZ" w:bidi="cs-CZ"/>
      </w:rPr>
    </w:lvl>
    <w:lvl w:ilvl="6" w:tplc="06123638">
      <w:numFmt w:val="bullet"/>
      <w:lvlText w:val="•"/>
      <w:lvlJc w:val="left"/>
      <w:pPr>
        <w:ind w:left="5987" w:hanging="567"/>
      </w:pPr>
      <w:rPr>
        <w:rFonts w:hint="default"/>
        <w:lang w:val="cs-CZ" w:eastAsia="cs-CZ" w:bidi="cs-CZ"/>
      </w:rPr>
    </w:lvl>
    <w:lvl w:ilvl="7" w:tplc="5308B990">
      <w:numFmt w:val="bullet"/>
      <w:lvlText w:val="•"/>
      <w:lvlJc w:val="left"/>
      <w:pPr>
        <w:ind w:left="6872" w:hanging="567"/>
      </w:pPr>
      <w:rPr>
        <w:rFonts w:hint="default"/>
        <w:lang w:val="cs-CZ" w:eastAsia="cs-CZ" w:bidi="cs-CZ"/>
      </w:rPr>
    </w:lvl>
    <w:lvl w:ilvl="8" w:tplc="3F261678">
      <w:numFmt w:val="bullet"/>
      <w:lvlText w:val="•"/>
      <w:lvlJc w:val="left"/>
      <w:pPr>
        <w:ind w:left="7757" w:hanging="567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38"/>
    <w:rsid w:val="0004498F"/>
    <w:rsid w:val="0009245F"/>
    <w:rsid w:val="005B3A38"/>
    <w:rsid w:val="006E255D"/>
    <w:rsid w:val="009235C8"/>
    <w:rsid w:val="009D2BB2"/>
    <w:rsid w:val="00B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4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0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23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5C8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23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5C8"/>
    <w:rPr>
      <w:rFonts w:ascii="Times New Roman" w:eastAsia="Times New Roman" w:hAnsi="Times New Roman" w:cs="Times New Roman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2024-09-19T09:49:00Z</dcterms:created>
  <dcterms:modified xsi:type="dcterms:W3CDTF">2024-09-19T09:49:00Z</dcterms:modified>
</cp:coreProperties>
</file>