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5211200271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Hodslavice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5"/>
        </w:rPr>
        <w:t> </w:t>
      </w:r>
      <w:r>
        <w:rPr/>
        <w:t>obce</w:t>
      </w:r>
      <w:r>
        <w:rPr>
          <w:spacing w:val="-7"/>
        </w:rPr>
        <w:t> </w:t>
      </w:r>
      <w:r>
        <w:rPr/>
        <w:t>Hodslavice,</w:t>
      </w:r>
      <w:r>
        <w:rPr>
          <w:spacing w:val="-4"/>
        </w:rPr>
        <w:t> </w:t>
      </w:r>
      <w:r>
        <w:rPr/>
        <w:t>Hodslavice</w:t>
      </w:r>
      <w:r>
        <w:rPr>
          <w:spacing w:val="-6"/>
        </w:rPr>
        <w:t> </w:t>
      </w:r>
      <w:r>
        <w:rPr/>
        <w:t>211,</w:t>
      </w:r>
      <w:r>
        <w:rPr>
          <w:spacing w:val="-6"/>
        </w:rPr>
        <w:t> </w:t>
      </w:r>
      <w:r>
        <w:rPr/>
        <w:t>742</w:t>
      </w:r>
      <w:r>
        <w:rPr>
          <w:spacing w:val="-3"/>
        </w:rPr>
        <w:t> </w:t>
      </w:r>
      <w:r>
        <w:rPr/>
        <w:t>71</w:t>
      </w:r>
      <w:r>
        <w:rPr>
          <w:spacing w:val="-5"/>
        </w:rPr>
        <w:t> </w:t>
      </w:r>
      <w:r>
        <w:rPr>
          <w:spacing w:val="-2"/>
        </w:rPr>
        <w:t>Hodslavice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00297917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Pavlou</w:t>
      </w:r>
      <w:r>
        <w:rPr>
          <w:spacing w:val="-2"/>
        </w:rPr>
        <w:t> </w:t>
      </w:r>
      <w:r>
        <w:rPr/>
        <w:t>A 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 c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1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4714801/0710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5211200271 o poskytnutí finančních prostředků ze Státního fondu životního prostředí ČR ze dne 17.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496"/>
        <w:jc w:val="left"/>
      </w:pPr>
      <w:r>
        <w:rPr/>
        <w:t>„Revitalizace</w:t>
      </w:r>
      <w:r>
        <w:rPr>
          <w:spacing w:val="-10"/>
        </w:rPr>
        <w:t> </w:t>
      </w:r>
      <w:r>
        <w:rPr/>
        <w:t>objektu</w:t>
      </w:r>
      <w:r>
        <w:rPr>
          <w:spacing w:val="-11"/>
        </w:rPr>
        <w:t> </w:t>
      </w:r>
      <w:r>
        <w:rPr/>
        <w:t>Společenský</w:t>
      </w:r>
      <w:r>
        <w:rPr>
          <w:spacing w:val="-10"/>
        </w:rPr>
        <w:t> </w:t>
      </w:r>
      <w:r>
        <w:rPr/>
        <w:t>dům</w:t>
      </w:r>
      <w:r>
        <w:rPr>
          <w:spacing w:val="-10"/>
        </w:rPr>
        <w:t> </w:t>
      </w:r>
      <w:r>
        <w:rPr/>
        <w:t>Hodslavice</w:t>
      </w:r>
      <w:r>
        <w:rPr>
          <w:spacing w:val="-10"/>
        </w:rPr>
        <w:t> </w:t>
      </w:r>
      <w:r>
        <w:rPr>
          <w:spacing w:val="-4"/>
        </w:rPr>
        <w:t>č.4“</w:t>
      </w:r>
    </w:p>
    <w:p>
      <w:pPr>
        <w:pStyle w:val="BodyText"/>
        <w:spacing w:before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 w:right="103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708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029,89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left="741"/>
        <w:jc w:val="both"/>
      </w:pPr>
      <w:r>
        <w:rPr/>
        <w:t>dva</w:t>
      </w:r>
      <w:r>
        <w:rPr>
          <w:spacing w:val="-7"/>
        </w:rPr>
        <w:t> </w:t>
      </w:r>
      <w:r>
        <w:rPr/>
        <w:t>miliony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tisíc</w:t>
      </w:r>
      <w:r>
        <w:rPr>
          <w:spacing w:val="-4"/>
        </w:rPr>
        <w:t> </w:t>
      </w:r>
      <w:r>
        <w:rPr/>
        <w:t>dvacet</w:t>
      </w:r>
      <w:r>
        <w:rPr>
          <w:spacing w:val="-6"/>
        </w:rPr>
        <w:t> </w:t>
      </w:r>
      <w:r>
        <w:rPr/>
        <w:t>devět</w:t>
      </w:r>
      <w:r>
        <w:rPr>
          <w:spacing w:val="-6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osmdesát</w:t>
      </w:r>
      <w:r>
        <w:rPr>
          <w:spacing w:val="-6"/>
        </w:rPr>
        <w:t> </w:t>
      </w:r>
      <w:r>
        <w:rPr/>
        <w:t>devět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6 017 844,22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45,00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74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spacing w:before="1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884"/>
      </w:tblGrid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8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708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029,89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398" w:top="12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4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15" w:hanging="281"/>
        <w:jc w:val="both"/>
        <w:rPr>
          <w:sz w:val="20"/>
        </w:rPr>
      </w:pPr>
      <w:r>
        <w:rPr>
          <w:sz w:val="20"/>
        </w:rPr>
        <w:t>dojde ke zlepšení tepelně-technických vlastností budovy – revitalizace objektu Společenský dům Hodslavice č. 4, t. j.</w:t>
      </w:r>
      <w:r>
        <w:rPr>
          <w:spacing w:val="-1"/>
          <w:sz w:val="20"/>
        </w:rPr>
        <w:t> </w:t>
      </w:r>
      <w:r>
        <w:rPr>
          <w:sz w:val="20"/>
        </w:rPr>
        <w:t>zateplení obvodových konstrukcí, výměna otvorových výplní, instalace stínící techniky, úprava osvětlení a instalace systému řízeného větrání s rekuperací.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682"/>
        <w:gridCol w:w="1838"/>
        <w:gridCol w:w="1761"/>
      </w:tblGrid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62.87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42.45</w:t>
            </w:r>
          </w:p>
        </w:tc>
      </w:tr>
      <w:tr>
        <w:trPr>
          <w:trHeight w:val="505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562.89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391.90</w:t>
            </w:r>
          </w:p>
        </w:tc>
      </w:tr>
      <w:tr>
        <w:trPr>
          <w:trHeight w:val="532" w:hRule="atLeast"/>
        </w:trPr>
        <w:tc>
          <w:tcPr>
            <w:tcW w:w="3545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838.69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579.89</w:t>
            </w:r>
          </w:p>
        </w:tc>
      </w:tr>
    </w:tbl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6" w:hanging="286"/>
        <w:jc w:val="both"/>
        <w:rPr>
          <w:sz w:val="20"/>
        </w:rPr>
      </w:pPr>
      <w:r>
        <w:rPr>
          <w:sz w:val="20"/>
        </w:rPr>
        <w:t>zamezí tzv. dvojímu</w:t>
      </w:r>
      <w:r>
        <w:rPr>
          <w:spacing w:val="-1"/>
          <w:sz w:val="20"/>
        </w:rPr>
        <w:t> </w:t>
      </w:r>
      <w:r>
        <w:rPr>
          <w:sz w:val="20"/>
        </w:rPr>
        <w:t>financování, tj. bude zejména postupovat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k) Výzvy, tedy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4"/>
          <w:sz w:val="20"/>
        </w:rPr>
        <w:t> </w:t>
      </w:r>
      <w:r>
        <w:rPr>
          <w:sz w:val="20"/>
        </w:rPr>
        <w:t>čerpat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stejné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jinou</w:t>
      </w:r>
      <w:r>
        <w:rPr>
          <w:spacing w:val="-11"/>
          <w:sz w:val="20"/>
        </w:rPr>
        <w:t> </w:t>
      </w:r>
      <w:r>
        <w:rPr>
          <w:sz w:val="20"/>
        </w:rPr>
        <w:t>veřejnou</w:t>
      </w:r>
      <w:r>
        <w:rPr>
          <w:spacing w:val="-14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 107</w:t>
      </w:r>
      <w:r>
        <w:rPr>
          <w:spacing w:val="-7"/>
          <w:sz w:val="20"/>
        </w:rPr>
        <w:t> </w:t>
      </w:r>
      <w:r>
        <w:rPr>
          <w:sz w:val="20"/>
        </w:rPr>
        <w:t>odst.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8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Unie,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 orgány,</w:t>
      </w:r>
      <w:r>
        <w:rPr>
          <w:spacing w:val="-13"/>
          <w:sz w:val="20"/>
        </w:rPr>
        <w:t> </w:t>
      </w:r>
      <w:r>
        <w:rPr>
          <w:sz w:val="20"/>
        </w:rPr>
        <w:t>agentury,</w:t>
      </w:r>
      <w:r>
        <w:rPr>
          <w:spacing w:val="-13"/>
          <w:sz w:val="20"/>
        </w:rPr>
        <w:t> </w:t>
      </w:r>
      <w:r>
        <w:rPr>
          <w:sz w:val="20"/>
        </w:rPr>
        <w:t>společné</w:t>
      </w:r>
      <w:r>
        <w:rPr>
          <w:spacing w:val="-11"/>
          <w:sz w:val="20"/>
        </w:rPr>
        <w:t> </w:t>
      </w:r>
      <w:r>
        <w:rPr>
          <w:sz w:val="20"/>
        </w:rPr>
        <w:t>podniky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4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přímo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1"/>
          <w:sz w:val="20"/>
        </w:rPr>
        <w:t> </w:t>
      </w:r>
      <w:r>
        <w:rPr>
          <w:sz w:val="20"/>
        </w:rPr>
        <w:t>nepřímo</w:t>
      </w:r>
      <w:r>
        <w:rPr>
          <w:spacing w:val="-12"/>
          <w:sz w:val="20"/>
        </w:rPr>
        <w:t> </w:t>
      </w: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kontrolou 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režimu</w:t>
      </w:r>
      <w:r>
        <w:rPr>
          <w:spacing w:val="-5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minimis,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udržitelnosti projektu 5 let,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4" w:hanging="286"/>
        <w:jc w:val="both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 </w:t>
      </w:r>
      <w:r>
        <w:rPr>
          <w:sz w:val="20"/>
        </w:rPr>
        <w:t>poškození environmentálních cílů v souladu s článkem 17, nařízení Evropského parlamentu a Rady (EU)</w:t>
      </w:r>
      <w:r>
        <w:rPr>
          <w:spacing w:val="-11"/>
          <w:sz w:val="20"/>
        </w:rPr>
        <w:t> </w:t>
      </w:r>
      <w:r>
        <w:rPr>
          <w:sz w:val="20"/>
        </w:rPr>
        <w:t>2020/852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18.</w:t>
      </w:r>
      <w:r>
        <w:rPr>
          <w:spacing w:val="-10"/>
          <w:sz w:val="20"/>
        </w:rPr>
        <w:t> </w:t>
      </w:r>
      <w:r>
        <w:rPr>
          <w:sz w:val="20"/>
        </w:rPr>
        <w:t>června</w:t>
      </w:r>
      <w:r>
        <w:rPr>
          <w:spacing w:val="-11"/>
          <w:sz w:val="20"/>
        </w:rPr>
        <w:t> </w:t>
      </w:r>
      <w:r>
        <w:rPr>
          <w:sz w:val="20"/>
        </w:rPr>
        <w:t>2020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zřízení</w:t>
      </w:r>
      <w:r>
        <w:rPr>
          <w:spacing w:val="-10"/>
          <w:sz w:val="20"/>
        </w:rPr>
        <w:t> </w:t>
      </w:r>
      <w:r>
        <w:rPr>
          <w:sz w:val="20"/>
        </w:rPr>
        <w:t>rámce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usnadnění</w:t>
      </w:r>
      <w:r>
        <w:rPr>
          <w:spacing w:val="-10"/>
          <w:sz w:val="20"/>
        </w:rPr>
        <w:t> </w:t>
      </w:r>
      <w:r>
        <w:rPr>
          <w:sz w:val="20"/>
        </w:rPr>
        <w:t>udržitelných</w:t>
      </w:r>
      <w:r>
        <w:rPr>
          <w:spacing w:val="-10"/>
          <w:sz w:val="20"/>
        </w:rPr>
        <w:t> </w:t>
      </w:r>
      <w:r>
        <w:rPr>
          <w:sz w:val="20"/>
        </w:rPr>
        <w:t>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změně nařízení (EU) 2019/2088,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260" w:bottom="158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0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03/2025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06/2025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20"/>
        <w:ind w:left="948" w:right="111"/>
        <w:jc w:val="both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5 let, a to v takovém rozsahu (i pokud jde o poskytnutí příslušných dokladů),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objasněny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okolnosti,</w:t>
      </w:r>
      <w:r>
        <w:rPr>
          <w:spacing w:val="-4"/>
          <w:sz w:val="20"/>
        </w:rPr>
        <w:t> </w:t>
      </w:r>
      <w:r>
        <w:rPr>
          <w:sz w:val="20"/>
        </w:rPr>
        <w:t>týkající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 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4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8" w:after="0"/>
        <w:ind w:left="741" w:right="108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zdržet</w:t>
      </w:r>
      <w:r>
        <w:rPr>
          <w:spacing w:val="4"/>
          <w:sz w:val="20"/>
        </w:rPr>
        <w:t> </w:t>
      </w:r>
      <w:r>
        <w:rPr>
          <w:sz w:val="20"/>
        </w:rPr>
        <w:t>podvodného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korupčního</w:t>
      </w:r>
      <w:r>
        <w:rPr>
          <w:spacing w:val="4"/>
          <w:sz w:val="20"/>
        </w:rPr>
        <w:t> </w:t>
      </w:r>
      <w:r>
        <w:rPr>
          <w:sz w:val="20"/>
        </w:rPr>
        <w:t>jednání</w:t>
      </w:r>
      <w:r>
        <w:rPr>
          <w:spacing w:val="4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12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ind w:left="741"/>
        <w:jc w:val="both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50-89,99 % stanovených indikátorů, bude toto porušení postiženo odvodem v rozmezí 10-50</w:t>
      </w:r>
    </w:p>
    <w:p>
      <w:pPr>
        <w:pStyle w:val="BodyText"/>
        <w:spacing w:line="266" w:lineRule="exact"/>
        <w:jc w:val="both"/>
      </w:pPr>
      <w:r>
        <w:rPr/>
        <w:t>%</w:t>
      </w:r>
      <w:r>
        <w:rPr>
          <w:spacing w:val="8"/>
        </w:rPr>
        <w:t> </w:t>
      </w: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7"/>
        </w:rPr>
        <w:t> </w:t>
      </w:r>
      <w:r>
        <w:rPr/>
        <w:t>podpory</w:t>
      </w:r>
      <w:r>
        <w:rPr>
          <w:spacing w:val="8"/>
        </w:rPr>
        <w:t> </w:t>
      </w:r>
      <w:r>
        <w:rPr/>
        <w:t>v závislosti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míře</w:t>
      </w:r>
      <w:r>
        <w:rPr>
          <w:spacing w:val="8"/>
        </w:rPr>
        <w:t> </w:t>
      </w:r>
      <w:r>
        <w:rPr/>
        <w:t>porušení</w:t>
      </w:r>
      <w:r>
        <w:rPr>
          <w:spacing w:val="10"/>
        </w:rPr>
        <w:t> </w:t>
      </w:r>
      <w:r>
        <w:rPr/>
        <w:t>stanovených</w:t>
      </w:r>
      <w:r>
        <w:rPr>
          <w:spacing w:val="8"/>
        </w:rPr>
        <w:t> </w:t>
      </w:r>
      <w:r>
        <w:rPr/>
        <w:t>indikátorů</w:t>
      </w:r>
      <w:r>
        <w:rPr>
          <w:spacing w:val="11"/>
        </w:rPr>
        <w:t> </w:t>
      </w:r>
      <w:r>
        <w:rPr/>
        <w:t>účelu</w:t>
      </w:r>
      <w:r>
        <w:rPr>
          <w:spacing w:val="8"/>
        </w:rPr>
        <w:t> </w:t>
      </w:r>
      <w:r>
        <w:rPr/>
        <w:t>akce.</w:t>
      </w:r>
      <w:r>
        <w:rPr>
          <w:spacing w:val="13"/>
        </w:rPr>
        <w:t> </w:t>
      </w:r>
      <w:r>
        <w:rPr/>
        <w:t>Plnění</w:t>
      </w:r>
      <w:r>
        <w:rPr>
          <w:spacing w:val="9"/>
        </w:rPr>
        <w:t> </w:t>
      </w:r>
      <w:r>
        <w:rPr>
          <w:spacing w:val="-2"/>
        </w:rPr>
        <w:t>účelu</w:t>
      </w:r>
    </w:p>
    <w:p>
      <w:pPr>
        <w:pStyle w:val="BodyText"/>
        <w:spacing w:before="1"/>
        <w:jc w:val="both"/>
      </w:pPr>
      <w:r>
        <w:rPr/>
        <w:t>akce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rozmezí</w:t>
      </w:r>
      <w:r>
        <w:rPr>
          <w:spacing w:val="-7"/>
        </w:rPr>
        <w:t> </w:t>
      </w:r>
      <w:r>
        <w:rPr/>
        <w:t>90-100</w:t>
      </w:r>
      <w:r>
        <w:rPr>
          <w:spacing w:val="-7"/>
        </w:rPr>
        <w:t> </w:t>
      </w:r>
      <w:r>
        <w:rPr/>
        <w:t>%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7"/>
        </w:rPr>
        <w:t> </w:t>
      </w:r>
      <w:r>
        <w:rPr/>
        <w:t>nebude</w:t>
      </w:r>
      <w:r>
        <w:rPr>
          <w:spacing w:val="-8"/>
        </w:rPr>
        <w:t> </w:t>
      </w:r>
      <w:r>
        <w:rPr/>
        <w:t>postiženo</w:t>
      </w:r>
      <w:r>
        <w:rPr>
          <w:spacing w:val="-5"/>
        </w:rPr>
        <w:t> </w:t>
      </w:r>
      <w:r>
        <w:rPr>
          <w:spacing w:val="-2"/>
        </w:rPr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2" w:right="0" w:hanging="360"/>
        <w:jc w:val="left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line="265" w:lineRule="exact"/>
      </w:pPr>
      <w:r>
        <w:rPr>
          <w:spacing w:val="-5"/>
        </w:rPr>
        <w:t>VI.</w:t>
      </w:r>
    </w:p>
    <w:p>
      <w:pPr>
        <w:pStyle w:val="Heading2"/>
        <w:spacing w:line="265" w:lineRule="exact"/>
        <w:ind w:left="1306" w:right="1037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bezdlužnosti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4"/>
        </w:rPr>
        <w:t>VII.</w:t>
      </w:r>
    </w:p>
    <w:p>
      <w:pPr>
        <w:pStyle w:val="Heading2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2"/>
        <w:ind w:left="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03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2566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2024-09-19T05:48:23Z</dcterms:created>
  <dcterms:modified xsi:type="dcterms:W3CDTF">2024-09-19T05:48:23Z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2024-09-19T00:00:00Z</vt:filetime>
  </property>
</Properties>
</file>