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bookmarkStart w:id="0" w:name="bookmark0"/>
      <w:r>
        <w:rPr>
          <w:rStyle w:val="CharStyle5"/>
          <w:b/>
          <w:bCs/>
        </w:rPr>
        <w:t>č.j.: SPU 370573/2024/Vaš UID: spuess920d8c60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5"/>
          <w:b/>
          <w:bCs/>
        </w:rPr>
        <w:t>Česká republika - Státní pozemkový úřad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 xml:space="preserve">Sídlo: Husinecká 1024/11a, 130 00 Praha 3 - </w:t>
      </w:r>
      <w:r>
        <w:rPr>
          <w:rStyle w:val="CharStyle3"/>
          <w:lang w:val="sk-SK" w:eastAsia="sk-SK" w:bidi="sk-SK"/>
        </w:rPr>
        <w:t xml:space="preserve">Žižkov, </w:t>
      </w:r>
      <w:r>
        <w:rPr>
          <w:rStyle w:val="CharStyle3"/>
        </w:rPr>
        <w:t>IČO: 01312774, DIČ: CZ01312774 ID DS: z49per3 za který právně jedná Ing. Lenka Dráhová, vedoucí Pobočky Litoměřice, Velká Krajská 1, 41201 Litoměřice na základě oprávnění vyplývajícího z platného Podpisového řádu Státního pozemkového úřadu účinného ke dni právního 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Bankovní spojení: Česká národní banka, Číslo účtu: 60011-3723001 / 0710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3"/>
        </w:rPr>
        <w:t>(dále jen „propachtovatel“)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</w:rPr>
        <w:t>na straně jedné -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lang w:val="en-US" w:eastAsia="en-US" w:bidi="en-US"/>
        </w:rPr>
        <w:t xml:space="preserve">AGRO </w:t>
      </w:r>
      <w:r>
        <w:rPr>
          <w:rStyle w:val="CharStyle3"/>
          <w:b/>
          <w:bCs/>
        </w:rPr>
        <w:t xml:space="preserve">KAMÝK s.r.o. , </w:t>
      </w:r>
      <w:r>
        <w:rPr>
          <w:rStyle w:val="CharStyle3"/>
        </w:rPr>
        <w:t>IČO: 22794701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Zapsána v </w:t>
      </w:r>
      <w:r>
        <w:rPr>
          <w:rStyle w:val="CharStyle3"/>
          <w:lang w:val="en-US" w:eastAsia="en-US" w:bidi="en-US"/>
        </w:rPr>
        <w:t xml:space="preserve">OR </w:t>
      </w:r>
      <w:r>
        <w:rPr>
          <w:rStyle w:val="CharStyle3"/>
        </w:rPr>
        <w:t>vedeném Krajským soudem v Ústí nad Labem, oddíl C, vložka 31640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sídlo: Kamýk 1,412 01 Kamýk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zastoupena jednatelem: Antonín Svárovský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(dále jen "pachtýř")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80"/>
        <w:jc w:val="both"/>
      </w:pPr>
      <w:r>
        <w:rPr>
          <w:rStyle w:val="CharStyle3"/>
        </w:rPr>
        <w:t>- na straně druhé 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4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uzavírají tento</w:t>
        <w:tab/>
      </w:r>
      <w:r>
        <w:rPr>
          <w:rStyle w:val="CharStyle3"/>
          <w:b/>
          <w:bCs/>
        </w:rPr>
        <w:t>dodatek č. 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" w:name="bookmark3"/>
      <w:r>
        <w:rPr>
          <w:rStyle w:val="CharStyle5"/>
          <w:b/>
          <w:bCs/>
        </w:rPr>
        <w:t xml:space="preserve">k pachtovní smlouvě </w:t>
      </w:r>
      <w:r>
        <w:rPr>
          <w:rStyle w:val="CharStyle5"/>
          <w:b/>
          <w:bCs/>
          <w:lang w:val="sk-SK" w:eastAsia="sk-SK" w:bidi="sk-SK"/>
        </w:rPr>
        <w:t xml:space="preserve">č. </w:t>
      </w:r>
      <w:r>
        <w:rPr>
          <w:rStyle w:val="CharStyle5"/>
          <w:b/>
          <w:bCs/>
        </w:rPr>
        <w:t>9N23/38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</w:rPr>
        <w:t xml:space="preserve">kterým se mění předmět pachtu a výše ročního pachtovného u pachtovní smlouvy </w:t>
      </w:r>
      <w:r>
        <w:rPr>
          <w:rStyle w:val="CharStyle3"/>
          <w:lang w:val="sk-SK" w:eastAsia="sk-SK" w:bidi="sk-SK"/>
        </w:rPr>
        <w:t xml:space="preserve">č. </w:t>
      </w:r>
      <w:r>
        <w:rPr>
          <w:rStyle w:val="CharStyle3"/>
        </w:rPr>
        <w:t>9N23/38 (dále jen "smlouva") uzavřené dne 30.1.2023.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5" w:name="bookmark5"/>
      <w:r>
        <w:rPr>
          <w:rStyle w:val="CharStyle5"/>
          <w:b/>
          <w:bCs/>
        </w:rPr>
        <w:t>ČI. I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00"/>
        <w:jc w:val="both"/>
      </w:pPr>
      <w:r>
        <w:rPr>
          <w:rStyle w:val="CharStyle3"/>
        </w:rPr>
        <w:t>Na základě ČI. V pachtovní smlouvy je pachtýř povinen hradit propachtovateli roční pachtovné ve výši 48.737,- Kč.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rStyle w:val="CharStyle5"/>
          <w:b/>
          <w:bCs/>
        </w:rPr>
        <w:t>ČI. II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Na základě několika v současnosti i minulosti zpracovaných analýz a predikcí možného vývoje cen zemědělských pozemků a pachtovného za zemědělské pozemky bylo potvrzeno, že v posledním desetiletí ceny zemědělských pozemků vykazují kontinuální a relativně výrazný růst. Stávající pachtovné/nájemné za pozemky ve vlastnictví státu (příslušnosti hospodařit Státního pozemkového úřadu) náležející do zemědělského půdního fondu již dlouhodobě neodpovídá aktuálním ekonomickým podmínkám v sektoru zemědělství.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Z uvedeného důvodu je nezbytným ekonomickým opatřením úprava ročního pachtovného procentní sazbou určenou dle jednotlivých výrobních oblastí z ceny pozemků dle vyhlášky MZe o stanovení seznamu katastrálních území s přiřazenými průměrnými základními cenami zemědělských pozemků platné k aktuálnímu datu.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Změna uvedené procentní sazby určené pro jednotlivé výrobní oblastí byla schválena Ministerstvem zemědělství a následně pak zapracována do metodických pokynů Státního pozemkového úřadu.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</w:rPr>
        <w:t>Z výše uvedených důvodů Státní pozemkový úřad přistupuje k aktualizaci pachtovného na pachtovní smlouvě 9N23/38.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Style w:val="CharStyle3"/>
          <w:u w:val="single"/>
        </w:rPr>
        <w:t>Dále se tímto dodatkem upravuje aktuální adresa sídla pachtýře na: Kamýk 1, 412 01 Kamýk.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9" w:name="bookmark9"/>
      <w:r>
        <w:rPr>
          <w:rStyle w:val="CharStyle5"/>
          <w:b/>
          <w:bCs/>
        </w:rPr>
        <w:t xml:space="preserve">ČI. </w:t>
      </w:r>
      <w:r>
        <w:rPr>
          <w:rStyle w:val="CharStyle5"/>
          <w:b/>
          <w:bCs/>
          <w:lang w:val="en-US" w:eastAsia="en-US" w:bidi="en-US"/>
        </w:rPr>
        <w:t>Ill</w:t>
      </w:r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00"/>
        <w:jc w:val="both"/>
      </w:pPr>
      <w:r>
        <w:rPr>
          <w:rStyle w:val="CharStyle3"/>
        </w:rPr>
        <w:t xml:space="preserve">Smluvní strany se dohodly, že s ohledem na skutečnosti uvedené v čl. II. tohoto dodatku se výše ročního pachtovného zvyšuje na částku </w:t>
      </w:r>
      <w:r>
        <w:rPr>
          <w:rStyle w:val="CharStyle3"/>
          <w:b/>
          <w:bCs/>
        </w:rPr>
        <w:t>79.739,- 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740"/>
        <w:jc w:val="both"/>
      </w:pPr>
      <w:r>
        <w:rPr>
          <w:rStyle w:val="CharStyle3"/>
          <w:u w:val="single"/>
        </w:rPr>
        <w:t xml:space="preserve">K </w:t>
      </w:r>
      <w:r>
        <w:rPr>
          <w:rStyle w:val="CharStyle3"/>
          <w:b/>
          <w:bCs/>
          <w:u w:val="single"/>
        </w:rPr>
        <w:t xml:space="preserve">1.10.2024 </w:t>
      </w:r>
      <w:r>
        <w:rPr>
          <w:rStyle w:val="CharStyle3"/>
          <w:u w:val="single"/>
        </w:rPr>
        <w:t xml:space="preserve">je pachtýř povinen zaplatit částku </w:t>
      </w:r>
      <w:r>
        <w:rPr>
          <w:rStyle w:val="CharStyle3"/>
          <w:b/>
          <w:bCs/>
          <w:u w:val="single"/>
        </w:rPr>
        <w:t>48.737,- Kč</w:t>
      </w:r>
      <w:r>
        <w:rPr>
          <w:rStyle w:val="CharStyle3"/>
          <w:b/>
          <w:bCs/>
        </w:rPr>
        <w:t xml:space="preserve"> </w:t>
      </w:r>
      <w:r>
        <w:rPr>
          <w:rStyle w:val="CharStyle3"/>
        </w:rPr>
        <w:t>(slovy: čtyřicetosmtisícsedmsettřicetsedm korun českých).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both"/>
      </w:pPr>
      <w:r>
        <w:rPr>
          <w:rStyle w:val="CharStyle3"/>
        </w:rPr>
        <w:t>Smluvní strany se dohodly, že propachtovatel je oprávněn vždy k 1. 10. běžného roku jednostranně zvýšit pachtovné o míru inflace vyjádřenou přírůstkem průměrného ročního indexu spotřebitelských cen vyhlášenou Českým statistickým úřadem za předcházející běžný rok.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Zvýšené pachtovné bude uplatněno písemným oznámením ze strany propachtovatele nejpozději do 1. 9. běžného roku, a to bez nutnosti uzavírat dodatek a pachtýř bude povinen novou výši pachtovného platit s účinností od nejbližší platby pachtovného.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Základem pro výpočet zvýšeného pachtovného bude pachtovné sjednané před tímto zvýšením.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V případě, že meziroční míra inflace přestane být z jakéhokoli důvodu nadále publikována, nahradí jej jiný podobný index nebo srovnatelný statistický údaj vyhlašovaný příslušným orgánem, který propachtovatel dle svého rozumného uvážení zvolí.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" w:name="bookmark11"/>
      <w:r>
        <w:rPr>
          <w:rStyle w:val="CharStyle5"/>
          <w:b/>
          <w:bCs/>
        </w:rPr>
        <w:t>ČI. IV</w:t>
      </w:r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Smluvní strany jsou povinny se vzájemně informovat o jakékoliv změně údajů týkajících se jejich specifikace jako smluvních stran této smlouvy, a to nejpozději do 30 dnů ode dne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40"/>
        <w:jc w:val="left"/>
      </w:pPr>
      <w:r>
        <w:rPr>
          <w:rStyle w:val="CharStyle3"/>
        </w:rPr>
        <w:t>Ostatní ustanovení smlouvy nejsou tímto dodatkem č. 1 neupravena, zůstávají nezměněna.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13" w:name="bookmark13"/>
      <w:r>
        <w:rPr>
          <w:rStyle w:val="CharStyle5"/>
          <w:b/>
          <w:bCs/>
        </w:rPr>
        <w:t>ČI. V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740"/>
        <w:jc w:val="both"/>
      </w:pPr>
      <w:r>
        <w:rPr>
          <w:rStyle w:val="CharStyle3"/>
        </w:rPr>
        <w:t xml:space="preserve"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</w:t>
      </w:r>
      <w:r>
        <w:rPr>
          <w:rStyle w:val="CharStyle3"/>
          <w:lang w:val="sk-SK" w:eastAsia="sk-SK" w:bidi="sk-SK"/>
        </w:rPr>
        <w:t xml:space="preserve">škartační </w:t>
      </w:r>
      <w:r>
        <w:rPr>
          <w:rStyle w:val="CharStyle3"/>
        </w:rPr>
        <w:t>lhůty ve smyslu § 2 písm. s) zákona č. 499/2004 Sb. o archivnictví a spisové službě a o změně některých zákonů, ve znění pozdějších předpisů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5" w:name="bookmark15"/>
      <w:r>
        <w:rPr>
          <w:rStyle w:val="CharStyle5"/>
          <w:b/>
          <w:bCs/>
        </w:rPr>
        <w:t>ČI. VI</w:t>
      </w:r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3"/>
        </w:rPr>
        <w:t>Tento dodatek nabývá platnosti dnem podpisu smluvními stranami a účinnosti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</w:pPr>
      <w:r>
        <w:rPr>
          <w:rStyle w:val="CharStyle3"/>
        </w:rPr>
        <w:t>Uveřejnění tohoto dodatku v registru smluv zajistí propachtovatel.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7" w:name="bookmark17"/>
      <w:r>
        <w:rPr>
          <w:rStyle w:val="CharStyle5"/>
          <w:b/>
          <w:bCs/>
        </w:rPr>
        <w:t>ČI. VII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600"/>
        <w:jc w:val="both"/>
      </w:pPr>
      <w:r>
        <w:rPr>
          <w:rStyle w:val="CharStyle3"/>
        </w:rPr>
        <w:t>Tento dodatek je vyhotoven v 2 stejnopisech, z nichž každý má platnost originálu. Jeden stejnopis přebírá pachtýř a jeden je určen pro propachtovatele.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rStyle w:val="CharStyle5"/>
          <w:b/>
          <w:bCs/>
        </w:rPr>
        <w:t>ČI. Vlil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600"/>
        <w:jc w:val="both"/>
      </w:pPr>
      <w:r>
        <w:rPr>
          <w:rStyle w:val="CharStyle3"/>
        </w:rPr>
        <w:t>Smluvní strany po přečtení tohoto dodatku prohlašují, že s jeho obsahem souhlasí a že je shodným projevem jejich vážné a svobodné vůle, a na důkaz toho připojují své podpisy.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V Litoměřicích, dne 19. 9. 2024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97" w:right="729" w:bottom="1059" w:left="652" w:header="169" w:footer="63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50545" distB="71120" distL="0" distR="0" simplePos="0" relativeHeight="125829378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550545</wp:posOffset>
                </wp:positionV>
                <wp:extent cx="1776095" cy="65595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6095" cy="6559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Ing. Lenka Drábová</w:t>
                              <w:br/>
                              <w:t>vedoucí Pobočky Litoměřice</w:t>
                              <w:br/>
                              <w:t>Státní pozemkový úřad</w:t>
                              <w:br/>
                              <w:t>propachtovatel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.200000000000003pt;margin-top:43.350000000000001pt;width:139.84999999999999pt;height:51.649999999999999pt;z-index:-125829375;mso-wrap-distance-left:0;mso-wrap-distance-top:43.350000000000001pt;mso-wrap-distance-right:0;mso-wrap-distance-bottom:5.600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Ing. Lenka Drábová</w:t>
                        <w:br/>
                        <w:t>vedoucí Pobočky Litoměřice</w:t>
                        <w:br/>
                        <w:t>Státní pozemkový úřad</w:t>
                        <w:br/>
                        <w:t>propachtovatel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6100" distB="0" distL="0" distR="0" simplePos="0" relativeHeight="125829380" behindDoc="0" locked="0" layoutInCell="1" allowOverlap="1">
                <wp:simplePos x="0" y="0"/>
                <wp:positionH relativeFrom="page">
                  <wp:posOffset>3562985</wp:posOffset>
                </wp:positionH>
                <wp:positionV relativeFrom="paragraph">
                  <wp:posOffset>546100</wp:posOffset>
                </wp:positionV>
                <wp:extent cx="1849120" cy="73152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912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6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 xml:space="preserve">Antonín Svárovský jednatel </w:t>
                            </w: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 xml:space="preserve">AGRO </w:t>
                            </w:r>
                            <w:r>
                              <w:rPr>
                                <w:rStyle w:val="CharStyle3"/>
                              </w:rPr>
                              <w:t>KAMÝK s.r.o. pachtýř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80.55000000000001pt;margin-top:43.pt;width:145.59999999999999pt;height:57.600000000000001pt;z-index:-125829373;mso-wrap-distance-left:0;mso-wrap-distance-top:4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 xml:space="preserve">Antonín Svárovský jednatel </w:t>
                      </w:r>
                      <w:r>
                        <w:rPr>
                          <w:rStyle w:val="CharStyle3"/>
                          <w:lang w:val="en-US" w:eastAsia="en-US" w:bidi="en-US"/>
                        </w:rPr>
                        <w:t xml:space="preserve">AGRO </w:t>
                      </w:r>
                      <w:r>
                        <w:rPr>
                          <w:rStyle w:val="CharStyle3"/>
                        </w:rPr>
                        <w:t>KAMÝK s.r.o. pachtýř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95" w:right="0" w:bottom="59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95" w:right="735" w:bottom="595" w:left="649" w:header="0" w:footer="3" w:gutter="0"/>
          <w:cols w:space="720"/>
          <w:noEndnote/>
          <w:rtlGutter w:val="0"/>
          <w:docGrid w:linePitch="360"/>
        </w:sectPr>
      </w:pPr>
      <w:r>
        <w:rPr>
          <w:rStyle w:val="CharStyle3"/>
        </w:rPr>
        <w:t>Za správnost: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  <w:lang w:val="sk-SK" w:eastAsia="sk-SK" w:bidi="sk-SK"/>
        </w:rPr>
        <w:t xml:space="preserve">Tento </w:t>
      </w:r>
      <w:r>
        <w:rPr>
          <w:rStyle w:val="CharStyle3"/>
        </w:rPr>
        <w:t>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Datum registrace: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20" w:val="left"/>
          <w:tab w:leader="dot" w:pos="30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smlouvy: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20" w:val="left"/>
          <w:tab w:leader="dot" w:pos="307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ID verze: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>Registraci provedl : Bc. Daniela Vašáková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070" w:val="left"/>
          <w:tab w:leader="dot" w:pos="9306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3"/>
        </w:rPr>
        <w:t xml:space="preserve">V Litoměřicích dne </w:t>
        <w:tab/>
        <w:t xml:space="preserve"> 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074" w:right="732" w:bottom="1074" w:left="664" w:header="646" w:footer="64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0050AA46F26A240919084249</dc:title>
  <dc:subject/>
  <dc:creator>vasakovad</dc:creator>
  <cp:keywords/>
</cp:coreProperties>
</file>