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600" w:rsidRDefault="000E6600" w:rsidP="000E6600">
      <w:pPr>
        <w:tabs>
          <w:tab w:val="left" w:pos="7661"/>
        </w:tabs>
        <w:spacing w:line="0" w:lineRule="atLeast"/>
        <w:ind w:left="1"/>
        <w:rPr>
          <w:rFonts w:ascii="Arial" w:eastAsia="Arial" w:hAnsi="Arial"/>
          <w:sz w:val="15"/>
        </w:rPr>
      </w:pPr>
      <w:r>
        <w:rPr>
          <w:rFonts w:ascii="Arial" w:eastAsia="Arial" w:hAnsi="Arial"/>
          <w:sz w:val="16"/>
        </w:rPr>
        <w:t>ČÍSLO SMLOUVY OBCHODNÍKA:</w:t>
      </w:r>
      <w:r>
        <w:rPr>
          <w:sz w:val="19"/>
        </w:rPr>
        <w:t xml:space="preserve"> P001076</w:t>
      </w:r>
      <w:r>
        <w:rPr>
          <w:rFonts w:ascii="Times New Roman" w:eastAsia="Times New Roman" w:hAnsi="Times New Roman"/>
        </w:rPr>
        <w:tab/>
      </w:r>
      <w:r>
        <w:rPr>
          <w:rFonts w:ascii="Arial" w:eastAsia="Arial" w:hAnsi="Arial"/>
          <w:sz w:val="15"/>
        </w:rPr>
        <w:t>Příloha č. 2 ZD</w:t>
      </w:r>
    </w:p>
    <w:p w:rsidR="000E6600" w:rsidRDefault="000E6600" w:rsidP="000E6600">
      <w:pPr>
        <w:spacing w:line="124" w:lineRule="exact"/>
        <w:rPr>
          <w:rFonts w:ascii="Times New Roman" w:eastAsia="Times New Roman" w:hAnsi="Times New Roman"/>
        </w:rPr>
      </w:pPr>
    </w:p>
    <w:p w:rsidR="000E6600" w:rsidRDefault="000E6600" w:rsidP="000E6600">
      <w:pPr>
        <w:spacing w:line="0" w:lineRule="atLeast"/>
        <w:ind w:left="1"/>
        <w:rPr>
          <w:rFonts w:ascii="Arial" w:eastAsia="Arial" w:hAnsi="Arial"/>
          <w:sz w:val="16"/>
        </w:rPr>
      </w:pPr>
      <w:r>
        <w:rPr>
          <w:rFonts w:ascii="Arial" w:eastAsia="Arial" w:hAnsi="Arial"/>
          <w:sz w:val="16"/>
        </w:rPr>
        <w:t>ČÍSLO SMLOUVY ZÁKAZNÍKA:</w:t>
      </w:r>
    </w:p>
    <w:p w:rsidR="000E6600" w:rsidRDefault="000E6600" w:rsidP="000E6600">
      <w:pPr>
        <w:spacing w:line="200" w:lineRule="exact"/>
        <w:rPr>
          <w:rFonts w:ascii="Times New Roman" w:eastAsia="Times New Roman" w:hAnsi="Times New Roman"/>
        </w:rPr>
      </w:pPr>
    </w:p>
    <w:p w:rsidR="000E6600" w:rsidRDefault="000E6600" w:rsidP="000E6600">
      <w:pPr>
        <w:spacing w:line="224" w:lineRule="exact"/>
        <w:rPr>
          <w:rFonts w:ascii="Times New Roman" w:eastAsia="Times New Roman" w:hAnsi="Times New Roman"/>
        </w:rPr>
      </w:pPr>
    </w:p>
    <w:p w:rsidR="000E6600" w:rsidRDefault="000E6600" w:rsidP="000E6600">
      <w:pPr>
        <w:spacing w:line="232" w:lineRule="auto"/>
        <w:ind w:left="1700" w:right="180"/>
        <w:jc w:val="center"/>
        <w:rPr>
          <w:rFonts w:ascii="Arial" w:eastAsia="Arial" w:hAnsi="Arial"/>
          <w:b/>
          <w:sz w:val="32"/>
        </w:rPr>
      </w:pPr>
      <w:r>
        <w:rPr>
          <w:rFonts w:ascii="Arial" w:eastAsia="Arial" w:hAnsi="Arial"/>
          <w:b/>
          <w:sz w:val="32"/>
        </w:rPr>
        <w:t>Příloha č. 1 Smlouvy o sdružených dodávkách zemního plynu</w:t>
      </w:r>
    </w:p>
    <w:p w:rsidR="000E6600" w:rsidRDefault="000E6600" w:rsidP="000E6600">
      <w:pPr>
        <w:spacing w:line="134" w:lineRule="exact"/>
        <w:rPr>
          <w:rFonts w:ascii="Times New Roman" w:eastAsia="Times New Roman" w:hAnsi="Times New Roman"/>
        </w:rPr>
      </w:pPr>
    </w:p>
    <w:p w:rsidR="000E6600" w:rsidRDefault="000E6600" w:rsidP="000E6600">
      <w:pPr>
        <w:spacing w:line="235" w:lineRule="auto"/>
        <w:ind w:left="1700" w:right="120"/>
        <w:jc w:val="center"/>
        <w:rPr>
          <w:rFonts w:ascii="Arial" w:eastAsia="Arial" w:hAnsi="Arial"/>
          <w:b/>
          <w:sz w:val="32"/>
        </w:rPr>
      </w:pPr>
      <w:r>
        <w:rPr>
          <w:rFonts w:ascii="Arial" w:eastAsia="Arial" w:hAnsi="Arial"/>
          <w:b/>
          <w:sz w:val="32"/>
        </w:rPr>
        <w:t>Obchodní podmínky dodávky plynu pro odběrná místa kategorie Maloodběratel, Střední odběratel a Velkoodběratel statutárního města Ostravy a městských organizací</w:t>
      </w:r>
    </w:p>
    <w:p w:rsidR="000E6600" w:rsidRDefault="000E6600" w:rsidP="000E6600">
      <w:pPr>
        <w:spacing w:line="368" w:lineRule="exact"/>
        <w:rPr>
          <w:rFonts w:ascii="Times New Roman" w:eastAsia="Times New Roman" w:hAnsi="Times New Roman"/>
        </w:rPr>
      </w:pPr>
    </w:p>
    <w:p w:rsidR="000E6600" w:rsidRDefault="000E6600" w:rsidP="000E6600">
      <w:pPr>
        <w:spacing w:line="0" w:lineRule="atLeast"/>
        <w:jc w:val="center"/>
        <w:rPr>
          <w:rFonts w:ascii="Arial" w:eastAsia="Arial" w:hAnsi="Arial"/>
          <w:b/>
          <w:sz w:val="16"/>
        </w:rPr>
      </w:pPr>
      <w:r>
        <w:rPr>
          <w:rFonts w:ascii="Arial" w:eastAsia="Arial" w:hAnsi="Arial"/>
          <w:b/>
          <w:sz w:val="16"/>
        </w:rPr>
        <w:t>I. Obecná ustanovení</w:t>
      </w:r>
    </w:p>
    <w:p w:rsidR="000E6600" w:rsidRDefault="000E6600" w:rsidP="000E6600">
      <w:pPr>
        <w:spacing w:line="126" w:lineRule="exact"/>
        <w:rPr>
          <w:rFonts w:ascii="Times New Roman" w:eastAsia="Times New Roman" w:hAnsi="Times New Roman"/>
        </w:rPr>
      </w:pPr>
    </w:p>
    <w:p w:rsidR="000E6600" w:rsidRDefault="000E6600" w:rsidP="000E6600">
      <w:pPr>
        <w:numPr>
          <w:ilvl w:val="0"/>
          <w:numId w:val="1"/>
        </w:numPr>
        <w:tabs>
          <w:tab w:val="left" w:pos="284"/>
        </w:tabs>
        <w:spacing w:line="235" w:lineRule="auto"/>
        <w:ind w:left="1" w:right="140" w:hanging="1"/>
        <w:rPr>
          <w:rFonts w:ascii="Arial" w:eastAsia="Arial" w:hAnsi="Arial"/>
          <w:b/>
          <w:sz w:val="16"/>
        </w:rPr>
      </w:pPr>
      <w:r>
        <w:rPr>
          <w:rFonts w:ascii="Arial" w:eastAsia="Arial" w:hAnsi="Arial"/>
          <w:sz w:val="16"/>
        </w:rPr>
        <w:t>Obchodní podmínky sdružených služeb dodávky plynu (dále jen „OPD“) upravují obchodní a technické podmínky dodávky plynu a zajištění distribuce plynu. OPD jsou nedílnou součástí Smlouvy o sdružených službách dodávky plynu uzavřené mezi Zákazníkem a Obchodníkem (dále jen „Smlouva“).</w:t>
      </w:r>
    </w:p>
    <w:p w:rsidR="000E6600" w:rsidRDefault="000E6600" w:rsidP="000E6600">
      <w:pPr>
        <w:spacing w:line="69" w:lineRule="exact"/>
        <w:rPr>
          <w:rFonts w:ascii="Arial" w:eastAsia="Arial" w:hAnsi="Arial"/>
          <w:b/>
          <w:sz w:val="16"/>
        </w:rPr>
      </w:pPr>
    </w:p>
    <w:p w:rsidR="000E6600" w:rsidRDefault="000E6600" w:rsidP="000E6600">
      <w:pPr>
        <w:numPr>
          <w:ilvl w:val="0"/>
          <w:numId w:val="1"/>
        </w:numPr>
        <w:tabs>
          <w:tab w:val="left" w:pos="284"/>
        </w:tabs>
        <w:spacing w:line="237" w:lineRule="auto"/>
        <w:ind w:left="1" w:hanging="1"/>
        <w:jc w:val="both"/>
        <w:rPr>
          <w:rFonts w:ascii="Arial" w:eastAsia="Arial" w:hAnsi="Arial"/>
          <w:b/>
          <w:sz w:val="16"/>
        </w:rPr>
      </w:pPr>
      <w:r>
        <w:rPr>
          <w:rFonts w:ascii="Arial" w:eastAsia="Arial" w:hAnsi="Arial"/>
          <w:sz w:val="16"/>
        </w:rPr>
        <w:t>Obchodní podmínky vydané ve smyslu ustanovení § 1751 zákona č. 89/2012 Sb., občanský zákoník, podrobněji upravují další vzájemná práva a povinnosti Smluvních stran, obecně upravená zákonem č. 458/2000 Sb., o podmínkách podnikání a o výkonu státní správy v energetických odvětvích a o změně některých zákonů (energetický zákon), ve znění pozdějších předpisů, příslušnými souvisejícími právními předpisy, cenovými rozhodnutími Energetického regulačního úřadu [„ERÚ“] a technickými normami.</w:t>
      </w:r>
    </w:p>
    <w:p w:rsidR="000E6600" w:rsidRDefault="000E6600" w:rsidP="000E6600">
      <w:pPr>
        <w:spacing w:line="67" w:lineRule="exact"/>
        <w:rPr>
          <w:rFonts w:ascii="Arial" w:eastAsia="Arial" w:hAnsi="Arial"/>
          <w:b/>
          <w:sz w:val="16"/>
        </w:rPr>
      </w:pPr>
    </w:p>
    <w:p w:rsidR="000E6600" w:rsidRDefault="000E6600" w:rsidP="000E6600">
      <w:pPr>
        <w:numPr>
          <w:ilvl w:val="0"/>
          <w:numId w:val="1"/>
        </w:numPr>
        <w:tabs>
          <w:tab w:val="left" w:pos="281"/>
        </w:tabs>
        <w:spacing w:line="307" w:lineRule="auto"/>
        <w:ind w:left="281" w:right="2940" w:hanging="281"/>
        <w:rPr>
          <w:rFonts w:ascii="Arial" w:eastAsia="Arial" w:hAnsi="Arial"/>
          <w:b/>
          <w:sz w:val="16"/>
        </w:rPr>
      </w:pPr>
      <w:r>
        <w:rPr>
          <w:rFonts w:ascii="Arial" w:eastAsia="Arial" w:hAnsi="Arial"/>
          <w:b/>
          <w:sz w:val="16"/>
        </w:rPr>
        <w:t>Definice pojmů</w:t>
      </w:r>
      <w:r>
        <w:rPr>
          <w:rFonts w:ascii="Arial" w:eastAsia="Arial" w:hAnsi="Arial"/>
          <w:sz w:val="16"/>
        </w:rPr>
        <w:t>. Pro účely Smlouvy mají níže uvedené pojmy následující význam: "</w:t>
      </w:r>
      <w:r>
        <w:rPr>
          <w:rFonts w:ascii="Arial" w:eastAsia="Arial" w:hAnsi="Arial"/>
          <w:b/>
          <w:sz w:val="16"/>
        </w:rPr>
        <w:t>Kč</w:t>
      </w:r>
      <w:r>
        <w:rPr>
          <w:rFonts w:ascii="Arial" w:eastAsia="Arial" w:hAnsi="Arial"/>
          <w:sz w:val="16"/>
        </w:rPr>
        <w:t>" = české koruny</w:t>
      </w:r>
    </w:p>
    <w:p w:rsidR="000E6600" w:rsidRDefault="000E6600" w:rsidP="000E6600">
      <w:pPr>
        <w:spacing w:line="68" w:lineRule="exact"/>
        <w:rPr>
          <w:rFonts w:ascii="Arial" w:eastAsia="Arial" w:hAnsi="Arial"/>
          <w:b/>
          <w:sz w:val="16"/>
        </w:rPr>
      </w:pPr>
    </w:p>
    <w:p w:rsidR="000E6600" w:rsidRDefault="000E6600" w:rsidP="000E6600">
      <w:pPr>
        <w:spacing w:line="0" w:lineRule="atLeast"/>
        <w:ind w:left="281"/>
        <w:rPr>
          <w:rFonts w:ascii="Arial" w:eastAsia="Arial" w:hAnsi="Arial"/>
          <w:sz w:val="16"/>
        </w:rPr>
      </w:pPr>
      <w:r>
        <w:rPr>
          <w:rFonts w:ascii="Arial" w:eastAsia="Arial" w:hAnsi="Arial"/>
          <w:sz w:val="16"/>
        </w:rPr>
        <w:t>"</w:t>
      </w:r>
      <w:r>
        <w:rPr>
          <w:rFonts w:ascii="Arial" w:eastAsia="Arial" w:hAnsi="Arial"/>
          <w:b/>
          <w:sz w:val="16"/>
        </w:rPr>
        <w:t>ČNB</w:t>
      </w:r>
      <w:r>
        <w:rPr>
          <w:rFonts w:ascii="Arial" w:eastAsia="Arial" w:hAnsi="Arial"/>
          <w:sz w:val="16"/>
        </w:rPr>
        <w:t>" = Česká národní banka</w:t>
      </w:r>
    </w:p>
    <w:p w:rsidR="000E6600" w:rsidRDefault="000E6600" w:rsidP="000E6600">
      <w:pPr>
        <w:spacing w:line="118" w:lineRule="exact"/>
        <w:rPr>
          <w:rFonts w:ascii="Arial" w:eastAsia="Arial" w:hAnsi="Arial"/>
          <w:b/>
          <w:sz w:val="16"/>
        </w:rPr>
      </w:pPr>
    </w:p>
    <w:p w:rsidR="000E6600" w:rsidRDefault="000E6600" w:rsidP="000E6600">
      <w:pPr>
        <w:spacing w:line="0" w:lineRule="atLeast"/>
        <w:ind w:left="281"/>
        <w:rPr>
          <w:rFonts w:ascii="Arial" w:eastAsia="Arial" w:hAnsi="Arial"/>
          <w:sz w:val="16"/>
        </w:rPr>
      </w:pPr>
      <w:r>
        <w:rPr>
          <w:rFonts w:ascii="Arial" w:eastAsia="Arial" w:hAnsi="Arial"/>
          <w:sz w:val="16"/>
        </w:rPr>
        <w:t>"</w:t>
      </w:r>
      <w:r>
        <w:rPr>
          <w:rFonts w:ascii="Arial" w:eastAsia="Arial" w:hAnsi="Arial"/>
          <w:b/>
          <w:sz w:val="16"/>
        </w:rPr>
        <w:t>Distribuce plynu</w:t>
      </w:r>
      <w:r>
        <w:rPr>
          <w:rFonts w:ascii="Arial" w:eastAsia="Arial" w:hAnsi="Arial"/>
          <w:sz w:val="16"/>
        </w:rPr>
        <w:t>" = doprava plynu distribuční soustavou</w:t>
      </w:r>
    </w:p>
    <w:p w:rsidR="000E6600" w:rsidRDefault="000E6600" w:rsidP="000E6600">
      <w:pPr>
        <w:spacing w:line="120" w:lineRule="exact"/>
        <w:rPr>
          <w:rFonts w:ascii="Arial" w:eastAsia="Arial" w:hAnsi="Arial"/>
          <w:b/>
          <w:sz w:val="16"/>
        </w:rPr>
      </w:pPr>
    </w:p>
    <w:p w:rsidR="000E6600" w:rsidRDefault="000E6600" w:rsidP="000E6600">
      <w:pPr>
        <w:spacing w:line="0" w:lineRule="atLeast"/>
        <w:ind w:left="281"/>
        <w:rPr>
          <w:rFonts w:ascii="Arial" w:eastAsia="Arial" w:hAnsi="Arial"/>
          <w:sz w:val="16"/>
        </w:rPr>
      </w:pPr>
      <w:r>
        <w:rPr>
          <w:rFonts w:ascii="Arial" w:eastAsia="Arial" w:hAnsi="Arial"/>
          <w:sz w:val="16"/>
        </w:rPr>
        <w:t>"</w:t>
      </w:r>
      <w:r>
        <w:rPr>
          <w:rFonts w:ascii="Arial" w:eastAsia="Arial" w:hAnsi="Arial"/>
          <w:b/>
          <w:sz w:val="16"/>
        </w:rPr>
        <w:t>DPH</w:t>
      </w:r>
      <w:r>
        <w:rPr>
          <w:rFonts w:ascii="Arial" w:eastAsia="Arial" w:hAnsi="Arial"/>
          <w:sz w:val="16"/>
        </w:rPr>
        <w:t>" = daň z přidané hodnoty dle Zákona o DPH č. 235/2004 Sb., v platném znění.</w:t>
      </w:r>
    </w:p>
    <w:p w:rsidR="000E6600" w:rsidRDefault="000E6600" w:rsidP="000E6600">
      <w:pPr>
        <w:spacing w:line="128" w:lineRule="exact"/>
        <w:rPr>
          <w:rFonts w:ascii="Arial" w:eastAsia="Arial" w:hAnsi="Arial"/>
          <w:b/>
          <w:sz w:val="16"/>
        </w:rPr>
      </w:pPr>
    </w:p>
    <w:p w:rsidR="000E6600" w:rsidRDefault="000E6600" w:rsidP="000E6600">
      <w:pPr>
        <w:spacing w:line="384" w:lineRule="auto"/>
        <w:ind w:left="281" w:right="440"/>
        <w:rPr>
          <w:rFonts w:ascii="Arial" w:eastAsia="Arial" w:hAnsi="Arial"/>
          <w:sz w:val="16"/>
        </w:rPr>
      </w:pPr>
      <w:r>
        <w:rPr>
          <w:rFonts w:ascii="Arial" w:eastAsia="Arial" w:hAnsi="Arial"/>
          <w:b/>
          <w:sz w:val="16"/>
        </w:rPr>
        <w:t>"EIC"</w:t>
      </w:r>
      <w:r>
        <w:rPr>
          <w:rFonts w:ascii="Arial" w:eastAsia="Arial" w:hAnsi="Arial"/>
          <w:sz w:val="16"/>
        </w:rPr>
        <w:t xml:space="preserve"> = identifikační číselný kód jednoznačně určující účastníka trhu s plynem a jednotlivé odběrné a předávací místo "</w:t>
      </w:r>
      <w:r>
        <w:rPr>
          <w:rFonts w:ascii="Arial" w:eastAsia="Arial" w:hAnsi="Arial"/>
          <w:b/>
          <w:sz w:val="16"/>
        </w:rPr>
        <w:t>Energetický zákon</w:t>
      </w:r>
      <w:r>
        <w:rPr>
          <w:rFonts w:ascii="Arial" w:eastAsia="Arial" w:hAnsi="Arial"/>
          <w:sz w:val="16"/>
        </w:rPr>
        <w:t>" = zákon č. 458/2000 Sb., v platném znění.</w:t>
      </w:r>
    </w:p>
    <w:p w:rsidR="000E6600" w:rsidRDefault="000E6600" w:rsidP="000E6600">
      <w:pPr>
        <w:spacing w:line="10" w:lineRule="exact"/>
        <w:rPr>
          <w:rFonts w:ascii="Arial" w:eastAsia="Arial" w:hAnsi="Arial"/>
          <w:b/>
          <w:sz w:val="16"/>
        </w:rPr>
      </w:pPr>
    </w:p>
    <w:p w:rsidR="000E6600" w:rsidRDefault="000E6600" w:rsidP="000E6600">
      <w:pPr>
        <w:spacing w:line="0" w:lineRule="atLeast"/>
        <w:ind w:left="281"/>
        <w:rPr>
          <w:rFonts w:ascii="Arial" w:eastAsia="Arial" w:hAnsi="Arial"/>
          <w:sz w:val="16"/>
        </w:rPr>
      </w:pPr>
      <w:r>
        <w:rPr>
          <w:rFonts w:ascii="Arial" w:eastAsia="Arial" w:hAnsi="Arial"/>
          <w:sz w:val="16"/>
        </w:rPr>
        <w:t>"</w:t>
      </w:r>
      <w:r>
        <w:rPr>
          <w:rFonts w:ascii="Arial" w:eastAsia="Arial" w:hAnsi="Arial"/>
          <w:b/>
          <w:sz w:val="16"/>
        </w:rPr>
        <w:t>ERÚ</w:t>
      </w:r>
      <w:r>
        <w:rPr>
          <w:rFonts w:ascii="Arial" w:eastAsia="Arial" w:hAnsi="Arial"/>
          <w:sz w:val="16"/>
        </w:rPr>
        <w:t>" = Energetický regulační úřad.</w:t>
      </w:r>
    </w:p>
    <w:p w:rsidR="000E6600" w:rsidRDefault="000E6600" w:rsidP="000E6600">
      <w:pPr>
        <w:spacing w:line="128" w:lineRule="exact"/>
        <w:rPr>
          <w:rFonts w:ascii="Arial" w:eastAsia="Arial" w:hAnsi="Arial"/>
          <w:b/>
          <w:sz w:val="16"/>
        </w:rPr>
      </w:pPr>
    </w:p>
    <w:p w:rsidR="000E6600" w:rsidRDefault="000E6600" w:rsidP="000E6600">
      <w:pPr>
        <w:spacing w:line="384" w:lineRule="auto"/>
        <w:ind w:left="281" w:right="4260"/>
        <w:rPr>
          <w:rFonts w:ascii="Arial" w:eastAsia="Arial" w:hAnsi="Arial"/>
          <w:sz w:val="16"/>
        </w:rPr>
      </w:pPr>
      <w:r>
        <w:rPr>
          <w:rFonts w:ascii="Arial" w:eastAsia="Arial" w:hAnsi="Arial"/>
          <w:sz w:val="16"/>
        </w:rPr>
        <w:t>"</w:t>
      </w:r>
      <w:r>
        <w:rPr>
          <w:rFonts w:ascii="Arial" w:eastAsia="Arial" w:hAnsi="Arial"/>
          <w:b/>
          <w:sz w:val="16"/>
        </w:rPr>
        <w:t>Insolvenční zákon</w:t>
      </w:r>
      <w:r>
        <w:rPr>
          <w:rFonts w:ascii="Arial" w:eastAsia="Arial" w:hAnsi="Arial"/>
          <w:sz w:val="16"/>
        </w:rPr>
        <w:t>" = zákon č. 182/2006 Sb., v platném znění.</w:t>
      </w:r>
      <w:r>
        <w:rPr>
          <w:rFonts w:ascii="Arial" w:eastAsia="Arial" w:hAnsi="Arial"/>
          <w:b/>
          <w:sz w:val="16"/>
        </w:rPr>
        <w:t xml:space="preserve"> "MO"</w:t>
      </w:r>
      <w:r>
        <w:rPr>
          <w:rFonts w:ascii="Arial" w:eastAsia="Arial" w:hAnsi="Arial"/>
          <w:sz w:val="16"/>
        </w:rPr>
        <w:t xml:space="preserve"> = </w:t>
      </w:r>
      <w:proofErr w:type="gramStart"/>
      <w:r>
        <w:rPr>
          <w:rFonts w:ascii="Arial" w:eastAsia="Arial" w:hAnsi="Arial"/>
          <w:sz w:val="16"/>
        </w:rPr>
        <w:t>maloodběr - odběrná</w:t>
      </w:r>
      <w:proofErr w:type="gramEnd"/>
      <w:r>
        <w:rPr>
          <w:rFonts w:ascii="Arial" w:eastAsia="Arial" w:hAnsi="Arial"/>
          <w:sz w:val="16"/>
        </w:rPr>
        <w:t xml:space="preserve"> místa do 630 000 kWh/rok</w:t>
      </w:r>
    </w:p>
    <w:p w:rsidR="000E6600" w:rsidRDefault="000E6600" w:rsidP="000E6600">
      <w:pPr>
        <w:spacing w:line="10" w:lineRule="exact"/>
        <w:rPr>
          <w:rFonts w:ascii="Arial" w:eastAsia="Arial" w:hAnsi="Arial"/>
          <w:b/>
          <w:sz w:val="16"/>
        </w:rPr>
      </w:pPr>
    </w:p>
    <w:p w:rsidR="000E6600" w:rsidRDefault="000E6600" w:rsidP="000E6600">
      <w:pPr>
        <w:spacing w:line="0" w:lineRule="atLeast"/>
        <w:ind w:left="281"/>
        <w:rPr>
          <w:rFonts w:ascii="Arial" w:eastAsia="Arial" w:hAnsi="Arial"/>
          <w:sz w:val="16"/>
        </w:rPr>
      </w:pPr>
      <w:r>
        <w:rPr>
          <w:rFonts w:ascii="Arial" w:eastAsia="Arial" w:hAnsi="Arial"/>
          <w:b/>
          <w:sz w:val="16"/>
        </w:rPr>
        <w:t>"VOSO"</w:t>
      </w:r>
      <w:r>
        <w:rPr>
          <w:rFonts w:ascii="Arial" w:eastAsia="Arial" w:hAnsi="Arial"/>
          <w:sz w:val="16"/>
        </w:rPr>
        <w:t xml:space="preserve"> = střední odběr + </w:t>
      </w:r>
      <w:proofErr w:type="gramStart"/>
      <w:r>
        <w:rPr>
          <w:rFonts w:ascii="Arial" w:eastAsia="Arial" w:hAnsi="Arial"/>
          <w:sz w:val="16"/>
        </w:rPr>
        <w:t>velkoodběr - odběrná</w:t>
      </w:r>
      <w:proofErr w:type="gramEnd"/>
      <w:r>
        <w:rPr>
          <w:rFonts w:ascii="Arial" w:eastAsia="Arial" w:hAnsi="Arial"/>
          <w:sz w:val="16"/>
        </w:rPr>
        <w:t xml:space="preserve"> místa nad 630 000 kWh/rok</w:t>
      </w:r>
    </w:p>
    <w:p w:rsidR="000E6600" w:rsidRDefault="000E6600" w:rsidP="000E6600">
      <w:pPr>
        <w:spacing w:line="128" w:lineRule="exact"/>
        <w:rPr>
          <w:rFonts w:ascii="Arial" w:eastAsia="Arial" w:hAnsi="Arial"/>
          <w:b/>
          <w:sz w:val="16"/>
        </w:rPr>
      </w:pPr>
    </w:p>
    <w:p w:rsidR="000E6600" w:rsidRDefault="000E6600" w:rsidP="000E6600">
      <w:pPr>
        <w:spacing w:line="384" w:lineRule="auto"/>
        <w:ind w:left="281" w:right="2320"/>
        <w:rPr>
          <w:rFonts w:ascii="Arial" w:eastAsia="Arial" w:hAnsi="Arial"/>
          <w:sz w:val="16"/>
        </w:rPr>
      </w:pPr>
      <w:r>
        <w:rPr>
          <w:rFonts w:ascii="Arial" w:eastAsia="Arial" w:hAnsi="Arial"/>
          <w:b/>
          <w:sz w:val="16"/>
        </w:rPr>
        <w:t>"Měřicí zařízení"</w:t>
      </w:r>
      <w:r>
        <w:rPr>
          <w:rFonts w:ascii="Arial" w:eastAsia="Arial" w:hAnsi="Arial"/>
          <w:sz w:val="16"/>
        </w:rPr>
        <w:t xml:space="preserve"> = veškerá zařízení pro měření, přenos a zpracování naměřených hodnot. "</w:t>
      </w:r>
      <w:r>
        <w:rPr>
          <w:rFonts w:ascii="Arial" w:eastAsia="Arial" w:hAnsi="Arial"/>
          <w:b/>
          <w:sz w:val="16"/>
        </w:rPr>
        <w:t>Občanská zákoník</w:t>
      </w:r>
      <w:r>
        <w:rPr>
          <w:rFonts w:ascii="Arial" w:eastAsia="Arial" w:hAnsi="Arial"/>
          <w:sz w:val="16"/>
        </w:rPr>
        <w:t>" = zákon č. 89/2012 Sb., v platném znění.</w:t>
      </w:r>
    </w:p>
    <w:p w:rsidR="000E6600" w:rsidRDefault="000E6600" w:rsidP="000E6600">
      <w:pPr>
        <w:spacing w:line="18" w:lineRule="exact"/>
        <w:rPr>
          <w:rFonts w:ascii="Arial" w:eastAsia="Arial" w:hAnsi="Arial"/>
          <w:b/>
          <w:sz w:val="16"/>
        </w:rPr>
      </w:pPr>
    </w:p>
    <w:p w:rsidR="000E6600" w:rsidRDefault="000E6600" w:rsidP="000E6600">
      <w:pPr>
        <w:spacing w:line="232" w:lineRule="auto"/>
        <w:ind w:left="281" w:right="40"/>
        <w:rPr>
          <w:rFonts w:ascii="Arial" w:eastAsia="Arial" w:hAnsi="Arial"/>
          <w:sz w:val="16"/>
        </w:rPr>
      </w:pPr>
      <w:r>
        <w:rPr>
          <w:rFonts w:ascii="Arial" w:eastAsia="Arial" w:hAnsi="Arial"/>
          <w:sz w:val="16"/>
        </w:rPr>
        <w:t>"</w:t>
      </w:r>
      <w:r>
        <w:rPr>
          <w:rFonts w:ascii="Arial" w:eastAsia="Arial" w:hAnsi="Arial"/>
          <w:b/>
          <w:sz w:val="16"/>
        </w:rPr>
        <w:t>OM</w:t>
      </w:r>
      <w:r>
        <w:rPr>
          <w:rFonts w:ascii="Arial" w:eastAsia="Arial" w:hAnsi="Arial"/>
          <w:sz w:val="16"/>
        </w:rPr>
        <w:t>" = odběrné místo, odběrné energetické zařízení Zákazníka, do kterého se uskutečňuje dodávka plynu a jehož odběr je měřen měřícím zařízením PDS.</w:t>
      </w:r>
    </w:p>
    <w:p w:rsidR="000E6600" w:rsidRDefault="000E6600" w:rsidP="000E6600">
      <w:pPr>
        <w:spacing w:line="119" w:lineRule="exact"/>
        <w:rPr>
          <w:rFonts w:ascii="Arial" w:eastAsia="Arial" w:hAnsi="Arial"/>
          <w:b/>
          <w:sz w:val="16"/>
        </w:rPr>
      </w:pPr>
    </w:p>
    <w:p w:rsidR="000E6600" w:rsidRDefault="000E6600" w:rsidP="000E6600">
      <w:pPr>
        <w:spacing w:line="0" w:lineRule="atLeast"/>
        <w:ind w:left="281"/>
        <w:rPr>
          <w:rFonts w:ascii="Arial" w:eastAsia="Arial" w:hAnsi="Arial"/>
          <w:sz w:val="16"/>
        </w:rPr>
      </w:pPr>
      <w:r>
        <w:rPr>
          <w:rFonts w:ascii="Arial" w:eastAsia="Arial" w:hAnsi="Arial"/>
          <w:sz w:val="16"/>
        </w:rPr>
        <w:t>"</w:t>
      </w:r>
      <w:r>
        <w:rPr>
          <w:rFonts w:ascii="Arial" w:eastAsia="Arial" w:hAnsi="Arial"/>
          <w:b/>
          <w:sz w:val="16"/>
        </w:rPr>
        <w:t>OTE</w:t>
      </w:r>
      <w:r>
        <w:rPr>
          <w:rFonts w:ascii="Arial" w:eastAsia="Arial" w:hAnsi="Arial"/>
          <w:sz w:val="16"/>
        </w:rPr>
        <w:t>" = operátor trhu s energiemi, OTE, a.s. IČ 26463318.</w:t>
      </w:r>
    </w:p>
    <w:p w:rsidR="000E6600" w:rsidRDefault="000E6600" w:rsidP="000E6600">
      <w:pPr>
        <w:spacing w:line="120" w:lineRule="exact"/>
        <w:rPr>
          <w:rFonts w:ascii="Arial" w:eastAsia="Arial" w:hAnsi="Arial"/>
          <w:b/>
          <w:sz w:val="16"/>
        </w:rPr>
      </w:pPr>
    </w:p>
    <w:p w:rsidR="000E6600" w:rsidRDefault="000E6600" w:rsidP="000E6600">
      <w:pPr>
        <w:spacing w:line="0" w:lineRule="atLeast"/>
        <w:ind w:left="281"/>
        <w:rPr>
          <w:rFonts w:ascii="Arial" w:eastAsia="Arial" w:hAnsi="Arial"/>
          <w:sz w:val="16"/>
        </w:rPr>
      </w:pPr>
      <w:r>
        <w:rPr>
          <w:rFonts w:ascii="Arial" w:eastAsia="Arial" w:hAnsi="Arial"/>
          <w:sz w:val="16"/>
        </w:rPr>
        <w:t>"</w:t>
      </w:r>
      <w:r>
        <w:rPr>
          <w:rFonts w:ascii="Arial" w:eastAsia="Arial" w:hAnsi="Arial"/>
          <w:b/>
          <w:sz w:val="16"/>
        </w:rPr>
        <w:t>OSŘ</w:t>
      </w:r>
      <w:r>
        <w:rPr>
          <w:rFonts w:ascii="Arial" w:eastAsia="Arial" w:hAnsi="Arial"/>
          <w:sz w:val="16"/>
        </w:rPr>
        <w:t>" = zákon č. 99/1963 Sb., Občanský soudní řád v platném znění.</w:t>
      </w:r>
    </w:p>
    <w:p w:rsidR="000E6600" w:rsidRDefault="000E6600" w:rsidP="000E6600">
      <w:pPr>
        <w:spacing w:line="128" w:lineRule="exact"/>
        <w:rPr>
          <w:rFonts w:ascii="Arial" w:eastAsia="Arial" w:hAnsi="Arial"/>
          <w:b/>
          <w:sz w:val="16"/>
        </w:rPr>
      </w:pPr>
    </w:p>
    <w:p w:rsidR="000E6600" w:rsidRDefault="000E6600" w:rsidP="000E6600">
      <w:pPr>
        <w:spacing w:line="420" w:lineRule="auto"/>
        <w:ind w:left="281" w:right="2060"/>
        <w:rPr>
          <w:rFonts w:ascii="Arial" w:eastAsia="Arial" w:hAnsi="Arial"/>
          <w:sz w:val="15"/>
        </w:rPr>
      </w:pPr>
      <w:r>
        <w:rPr>
          <w:rFonts w:ascii="Arial" w:eastAsia="Arial" w:hAnsi="Arial"/>
          <w:sz w:val="15"/>
        </w:rPr>
        <w:t>"</w:t>
      </w:r>
      <w:r>
        <w:rPr>
          <w:rFonts w:ascii="Arial" w:eastAsia="Arial" w:hAnsi="Arial"/>
          <w:b/>
          <w:sz w:val="15"/>
        </w:rPr>
        <w:t>Ovládající osoba</w:t>
      </w:r>
      <w:r>
        <w:rPr>
          <w:rFonts w:ascii="Arial" w:eastAsia="Arial" w:hAnsi="Arial"/>
          <w:sz w:val="15"/>
        </w:rPr>
        <w:t>" = osoba ve smyslu § 74 zákona č. 90/2012 Sb., o obchodních korporacích. "</w:t>
      </w:r>
      <w:r>
        <w:rPr>
          <w:rFonts w:ascii="Arial" w:eastAsia="Arial" w:hAnsi="Arial"/>
          <w:b/>
          <w:sz w:val="15"/>
        </w:rPr>
        <w:t>PDS</w:t>
      </w:r>
      <w:r>
        <w:rPr>
          <w:rFonts w:ascii="Arial" w:eastAsia="Arial" w:hAnsi="Arial"/>
          <w:sz w:val="15"/>
        </w:rPr>
        <w:t>" = provozovatel distribuční soustavy, který je držitelem licence na distribuci plynu.</w:t>
      </w:r>
    </w:p>
    <w:p w:rsidR="000E6600" w:rsidRDefault="000E6600" w:rsidP="000E6600">
      <w:pPr>
        <w:spacing w:line="232" w:lineRule="auto"/>
        <w:ind w:left="281" w:right="260"/>
        <w:rPr>
          <w:rFonts w:ascii="Arial" w:eastAsia="Arial" w:hAnsi="Arial"/>
          <w:sz w:val="16"/>
        </w:rPr>
      </w:pPr>
      <w:r>
        <w:rPr>
          <w:rFonts w:ascii="Arial" w:eastAsia="Arial" w:hAnsi="Arial"/>
          <w:b/>
          <w:sz w:val="16"/>
        </w:rPr>
        <w:t>"PPDS"</w:t>
      </w:r>
      <w:r>
        <w:rPr>
          <w:rFonts w:ascii="Arial" w:eastAsia="Arial" w:hAnsi="Arial"/>
          <w:sz w:val="16"/>
        </w:rPr>
        <w:t xml:space="preserve"> = pravidla pro provozování distribučních soustav. Pravidly provozu přepravní soustavy a distribučních soustav v plynárenství, Řád provozovatele přepravní soustavy a Řád provozovatele distribuční soustavy,</w:t>
      </w:r>
    </w:p>
    <w:p w:rsidR="000E6600" w:rsidRDefault="000E6600" w:rsidP="000E6600">
      <w:pPr>
        <w:spacing w:line="126" w:lineRule="exact"/>
        <w:rPr>
          <w:rFonts w:ascii="Arial" w:eastAsia="Arial" w:hAnsi="Arial"/>
          <w:b/>
          <w:sz w:val="16"/>
        </w:rPr>
      </w:pPr>
    </w:p>
    <w:p w:rsidR="000E6600" w:rsidRDefault="000E6600" w:rsidP="000E6600">
      <w:pPr>
        <w:spacing w:line="386" w:lineRule="auto"/>
        <w:ind w:left="281" w:right="220"/>
        <w:rPr>
          <w:rFonts w:ascii="Arial" w:eastAsia="Arial" w:hAnsi="Arial"/>
          <w:sz w:val="16"/>
        </w:rPr>
      </w:pPr>
      <w:r>
        <w:rPr>
          <w:rFonts w:ascii="Arial" w:eastAsia="Arial" w:hAnsi="Arial"/>
          <w:b/>
          <w:sz w:val="16"/>
        </w:rPr>
        <w:t>"Plynárenský den"</w:t>
      </w:r>
      <w:r>
        <w:rPr>
          <w:rFonts w:ascii="Arial" w:eastAsia="Arial" w:hAnsi="Arial"/>
          <w:sz w:val="16"/>
        </w:rPr>
        <w:t xml:space="preserve"> = časový úsek začínající v 6:00:00 hodin a končící v 06:00:00 hodin následujícího kalendářního dne,</w:t>
      </w:r>
      <w:r>
        <w:rPr>
          <w:rFonts w:ascii="Arial" w:eastAsia="Arial" w:hAnsi="Arial"/>
          <w:b/>
          <w:sz w:val="16"/>
        </w:rPr>
        <w:t xml:space="preserve"> "Plynárenská hodina"</w:t>
      </w:r>
      <w:r>
        <w:rPr>
          <w:rFonts w:ascii="Arial" w:eastAsia="Arial" w:hAnsi="Arial"/>
          <w:sz w:val="16"/>
        </w:rPr>
        <w:t xml:space="preserve"> = časový úsek, začínající v celou hodinu a končící v nejblíže následující celou hodinu,</w:t>
      </w:r>
    </w:p>
    <w:p w:rsidR="000E6600" w:rsidRDefault="000E6600" w:rsidP="000E6600">
      <w:pPr>
        <w:spacing w:line="13" w:lineRule="exact"/>
        <w:rPr>
          <w:rFonts w:ascii="Arial" w:eastAsia="Arial" w:hAnsi="Arial"/>
          <w:b/>
          <w:sz w:val="16"/>
        </w:rPr>
      </w:pPr>
    </w:p>
    <w:p w:rsidR="000E6600" w:rsidRDefault="000E6600" w:rsidP="000E6600">
      <w:pPr>
        <w:spacing w:line="232" w:lineRule="auto"/>
        <w:ind w:left="281" w:right="480"/>
        <w:rPr>
          <w:rFonts w:ascii="Arial" w:eastAsia="Arial" w:hAnsi="Arial"/>
          <w:sz w:val="16"/>
        </w:rPr>
      </w:pPr>
      <w:r>
        <w:rPr>
          <w:rFonts w:ascii="Arial" w:eastAsia="Arial" w:hAnsi="Arial"/>
          <w:b/>
          <w:sz w:val="16"/>
        </w:rPr>
        <w:t>"Plynárenský měsíc"</w:t>
      </w:r>
      <w:r>
        <w:rPr>
          <w:rFonts w:ascii="Arial" w:eastAsia="Arial" w:hAnsi="Arial"/>
          <w:sz w:val="16"/>
        </w:rPr>
        <w:t xml:space="preserve"> = časový úsek začínající první den v kalendářním měsíci v 6:00:00 hodin a končící první den v následujícím kalendářním měsíci v 6:00:00 hodin.</w:t>
      </w:r>
    </w:p>
    <w:p w:rsidR="000E6600" w:rsidRDefault="000E6600" w:rsidP="000E6600">
      <w:pPr>
        <w:spacing w:line="129" w:lineRule="exact"/>
        <w:rPr>
          <w:rFonts w:ascii="Arial" w:eastAsia="Arial" w:hAnsi="Arial"/>
          <w:b/>
          <w:sz w:val="16"/>
        </w:rPr>
      </w:pPr>
    </w:p>
    <w:p w:rsidR="000E6600" w:rsidRDefault="000E6600" w:rsidP="000E6600">
      <w:pPr>
        <w:spacing w:line="232" w:lineRule="auto"/>
        <w:ind w:left="281" w:right="220"/>
        <w:rPr>
          <w:rFonts w:ascii="Arial" w:eastAsia="Arial" w:hAnsi="Arial"/>
          <w:sz w:val="16"/>
        </w:rPr>
      </w:pPr>
      <w:r>
        <w:rPr>
          <w:rFonts w:ascii="Arial" w:eastAsia="Arial" w:hAnsi="Arial"/>
          <w:b/>
          <w:sz w:val="16"/>
        </w:rPr>
        <w:t>"Plynárenský týden"</w:t>
      </w:r>
      <w:r>
        <w:rPr>
          <w:rFonts w:ascii="Arial" w:eastAsia="Arial" w:hAnsi="Arial"/>
          <w:sz w:val="16"/>
        </w:rPr>
        <w:t xml:space="preserve"> = časový úsek začínající v pondělí v 6:00:00 hodin a končící v pondělí 6:00:00 hodin následujícího kalendářního týdne.</w:t>
      </w:r>
    </w:p>
    <w:p w:rsidR="000E6600" w:rsidRDefault="000E6600" w:rsidP="000E6600">
      <w:pPr>
        <w:spacing w:line="126" w:lineRule="exact"/>
        <w:rPr>
          <w:rFonts w:ascii="Arial" w:eastAsia="Arial" w:hAnsi="Arial"/>
          <w:b/>
          <w:sz w:val="16"/>
        </w:rPr>
      </w:pPr>
    </w:p>
    <w:p w:rsidR="000E6600" w:rsidRDefault="000E6600" w:rsidP="000E6600">
      <w:pPr>
        <w:spacing w:line="235" w:lineRule="auto"/>
        <w:ind w:left="281" w:right="160"/>
        <w:jc w:val="both"/>
        <w:rPr>
          <w:rFonts w:ascii="Arial" w:eastAsia="Arial" w:hAnsi="Arial"/>
          <w:sz w:val="16"/>
        </w:rPr>
      </w:pPr>
      <w:r>
        <w:rPr>
          <w:rFonts w:ascii="Arial" w:eastAsia="Arial" w:hAnsi="Arial"/>
          <w:b/>
          <w:sz w:val="16"/>
        </w:rPr>
        <w:t>"Provozní hodnota tlaku a teploty"</w:t>
      </w:r>
      <w:r>
        <w:rPr>
          <w:rFonts w:ascii="Arial" w:eastAsia="Arial" w:hAnsi="Arial"/>
          <w:sz w:val="16"/>
        </w:rPr>
        <w:t xml:space="preserve"> = hodnoty, za kterých plyn prochází měřícím zařízením; tyto hodnoty jsou zjišťovány </w:t>
      </w:r>
      <w:proofErr w:type="spellStart"/>
      <w:r>
        <w:rPr>
          <w:rFonts w:ascii="Arial" w:eastAsia="Arial" w:hAnsi="Arial"/>
          <w:sz w:val="16"/>
        </w:rPr>
        <w:t>přepočítávači</w:t>
      </w:r>
      <w:proofErr w:type="spellEnd"/>
      <w:r>
        <w:rPr>
          <w:rFonts w:ascii="Arial" w:eastAsia="Arial" w:hAnsi="Arial"/>
          <w:sz w:val="16"/>
        </w:rPr>
        <w:t xml:space="preserve"> množství plynu, registračními přístroji tlaku a teploty, případně jsou stanoveny jako konstanta z průměrných hodnot.</w:t>
      </w:r>
    </w:p>
    <w:p w:rsidR="000E6600" w:rsidRDefault="000E6600" w:rsidP="000E6600">
      <w:pPr>
        <w:spacing w:line="126" w:lineRule="exact"/>
        <w:rPr>
          <w:rFonts w:ascii="Arial" w:eastAsia="Arial" w:hAnsi="Arial"/>
          <w:b/>
          <w:sz w:val="16"/>
        </w:rPr>
      </w:pPr>
    </w:p>
    <w:p w:rsidR="000E6600" w:rsidRDefault="000E6600" w:rsidP="000E6600">
      <w:pPr>
        <w:spacing w:line="232" w:lineRule="auto"/>
        <w:ind w:left="281" w:right="180"/>
        <w:rPr>
          <w:rFonts w:ascii="Arial" w:eastAsia="Arial" w:hAnsi="Arial"/>
          <w:sz w:val="16"/>
        </w:rPr>
      </w:pPr>
      <w:r>
        <w:rPr>
          <w:rFonts w:ascii="Arial" w:eastAsia="Arial" w:hAnsi="Arial"/>
          <w:sz w:val="16"/>
        </w:rPr>
        <w:t>"</w:t>
      </w:r>
      <w:r>
        <w:rPr>
          <w:rFonts w:ascii="Arial" w:eastAsia="Arial" w:hAnsi="Arial"/>
          <w:b/>
          <w:sz w:val="16"/>
        </w:rPr>
        <w:t>Sdružené služby</w:t>
      </w:r>
      <w:r>
        <w:rPr>
          <w:rFonts w:ascii="Arial" w:eastAsia="Arial" w:hAnsi="Arial"/>
          <w:sz w:val="16"/>
        </w:rPr>
        <w:t>" = sdružené služby dodávky plynu, tzn. dodání sjednaného množství plynu a převzetí odpovědnosti za odchylku a zajištění distribuce plynu do OM Zákazníka.</w:t>
      </w:r>
    </w:p>
    <w:p w:rsidR="000E6600" w:rsidRDefault="000E6600" w:rsidP="000E6600">
      <w:pPr>
        <w:spacing w:line="121" w:lineRule="exact"/>
        <w:rPr>
          <w:rFonts w:ascii="Arial" w:eastAsia="Arial" w:hAnsi="Arial"/>
          <w:b/>
          <w:sz w:val="16"/>
        </w:rPr>
      </w:pPr>
    </w:p>
    <w:p w:rsidR="000E6600" w:rsidRDefault="000E6600" w:rsidP="000E6600">
      <w:pPr>
        <w:spacing w:line="0" w:lineRule="atLeast"/>
        <w:ind w:left="281"/>
        <w:rPr>
          <w:rFonts w:ascii="Arial" w:eastAsia="Arial" w:hAnsi="Arial"/>
          <w:sz w:val="16"/>
        </w:rPr>
      </w:pPr>
      <w:r>
        <w:rPr>
          <w:rFonts w:ascii="Arial" w:eastAsia="Arial" w:hAnsi="Arial"/>
          <w:sz w:val="16"/>
        </w:rPr>
        <w:t>"</w:t>
      </w:r>
      <w:r>
        <w:rPr>
          <w:rFonts w:ascii="Arial" w:eastAsia="Arial" w:hAnsi="Arial"/>
          <w:b/>
          <w:sz w:val="16"/>
        </w:rPr>
        <w:t>SMO</w:t>
      </w:r>
      <w:r>
        <w:rPr>
          <w:rFonts w:ascii="Arial" w:eastAsia="Arial" w:hAnsi="Arial"/>
          <w:sz w:val="16"/>
        </w:rPr>
        <w:t>" = Statutární město Ostrava (IČO: 00845451), zastoupené Magistrátem města Ostravy.</w:t>
      </w:r>
    </w:p>
    <w:p w:rsidR="000E6600" w:rsidRDefault="000E6600" w:rsidP="000E6600">
      <w:pPr>
        <w:spacing w:line="200" w:lineRule="exact"/>
        <w:rPr>
          <w:rFonts w:ascii="Times New Roman" w:eastAsia="Times New Roman" w:hAnsi="Times New Roman"/>
        </w:rPr>
      </w:pPr>
    </w:p>
    <w:p w:rsidR="000E6600" w:rsidRDefault="000E6600" w:rsidP="000E6600">
      <w:pPr>
        <w:spacing w:line="204" w:lineRule="exact"/>
        <w:rPr>
          <w:rFonts w:ascii="Times New Roman" w:eastAsia="Times New Roman" w:hAnsi="Times New Roman"/>
        </w:rPr>
      </w:pPr>
    </w:p>
    <w:p w:rsidR="000E6600" w:rsidRDefault="000E6600" w:rsidP="000E6600">
      <w:pPr>
        <w:spacing w:line="0" w:lineRule="atLeast"/>
        <w:jc w:val="center"/>
        <w:rPr>
          <w:rFonts w:ascii="Arial" w:eastAsia="Arial" w:hAnsi="Arial"/>
          <w:b/>
        </w:rPr>
      </w:pPr>
      <w:r>
        <w:rPr>
          <w:rFonts w:ascii="Arial" w:eastAsia="Arial" w:hAnsi="Arial"/>
        </w:rPr>
        <w:t xml:space="preserve">Stránka </w:t>
      </w:r>
      <w:r>
        <w:rPr>
          <w:rFonts w:ascii="Arial" w:eastAsia="Arial" w:hAnsi="Arial"/>
          <w:b/>
        </w:rPr>
        <w:t>1</w:t>
      </w:r>
      <w:r>
        <w:rPr>
          <w:rFonts w:ascii="Arial" w:eastAsia="Arial" w:hAnsi="Arial"/>
        </w:rPr>
        <w:t xml:space="preserve"> z </w:t>
      </w:r>
      <w:r>
        <w:rPr>
          <w:rFonts w:ascii="Arial" w:eastAsia="Arial" w:hAnsi="Arial"/>
          <w:b/>
        </w:rPr>
        <w:t>8</w:t>
      </w:r>
    </w:p>
    <w:p w:rsidR="000E6600" w:rsidRDefault="000E6600" w:rsidP="000E6600">
      <w:pPr>
        <w:rPr>
          <w:rFonts w:ascii="Arial" w:eastAsia="Arial" w:hAnsi="Arial"/>
          <w:b/>
        </w:rPr>
        <w:sectPr w:rsidR="000E6600">
          <w:pgSz w:w="11900" w:h="16838"/>
          <w:pgMar w:top="716" w:right="1426" w:bottom="375" w:left="1419" w:header="0" w:footer="0" w:gutter="0"/>
          <w:cols w:space="708"/>
        </w:sectPr>
      </w:pPr>
    </w:p>
    <w:p w:rsidR="000E6600" w:rsidRDefault="000E6600" w:rsidP="000E6600">
      <w:pPr>
        <w:tabs>
          <w:tab w:val="left" w:pos="7661"/>
        </w:tabs>
        <w:spacing w:line="0" w:lineRule="atLeast"/>
        <w:ind w:left="1"/>
        <w:rPr>
          <w:rFonts w:ascii="Arial" w:eastAsia="Arial" w:hAnsi="Arial"/>
          <w:sz w:val="15"/>
        </w:rPr>
      </w:pPr>
      <w:bookmarkStart w:id="0" w:name="page11"/>
      <w:bookmarkEnd w:id="0"/>
      <w:r>
        <w:rPr>
          <w:rFonts w:ascii="Arial" w:eastAsia="Arial" w:hAnsi="Arial"/>
          <w:sz w:val="16"/>
        </w:rPr>
        <w:lastRenderedPageBreak/>
        <w:t>ČÍSLO SMLOUVY OBCHODNÍKA:</w:t>
      </w:r>
      <w:r>
        <w:rPr>
          <w:sz w:val="19"/>
        </w:rPr>
        <w:t xml:space="preserve"> P001076</w:t>
      </w:r>
      <w:r>
        <w:rPr>
          <w:rFonts w:ascii="Times New Roman" w:eastAsia="Times New Roman" w:hAnsi="Times New Roman"/>
        </w:rPr>
        <w:tab/>
      </w:r>
      <w:r>
        <w:rPr>
          <w:rFonts w:ascii="Arial" w:eastAsia="Arial" w:hAnsi="Arial"/>
          <w:sz w:val="15"/>
        </w:rPr>
        <w:t>Příloha č. 2 ZD</w:t>
      </w:r>
    </w:p>
    <w:p w:rsidR="000E6600" w:rsidRDefault="000E6600" w:rsidP="000E6600">
      <w:pPr>
        <w:spacing w:line="124" w:lineRule="exact"/>
        <w:rPr>
          <w:rFonts w:ascii="Times New Roman" w:eastAsia="Times New Roman" w:hAnsi="Times New Roman"/>
        </w:rPr>
      </w:pPr>
    </w:p>
    <w:p w:rsidR="000E6600" w:rsidRDefault="000E6600" w:rsidP="000E6600">
      <w:pPr>
        <w:spacing w:line="0" w:lineRule="atLeast"/>
        <w:ind w:left="1"/>
        <w:rPr>
          <w:rFonts w:ascii="Arial" w:eastAsia="Arial" w:hAnsi="Arial"/>
          <w:sz w:val="16"/>
        </w:rPr>
      </w:pPr>
      <w:r>
        <w:rPr>
          <w:rFonts w:ascii="Arial" w:eastAsia="Arial" w:hAnsi="Arial"/>
          <w:sz w:val="16"/>
        </w:rPr>
        <w:t>ČÍSLO SMLOUVY ZÁKAZNÍKA:</w:t>
      </w:r>
    </w:p>
    <w:p w:rsidR="000E6600" w:rsidRDefault="000E6600" w:rsidP="000E6600">
      <w:pPr>
        <w:spacing w:line="200" w:lineRule="exact"/>
        <w:rPr>
          <w:rFonts w:ascii="Times New Roman" w:eastAsia="Times New Roman" w:hAnsi="Times New Roman"/>
        </w:rPr>
      </w:pPr>
    </w:p>
    <w:p w:rsidR="000E6600" w:rsidRDefault="000E6600" w:rsidP="000E6600">
      <w:pPr>
        <w:spacing w:line="211" w:lineRule="exact"/>
        <w:rPr>
          <w:rFonts w:ascii="Times New Roman" w:eastAsia="Times New Roman" w:hAnsi="Times New Roman"/>
        </w:rPr>
      </w:pPr>
    </w:p>
    <w:p w:rsidR="000E6600" w:rsidRDefault="000E6600" w:rsidP="000E6600">
      <w:pPr>
        <w:spacing w:line="0" w:lineRule="atLeast"/>
        <w:ind w:left="281"/>
        <w:rPr>
          <w:rFonts w:ascii="Arial" w:eastAsia="Arial" w:hAnsi="Arial"/>
          <w:sz w:val="16"/>
        </w:rPr>
      </w:pPr>
      <w:r>
        <w:rPr>
          <w:rFonts w:ascii="Arial" w:eastAsia="Arial" w:hAnsi="Arial"/>
          <w:sz w:val="16"/>
        </w:rPr>
        <w:t>"</w:t>
      </w:r>
      <w:r>
        <w:rPr>
          <w:rFonts w:ascii="Arial" w:eastAsia="Arial" w:hAnsi="Arial"/>
          <w:b/>
          <w:sz w:val="16"/>
        </w:rPr>
        <w:t>Předávací místo</w:t>
      </w:r>
      <w:r>
        <w:rPr>
          <w:rFonts w:ascii="Arial" w:eastAsia="Arial" w:hAnsi="Arial"/>
          <w:sz w:val="16"/>
        </w:rPr>
        <w:t>" = místo předání a převzetí dodávky plynu dohodnuté ve smlouvě o připojení mezi Zákazníkem a PDS.</w:t>
      </w:r>
    </w:p>
    <w:p w:rsidR="000E6600" w:rsidRDefault="000E6600" w:rsidP="000E6600">
      <w:pPr>
        <w:spacing w:line="127" w:lineRule="exact"/>
        <w:rPr>
          <w:rFonts w:ascii="Times New Roman" w:eastAsia="Times New Roman" w:hAnsi="Times New Roman"/>
        </w:rPr>
      </w:pPr>
    </w:p>
    <w:p w:rsidR="000E6600" w:rsidRDefault="000E6600" w:rsidP="000E6600">
      <w:pPr>
        <w:spacing w:line="232" w:lineRule="auto"/>
        <w:ind w:left="281" w:right="480"/>
        <w:rPr>
          <w:rFonts w:ascii="Arial" w:eastAsia="Arial" w:hAnsi="Arial"/>
          <w:sz w:val="16"/>
        </w:rPr>
      </w:pPr>
      <w:r>
        <w:rPr>
          <w:rFonts w:ascii="Arial" w:eastAsia="Arial" w:hAnsi="Arial"/>
          <w:sz w:val="16"/>
        </w:rPr>
        <w:t>"</w:t>
      </w:r>
      <w:r>
        <w:rPr>
          <w:rFonts w:ascii="Arial" w:eastAsia="Arial" w:hAnsi="Arial"/>
          <w:b/>
          <w:sz w:val="16"/>
        </w:rPr>
        <w:t>Stavy nouze</w:t>
      </w:r>
      <w:r>
        <w:rPr>
          <w:rFonts w:ascii="Arial" w:eastAsia="Arial" w:hAnsi="Arial"/>
          <w:sz w:val="16"/>
        </w:rPr>
        <w:t>" = omezení nebo přerušení dodávek plynu na celém území České republiky, nebo její části z důvodů a způsobem uvedeným v Energetickém zákoně a v prováděcím předpise "</w:t>
      </w:r>
      <w:r>
        <w:rPr>
          <w:rFonts w:ascii="Arial" w:eastAsia="Arial" w:hAnsi="Arial"/>
          <w:b/>
          <w:sz w:val="16"/>
        </w:rPr>
        <w:t>Vyhláška č. 344/2012 Sb.</w:t>
      </w:r>
      <w:r>
        <w:rPr>
          <w:rFonts w:ascii="Arial" w:eastAsia="Arial" w:hAnsi="Arial"/>
          <w:sz w:val="16"/>
        </w:rPr>
        <w:t>"</w:t>
      </w:r>
    </w:p>
    <w:p w:rsidR="000E6600" w:rsidRDefault="000E6600" w:rsidP="000E6600">
      <w:pPr>
        <w:spacing w:line="127" w:lineRule="exact"/>
        <w:rPr>
          <w:rFonts w:ascii="Times New Roman" w:eastAsia="Times New Roman" w:hAnsi="Times New Roman"/>
        </w:rPr>
      </w:pPr>
    </w:p>
    <w:p w:rsidR="000E6600" w:rsidRDefault="000E6600" w:rsidP="000E6600">
      <w:pPr>
        <w:spacing w:line="235" w:lineRule="auto"/>
        <w:ind w:left="281" w:right="280"/>
        <w:rPr>
          <w:rFonts w:ascii="Arial" w:eastAsia="Arial" w:hAnsi="Arial"/>
          <w:sz w:val="16"/>
        </w:rPr>
      </w:pPr>
      <w:r>
        <w:rPr>
          <w:rFonts w:ascii="Arial" w:eastAsia="Arial" w:hAnsi="Arial"/>
          <w:b/>
          <w:sz w:val="16"/>
        </w:rPr>
        <w:t>"Toleranční odchylka"</w:t>
      </w:r>
      <w:r>
        <w:rPr>
          <w:rFonts w:ascii="Arial" w:eastAsia="Arial" w:hAnsi="Arial"/>
          <w:sz w:val="16"/>
        </w:rPr>
        <w:t xml:space="preserve"> = maximální míra rozdílu mezi sjednaným množstvím plynu, které má Zákazník odebrat, a mezi skutečně odebraným množstvím, stanoveným ve Smlouvě, při jehož neodebrání nebo překročení se uplatní zvláštní ujednání uvedená ve Smlouvě,</w:t>
      </w:r>
    </w:p>
    <w:p w:rsidR="000E6600" w:rsidRDefault="000E6600" w:rsidP="000E6600">
      <w:pPr>
        <w:spacing w:line="127" w:lineRule="exact"/>
        <w:rPr>
          <w:rFonts w:ascii="Times New Roman" w:eastAsia="Times New Roman" w:hAnsi="Times New Roman"/>
        </w:rPr>
      </w:pPr>
    </w:p>
    <w:p w:rsidR="000E6600" w:rsidRDefault="000E6600" w:rsidP="000E6600">
      <w:pPr>
        <w:spacing w:line="232" w:lineRule="auto"/>
        <w:ind w:left="281" w:right="400"/>
        <w:rPr>
          <w:rFonts w:ascii="Arial" w:eastAsia="Arial" w:hAnsi="Arial"/>
          <w:sz w:val="16"/>
        </w:rPr>
      </w:pPr>
      <w:r>
        <w:rPr>
          <w:rFonts w:ascii="Arial" w:eastAsia="Arial" w:hAnsi="Arial"/>
          <w:sz w:val="16"/>
        </w:rPr>
        <w:t>"</w:t>
      </w:r>
      <w:r>
        <w:rPr>
          <w:rFonts w:ascii="Arial" w:eastAsia="Arial" w:hAnsi="Arial"/>
          <w:b/>
          <w:sz w:val="16"/>
        </w:rPr>
        <w:t>Vyhláška 545/2006</w:t>
      </w:r>
      <w:r>
        <w:rPr>
          <w:rFonts w:ascii="Arial" w:eastAsia="Arial" w:hAnsi="Arial"/>
          <w:sz w:val="16"/>
        </w:rPr>
        <w:t>" = vyhláška ERÚ č. 545/2006 Sb. o kvalitě dodávek plynu a souvisejících služeb v plynárenství, v platném znění.</w:t>
      </w:r>
    </w:p>
    <w:p w:rsidR="000E6600" w:rsidRDefault="000E6600" w:rsidP="000E6600">
      <w:pPr>
        <w:spacing w:line="122" w:lineRule="exact"/>
        <w:rPr>
          <w:rFonts w:ascii="Times New Roman" w:eastAsia="Times New Roman" w:hAnsi="Times New Roman"/>
        </w:rPr>
      </w:pPr>
    </w:p>
    <w:p w:rsidR="000E6600" w:rsidRDefault="000E6600" w:rsidP="000E6600">
      <w:pPr>
        <w:spacing w:line="0" w:lineRule="atLeast"/>
        <w:ind w:left="281"/>
        <w:rPr>
          <w:rFonts w:ascii="Arial" w:eastAsia="Arial" w:hAnsi="Arial"/>
          <w:sz w:val="16"/>
        </w:rPr>
      </w:pPr>
      <w:r>
        <w:rPr>
          <w:rFonts w:ascii="Arial" w:eastAsia="Arial" w:hAnsi="Arial"/>
          <w:sz w:val="16"/>
        </w:rPr>
        <w:t>"</w:t>
      </w:r>
      <w:r>
        <w:rPr>
          <w:rFonts w:ascii="Arial" w:eastAsia="Arial" w:hAnsi="Arial"/>
          <w:b/>
          <w:sz w:val="16"/>
        </w:rPr>
        <w:t>Vyhláška 349/2015</w:t>
      </w:r>
      <w:r>
        <w:rPr>
          <w:rFonts w:ascii="Arial" w:eastAsia="Arial" w:hAnsi="Arial"/>
          <w:sz w:val="16"/>
        </w:rPr>
        <w:t>" = vyhláška ERÚ č. 349/2015 Sb. o pravidlech trhu s plynem, v platném znění.</w:t>
      </w:r>
    </w:p>
    <w:p w:rsidR="000E6600" w:rsidRDefault="000E6600" w:rsidP="000E6600">
      <w:pPr>
        <w:spacing w:line="121" w:lineRule="exact"/>
        <w:rPr>
          <w:rFonts w:ascii="Times New Roman" w:eastAsia="Times New Roman" w:hAnsi="Times New Roman"/>
        </w:rPr>
      </w:pPr>
    </w:p>
    <w:p w:rsidR="000E6600" w:rsidRDefault="000E6600" w:rsidP="000E6600">
      <w:pPr>
        <w:spacing w:line="0" w:lineRule="atLeast"/>
        <w:ind w:left="281"/>
        <w:rPr>
          <w:rFonts w:ascii="Arial" w:eastAsia="Arial" w:hAnsi="Arial"/>
          <w:sz w:val="16"/>
        </w:rPr>
      </w:pPr>
      <w:r>
        <w:rPr>
          <w:rFonts w:ascii="Arial" w:eastAsia="Arial" w:hAnsi="Arial"/>
          <w:sz w:val="16"/>
        </w:rPr>
        <w:t>"</w:t>
      </w:r>
      <w:r>
        <w:rPr>
          <w:rFonts w:ascii="Arial" w:eastAsia="Arial" w:hAnsi="Arial"/>
          <w:b/>
          <w:sz w:val="16"/>
        </w:rPr>
        <w:t>Vyhláška 488/2021</w:t>
      </w:r>
      <w:r>
        <w:rPr>
          <w:rFonts w:ascii="Arial" w:eastAsia="Arial" w:hAnsi="Arial"/>
          <w:sz w:val="16"/>
        </w:rPr>
        <w:t>" = vyhláška ERÚ č. 488/2021 Sb. o podmínkách připojení k plynárenské soustavě, v platném znění.</w:t>
      </w:r>
    </w:p>
    <w:p w:rsidR="000E6600" w:rsidRDefault="000E6600" w:rsidP="000E6600">
      <w:pPr>
        <w:spacing w:line="126" w:lineRule="exact"/>
        <w:rPr>
          <w:rFonts w:ascii="Times New Roman" w:eastAsia="Times New Roman" w:hAnsi="Times New Roman"/>
        </w:rPr>
      </w:pPr>
    </w:p>
    <w:p w:rsidR="000E6600" w:rsidRDefault="000E6600" w:rsidP="000E6600">
      <w:pPr>
        <w:spacing w:line="232" w:lineRule="auto"/>
        <w:ind w:left="281" w:right="780"/>
        <w:rPr>
          <w:rFonts w:ascii="Arial" w:eastAsia="Arial" w:hAnsi="Arial"/>
          <w:sz w:val="16"/>
        </w:rPr>
      </w:pPr>
      <w:r>
        <w:rPr>
          <w:rFonts w:ascii="Arial" w:eastAsia="Arial" w:hAnsi="Arial"/>
          <w:b/>
          <w:sz w:val="16"/>
        </w:rPr>
        <w:t>"Vyhláška 108/2011"</w:t>
      </w:r>
      <w:r>
        <w:rPr>
          <w:rFonts w:ascii="Arial" w:eastAsia="Arial" w:hAnsi="Arial"/>
          <w:sz w:val="16"/>
        </w:rPr>
        <w:t xml:space="preserve"> = vyhláška MPO č. 108/2011 Sb. o měření plynu a o způsobu stanovení náhrady škody při neoprávněném odběru, neoprávněné dodávce, v platném znění.</w:t>
      </w:r>
    </w:p>
    <w:p w:rsidR="000E6600" w:rsidRDefault="000E6600" w:rsidP="000E6600">
      <w:pPr>
        <w:spacing w:line="127" w:lineRule="exact"/>
        <w:rPr>
          <w:rFonts w:ascii="Times New Roman" w:eastAsia="Times New Roman" w:hAnsi="Times New Roman"/>
        </w:rPr>
      </w:pPr>
    </w:p>
    <w:p w:rsidR="000E6600" w:rsidRDefault="000E6600" w:rsidP="000E6600">
      <w:pPr>
        <w:spacing w:line="232" w:lineRule="auto"/>
        <w:ind w:left="281" w:right="520"/>
        <w:rPr>
          <w:rFonts w:ascii="Arial" w:eastAsia="Arial" w:hAnsi="Arial"/>
          <w:sz w:val="16"/>
        </w:rPr>
      </w:pPr>
      <w:r>
        <w:rPr>
          <w:rFonts w:ascii="Arial" w:eastAsia="Arial" w:hAnsi="Arial"/>
          <w:b/>
          <w:sz w:val="16"/>
        </w:rPr>
        <w:t>"Vyhláška 207/2021" =</w:t>
      </w:r>
      <w:r>
        <w:rPr>
          <w:rFonts w:ascii="Arial" w:eastAsia="Arial" w:hAnsi="Arial"/>
          <w:sz w:val="16"/>
        </w:rPr>
        <w:t xml:space="preserve"> vyhláška ERÚ č. 207/2021 Sb. o vyúčtování dodávek a souvisejících služeb v energetických odvětvích</w:t>
      </w:r>
    </w:p>
    <w:p w:rsidR="000E6600" w:rsidRDefault="000E6600" w:rsidP="000E6600">
      <w:pPr>
        <w:spacing w:line="122" w:lineRule="exact"/>
        <w:rPr>
          <w:rFonts w:ascii="Times New Roman" w:eastAsia="Times New Roman" w:hAnsi="Times New Roman"/>
        </w:rPr>
      </w:pPr>
    </w:p>
    <w:p w:rsidR="000E6600" w:rsidRDefault="000E6600" w:rsidP="000E6600">
      <w:pPr>
        <w:spacing w:line="0" w:lineRule="atLeast"/>
        <w:ind w:left="281"/>
        <w:rPr>
          <w:rFonts w:ascii="Arial" w:eastAsia="Arial" w:hAnsi="Arial"/>
          <w:sz w:val="16"/>
        </w:rPr>
      </w:pPr>
      <w:r>
        <w:rPr>
          <w:rFonts w:ascii="Arial" w:eastAsia="Arial" w:hAnsi="Arial"/>
          <w:b/>
          <w:sz w:val="16"/>
        </w:rPr>
        <w:t>"Vyhodnocovací období"</w:t>
      </w:r>
      <w:r>
        <w:rPr>
          <w:rFonts w:ascii="Arial" w:eastAsia="Arial" w:hAnsi="Arial"/>
          <w:sz w:val="16"/>
        </w:rPr>
        <w:t xml:space="preserve"> = kalendářní rok, není-li ve Smlouvě stanoveno jinak.</w:t>
      </w:r>
    </w:p>
    <w:p w:rsidR="000E6600" w:rsidRDefault="000E6600" w:rsidP="000E6600">
      <w:pPr>
        <w:spacing w:line="126" w:lineRule="exact"/>
        <w:rPr>
          <w:rFonts w:ascii="Times New Roman" w:eastAsia="Times New Roman" w:hAnsi="Times New Roman"/>
        </w:rPr>
      </w:pPr>
    </w:p>
    <w:p w:rsidR="000E6600" w:rsidRDefault="000E6600" w:rsidP="000E6600">
      <w:pPr>
        <w:spacing w:line="232" w:lineRule="auto"/>
        <w:ind w:left="281" w:right="320"/>
        <w:rPr>
          <w:rFonts w:ascii="Arial" w:eastAsia="Arial" w:hAnsi="Arial"/>
          <w:sz w:val="16"/>
        </w:rPr>
      </w:pPr>
      <w:r>
        <w:rPr>
          <w:rFonts w:ascii="Arial" w:eastAsia="Arial" w:hAnsi="Arial"/>
          <w:b/>
          <w:sz w:val="16"/>
        </w:rPr>
        <w:t>"Vztažné podmínky"</w:t>
      </w:r>
      <w:r>
        <w:rPr>
          <w:rFonts w:ascii="Arial" w:eastAsia="Arial" w:hAnsi="Arial"/>
          <w:sz w:val="16"/>
        </w:rPr>
        <w:t xml:space="preserve"> = základní dodací podmínky, na které je odebrané množství plynu přepočteno podle technických předpisů.</w:t>
      </w:r>
    </w:p>
    <w:p w:rsidR="000E6600" w:rsidRDefault="000E6600" w:rsidP="000E6600">
      <w:pPr>
        <w:spacing w:line="122" w:lineRule="exact"/>
        <w:rPr>
          <w:rFonts w:ascii="Times New Roman" w:eastAsia="Times New Roman" w:hAnsi="Times New Roman"/>
        </w:rPr>
      </w:pPr>
    </w:p>
    <w:p w:rsidR="000E6600" w:rsidRDefault="000E6600" w:rsidP="000E6600">
      <w:pPr>
        <w:spacing w:line="0" w:lineRule="atLeast"/>
        <w:ind w:left="281"/>
        <w:rPr>
          <w:rFonts w:ascii="Arial" w:eastAsia="Arial" w:hAnsi="Arial"/>
          <w:sz w:val="16"/>
        </w:rPr>
      </w:pPr>
      <w:r>
        <w:rPr>
          <w:rFonts w:ascii="Arial" w:eastAsia="Arial" w:hAnsi="Arial"/>
          <w:sz w:val="16"/>
        </w:rPr>
        <w:t>"</w:t>
      </w:r>
      <w:r>
        <w:rPr>
          <w:rFonts w:ascii="Arial" w:eastAsia="Arial" w:hAnsi="Arial"/>
          <w:b/>
          <w:sz w:val="16"/>
        </w:rPr>
        <w:t>Zákon o cenách</w:t>
      </w:r>
      <w:r>
        <w:rPr>
          <w:rFonts w:ascii="Arial" w:eastAsia="Arial" w:hAnsi="Arial"/>
          <w:sz w:val="16"/>
        </w:rPr>
        <w:t>" = zákon č. 265/1991 Sb., v platném znění.</w:t>
      </w:r>
    </w:p>
    <w:p w:rsidR="000E6600" w:rsidRDefault="000E6600" w:rsidP="000E6600">
      <w:pPr>
        <w:spacing w:line="118" w:lineRule="exact"/>
        <w:rPr>
          <w:rFonts w:ascii="Times New Roman" w:eastAsia="Times New Roman" w:hAnsi="Times New Roman"/>
        </w:rPr>
      </w:pPr>
    </w:p>
    <w:p w:rsidR="000E6600" w:rsidRDefault="000E6600" w:rsidP="000E6600">
      <w:pPr>
        <w:spacing w:line="0" w:lineRule="atLeast"/>
        <w:ind w:left="281"/>
        <w:rPr>
          <w:rFonts w:ascii="Arial" w:eastAsia="Arial" w:hAnsi="Arial"/>
          <w:sz w:val="16"/>
        </w:rPr>
      </w:pPr>
      <w:r>
        <w:rPr>
          <w:rFonts w:ascii="Arial" w:eastAsia="Arial" w:hAnsi="Arial"/>
          <w:sz w:val="16"/>
        </w:rPr>
        <w:t>"</w:t>
      </w:r>
      <w:r>
        <w:rPr>
          <w:rFonts w:ascii="Arial" w:eastAsia="Arial" w:hAnsi="Arial"/>
          <w:b/>
          <w:sz w:val="16"/>
        </w:rPr>
        <w:t>Zákon o účetnictví</w:t>
      </w:r>
      <w:r>
        <w:rPr>
          <w:rFonts w:ascii="Arial" w:eastAsia="Arial" w:hAnsi="Arial"/>
          <w:sz w:val="16"/>
        </w:rPr>
        <w:t>" = zákon č. 563/1991 Sb., v platném znění</w:t>
      </w:r>
    </w:p>
    <w:p w:rsidR="000E6600" w:rsidRDefault="000E6600" w:rsidP="000E6600">
      <w:pPr>
        <w:spacing w:line="361" w:lineRule="exact"/>
        <w:rPr>
          <w:rFonts w:ascii="Times New Roman" w:eastAsia="Times New Roman" w:hAnsi="Times New Roman"/>
        </w:rPr>
      </w:pPr>
    </w:p>
    <w:p w:rsidR="000E6600" w:rsidRDefault="000E6600" w:rsidP="000E6600">
      <w:pPr>
        <w:numPr>
          <w:ilvl w:val="1"/>
          <w:numId w:val="2"/>
        </w:numPr>
        <w:tabs>
          <w:tab w:val="left" w:pos="3741"/>
        </w:tabs>
        <w:spacing w:line="0" w:lineRule="atLeast"/>
        <w:ind w:left="3741" w:hanging="189"/>
        <w:rPr>
          <w:rFonts w:ascii="Arial" w:eastAsia="Arial" w:hAnsi="Arial"/>
          <w:b/>
          <w:sz w:val="16"/>
        </w:rPr>
      </w:pPr>
      <w:r>
        <w:rPr>
          <w:rFonts w:ascii="Arial" w:eastAsia="Arial" w:hAnsi="Arial"/>
          <w:b/>
          <w:sz w:val="16"/>
        </w:rPr>
        <w:t>Povinnosti Obchodníka</w:t>
      </w:r>
    </w:p>
    <w:p w:rsidR="000E6600" w:rsidRDefault="000E6600" w:rsidP="000E6600">
      <w:pPr>
        <w:spacing w:line="126" w:lineRule="exact"/>
        <w:rPr>
          <w:rFonts w:ascii="Arial" w:eastAsia="Arial" w:hAnsi="Arial"/>
          <w:b/>
          <w:sz w:val="16"/>
        </w:rPr>
      </w:pPr>
    </w:p>
    <w:p w:rsidR="000E6600" w:rsidRDefault="000E6600" w:rsidP="000E6600">
      <w:pPr>
        <w:numPr>
          <w:ilvl w:val="0"/>
          <w:numId w:val="3"/>
        </w:numPr>
        <w:tabs>
          <w:tab w:val="left" w:pos="284"/>
        </w:tabs>
        <w:spacing w:line="237" w:lineRule="auto"/>
        <w:ind w:left="1" w:hanging="1"/>
        <w:rPr>
          <w:rFonts w:ascii="Arial" w:eastAsia="Arial" w:hAnsi="Arial"/>
          <w:b/>
          <w:sz w:val="16"/>
        </w:rPr>
      </w:pPr>
      <w:r>
        <w:rPr>
          <w:rFonts w:ascii="Arial" w:eastAsia="Arial" w:hAnsi="Arial"/>
          <w:sz w:val="16"/>
        </w:rPr>
        <w:t>Obchodník se zavazuje dodávat Zákazníkovi plyn v rozsahu a za podmínek dohodnutých ve Smlouvě a OPD do odběrných míst Zákazníka vymezených ve Smlouvě (dále jen "OM") v kvalitě podle příslušných právních předpisů. Nebylo-li množství dodávaného plynu sjednáno přímo ve Smlouvě, považuje se za sjednané množství dodávek plynu skutečně dodané a odebrané množství v OM.</w:t>
      </w:r>
    </w:p>
    <w:p w:rsidR="000E6600" w:rsidRDefault="000E6600" w:rsidP="000E6600">
      <w:pPr>
        <w:spacing w:line="66" w:lineRule="exact"/>
        <w:rPr>
          <w:rFonts w:ascii="Arial" w:eastAsia="Arial" w:hAnsi="Arial"/>
          <w:b/>
          <w:sz w:val="16"/>
        </w:rPr>
      </w:pPr>
    </w:p>
    <w:p w:rsidR="000E6600" w:rsidRDefault="000E6600" w:rsidP="000E6600">
      <w:pPr>
        <w:numPr>
          <w:ilvl w:val="0"/>
          <w:numId w:val="3"/>
        </w:numPr>
        <w:tabs>
          <w:tab w:val="left" w:pos="284"/>
        </w:tabs>
        <w:spacing w:line="237" w:lineRule="auto"/>
        <w:ind w:left="1" w:right="220" w:hanging="1"/>
        <w:rPr>
          <w:rFonts w:ascii="Arial" w:eastAsia="Arial" w:hAnsi="Arial"/>
          <w:b/>
          <w:sz w:val="16"/>
        </w:rPr>
      </w:pPr>
      <w:r>
        <w:rPr>
          <w:rFonts w:ascii="Arial" w:eastAsia="Arial" w:hAnsi="Arial"/>
          <w:sz w:val="16"/>
        </w:rPr>
        <w:t>K zajištění dodávky plynu Zákazníkovi uzavírá Obchodník s příslušným provozovatelem distribuční soustavy (dále jen „PDS“) smlouvu o zajištění služby distribuční soustavy, a to za podmínek stanovených PDS a v rozsahu a kvalitě uvedené ve Smlouvě a OPD. Zákazník uděluje Obchodníkovi souhlas s uzavřením smlouvy o zajištění služby distribuční soustavy a zavazuje se poskytnout Obchodníkovi při jednání s příslušným PDS potřebnou součinnost. Zákazník se zavazuje řídit podmínkami distribuce příslušného PDS.</w:t>
      </w:r>
    </w:p>
    <w:p w:rsidR="000E6600" w:rsidRDefault="000E6600" w:rsidP="000E6600">
      <w:pPr>
        <w:spacing w:line="66" w:lineRule="exact"/>
        <w:rPr>
          <w:rFonts w:ascii="Arial" w:eastAsia="Arial" w:hAnsi="Arial"/>
          <w:b/>
          <w:sz w:val="16"/>
        </w:rPr>
      </w:pPr>
    </w:p>
    <w:p w:rsidR="000E6600" w:rsidRDefault="000E6600" w:rsidP="000E6600">
      <w:pPr>
        <w:numPr>
          <w:ilvl w:val="0"/>
          <w:numId w:val="3"/>
        </w:numPr>
        <w:tabs>
          <w:tab w:val="left" w:pos="284"/>
        </w:tabs>
        <w:spacing w:line="237" w:lineRule="auto"/>
        <w:ind w:left="1" w:right="140" w:hanging="1"/>
        <w:rPr>
          <w:rFonts w:ascii="Arial" w:eastAsia="Arial" w:hAnsi="Arial"/>
          <w:b/>
          <w:sz w:val="16"/>
        </w:rPr>
      </w:pPr>
      <w:r>
        <w:rPr>
          <w:rFonts w:ascii="Arial" w:eastAsia="Arial" w:hAnsi="Arial"/>
          <w:sz w:val="16"/>
        </w:rPr>
        <w:t>Dodávka plynu dle Smlouvy je splněna přechodem plynu z distribuční soustavy příslušného PDS v předávacích místech. Předávací místa jsou ve smyslu příslušného právního předpisu místy předání a převzetí plynu mezi Obchodníkem a Zákazníkem, ve kterých dochází k přechodu veškerých vlastnických práv k dodanému plynu prostých jakýchkoli nároků třetích osob a k přechodu nebezpečí škody.</w:t>
      </w:r>
    </w:p>
    <w:p w:rsidR="000E6600" w:rsidRDefault="000E6600" w:rsidP="000E6600">
      <w:pPr>
        <w:spacing w:line="67" w:lineRule="exact"/>
        <w:rPr>
          <w:rFonts w:ascii="Arial" w:eastAsia="Arial" w:hAnsi="Arial"/>
          <w:b/>
          <w:sz w:val="16"/>
        </w:rPr>
      </w:pPr>
    </w:p>
    <w:p w:rsidR="000E6600" w:rsidRDefault="000E6600" w:rsidP="000E6600">
      <w:pPr>
        <w:numPr>
          <w:ilvl w:val="0"/>
          <w:numId w:val="3"/>
        </w:numPr>
        <w:tabs>
          <w:tab w:val="left" w:pos="284"/>
        </w:tabs>
        <w:spacing w:line="235" w:lineRule="auto"/>
        <w:ind w:left="1" w:right="520" w:hanging="1"/>
        <w:rPr>
          <w:rFonts w:ascii="Arial" w:eastAsia="Arial" w:hAnsi="Arial"/>
          <w:b/>
          <w:sz w:val="16"/>
        </w:rPr>
      </w:pPr>
      <w:r>
        <w:rPr>
          <w:rFonts w:ascii="Arial" w:eastAsia="Arial" w:hAnsi="Arial"/>
          <w:sz w:val="16"/>
        </w:rPr>
        <w:t>Obchodník se zavazuje převzít závazek Zákazníka odebrat plyn z distribuční soustavy a nést plnou odpovědnost za odchylku Zákazníka, pokud se tato odchylka vztahuje k OM, to vše za podmínky, že Zákazník nebude mít po dobu trvání smluvního vztahu upraveného Smlouvou více obchodních partnerů pro dodávky plynu do OM.</w:t>
      </w:r>
    </w:p>
    <w:p w:rsidR="000E6600" w:rsidRDefault="000E6600" w:rsidP="000E6600">
      <w:pPr>
        <w:spacing w:line="66" w:lineRule="exact"/>
        <w:rPr>
          <w:rFonts w:ascii="Arial" w:eastAsia="Arial" w:hAnsi="Arial"/>
          <w:b/>
          <w:sz w:val="16"/>
        </w:rPr>
      </w:pPr>
    </w:p>
    <w:p w:rsidR="000E6600" w:rsidRDefault="000E6600" w:rsidP="000E6600">
      <w:pPr>
        <w:numPr>
          <w:ilvl w:val="0"/>
          <w:numId w:val="3"/>
        </w:numPr>
        <w:tabs>
          <w:tab w:val="left" w:pos="284"/>
        </w:tabs>
        <w:spacing w:line="235" w:lineRule="auto"/>
        <w:ind w:left="1" w:right="240" w:hanging="1"/>
        <w:rPr>
          <w:rFonts w:ascii="Arial" w:eastAsia="Arial" w:hAnsi="Arial"/>
          <w:b/>
          <w:sz w:val="16"/>
        </w:rPr>
      </w:pPr>
      <w:r>
        <w:rPr>
          <w:rFonts w:ascii="Arial" w:eastAsia="Arial" w:hAnsi="Arial"/>
          <w:sz w:val="16"/>
        </w:rPr>
        <w:t>Obchodník započne s dodávkou plynu na základě smlouvy o zajištění služby distribuční soustavy uzavřené s příslušným PDS nejpozději ve lhůtě stanovené v souladu s právními předpisy, pokud Zákazník splnil všechny podmínky pro zahájení dodávky plynu podle příslušných právních předpisů a podle Smlouvy. Smluvní strany se také mohou dohodnout na jiné době započetí dodávky plynu pro jednotlivá OM.</w:t>
      </w:r>
    </w:p>
    <w:p w:rsidR="000E6600" w:rsidRDefault="000E6600" w:rsidP="000E6600">
      <w:pPr>
        <w:spacing w:line="70" w:lineRule="exact"/>
        <w:rPr>
          <w:rFonts w:ascii="Arial" w:eastAsia="Arial" w:hAnsi="Arial"/>
          <w:b/>
          <w:sz w:val="16"/>
        </w:rPr>
      </w:pPr>
    </w:p>
    <w:p w:rsidR="000E6600" w:rsidRDefault="000E6600" w:rsidP="000E6600">
      <w:pPr>
        <w:numPr>
          <w:ilvl w:val="0"/>
          <w:numId w:val="3"/>
        </w:numPr>
        <w:tabs>
          <w:tab w:val="left" w:pos="284"/>
        </w:tabs>
        <w:spacing w:line="256" w:lineRule="auto"/>
        <w:ind w:left="1" w:hanging="1"/>
        <w:rPr>
          <w:rFonts w:ascii="Arial" w:eastAsia="Arial" w:hAnsi="Arial"/>
          <w:b/>
          <w:sz w:val="15"/>
        </w:rPr>
      </w:pPr>
      <w:r>
        <w:rPr>
          <w:rFonts w:ascii="Arial" w:eastAsia="Arial" w:hAnsi="Arial"/>
          <w:sz w:val="15"/>
        </w:rPr>
        <w:t>Pokud Obchodník nezahájí plnění dodávky ve sjednaném termínu nebo v průběhu plnění smluvního vztahu ukončí plnění dodávek z důvodů překážek na straně Obchodníka, je povinen zaplatit Zákazníkovi smluvní pokutu ve výši součinu nedodaného množství plynu a jednotkové ceny stanovené jako rozdíl mezi maximální cenou náhradní dodávky stanovenou "dodavatelem poslední instance" a cenou za plyn stanovenou ve Smlouvě. Úhradou této smluvní pokuty není dotčeno právo Zákazníka na náhradu škody. Zákazník může v takovém případě odstoupit od Smlouvy postupem dle čl. VIII. odst. 4. těchto OPD.</w:t>
      </w:r>
    </w:p>
    <w:p w:rsidR="000E6600" w:rsidRDefault="000E6600" w:rsidP="000E6600">
      <w:pPr>
        <w:spacing w:line="55" w:lineRule="exact"/>
        <w:rPr>
          <w:rFonts w:ascii="Arial" w:eastAsia="Arial" w:hAnsi="Arial"/>
          <w:b/>
          <w:sz w:val="15"/>
        </w:rPr>
      </w:pPr>
    </w:p>
    <w:p w:rsidR="000E6600" w:rsidRDefault="000E6600" w:rsidP="000E6600">
      <w:pPr>
        <w:numPr>
          <w:ilvl w:val="0"/>
          <w:numId w:val="3"/>
        </w:numPr>
        <w:tabs>
          <w:tab w:val="left" w:pos="284"/>
        </w:tabs>
        <w:spacing w:line="235" w:lineRule="auto"/>
        <w:ind w:left="1" w:right="200" w:hanging="1"/>
        <w:rPr>
          <w:rFonts w:ascii="Arial" w:eastAsia="Arial" w:hAnsi="Arial"/>
          <w:b/>
          <w:sz w:val="16"/>
        </w:rPr>
      </w:pPr>
      <w:r>
        <w:rPr>
          <w:rFonts w:ascii="Arial" w:eastAsia="Arial" w:hAnsi="Arial"/>
          <w:sz w:val="16"/>
        </w:rPr>
        <w:t>Není-li možné zahájit dodávku z důvodů překážek na straně Zákazníka, jiného dodavatele plynu nebo PDS, nejedná se o porušení povinnosti Obchodníka a Obchodník je oprávněn od Smlouvy odstoupit dle podmínek uvedených v čl. VIII. odst. 3. OPD.</w:t>
      </w:r>
    </w:p>
    <w:p w:rsidR="000E6600" w:rsidRDefault="000E6600" w:rsidP="000E6600">
      <w:pPr>
        <w:spacing w:line="66" w:lineRule="exact"/>
        <w:rPr>
          <w:rFonts w:ascii="Arial" w:eastAsia="Arial" w:hAnsi="Arial"/>
          <w:b/>
          <w:sz w:val="16"/>
        </w:rPr>
      </w:pPr>
    </w:p>
    <w:p w:rsidR="000E6600" w:rsidRDefault="000E6600" w:rsidP="000E6600">
      <w:pPr>
        <w:numPr>
          <w:ilvl w:val="0"/>
          <w:numId w:val="3"/>
        </w:numPr>
        <w:tabs>
          <w:tab w:val="left" w:pos="284"/>
        </w:tabs>
        <w:spacing w:line="235" w:lineRule="auto"/>
        <w:ind w:left="1" w:hanging="1"/>
        <w:rPr>
          <w:rFonts w:ascii="Arial" w:eastAsia="Arial" w:hAnsi="Arial"/>
          <w:b/>
          <w:sz w:val="16"/>
        </w:rPr>
      </w:pPr>
      <w:r>
        <w:rPr>
          <w:rFonts w:ascii="Arial" w:eastAsia="Arial" w:hAnsi="Arial"/>
          <w:sz w:val="16"/>
        </w:rPr>
        <w:t>Nedojde-li k zahájení dodávky z důvodu neprovedení registrace změny dodavatele v systému operátora trhu OTE pro překážky na straně Zákazníka a Obchodník od smlouvy neodstoupí, je Obchodník oprávněn v nejbližším možném termínu učinit potřebné úkony pro ukončení smluvních vztahů s předchozím dodavatelem Zákazníka a provedení registrace změny dodavatele v systému operátora trhu OTE. V případě nečinnosti Obchodníka je Zákazník oprávněn od Smlouvy odstoupit.</w:t>
      </w:r>
    </w:p>
    <w:p w:rsidR="000E6600" w:rsidRDefault="000E6600" w:rsidP="000E6600">
      <w:pPr>
        <w:spacing w:line="70" w:lineRule="exact"/>
        <w:rPr>
          <w:rFonts w:ascii="Arial" w:eastAsia="Arial" w:hAnsi="Arial"/>
          <w:b/>
          <w:sz w:val="16"/>
        </w:rPr>
      </w:pPr>
    </w:p>
    <w:p w:rsidR="000E6600" w:rsidRDefault="000E6600" w:rsidP="000E6600">
      <w:pPr>
        <w:numPr>
          <w:ilvl w:val="0"/>
          <w:numId w:val="3"/>
        </w:numPr>
        <w:tabs>
          <w:tab w:val="left" w:pos="284"/>
        </w:tabs>
        <w:spacing w:line="237" w:lineRule="auto"/>
        <w:ind w:left="1" w:hanging="1"/>
        <w:rPr>
          <w:rFonts w:ascii="Arial" w:eastAsia="Arial" w:hAnsi="Arial"/>
          <w:b/>
          <w:sz w:val="16"/>
        </w:rPr>
      </w:pPr>
      <w:r>
        <w:rPr>
          <w:rFonts w:ascii="Arial" w:eastAsia="Arial" w:hAnsi="Arial"/>
          <w:sz w:val="16"/>
        </w:rPr>
        <w:t>Obchodník neposkytuje distribuci plynu, pouze jako obchodník s plynem zajišťuje uzavření smlouvy o zajištění služby distribuční soustavy pro OM Zákazníka s příslušným PDS. Obchodník tudíž není odpovědný za úroveň distribuce poskytovanou příslušným PDS, včetně škod z této činnosti vzniklých, pokud byla řádně uzavřena smlouva o zajištění služby distribuční soustavy s příslušným PDS. Standardy distribuce plynu jsou stanoveny ve vyhlášce č. 545/2006 Sb. Pokud standardy distribuce plynu stanovené touto vyhláškou nejsou dodrženy, je Zákazník oprávněn po příslušném PDS požadovat náhradu postupem a ve výši stanovené vyhláškou č. 545/2006 Sb. Požadavek na dodržení standardu distribuce a náhradu za jeho nedodržení je Zákazník oprávněn uplatnit u Obchodníka a ten poskytne Zákazníkovi potřebnou součinnost při vymáhání plnění po příslušném</w:t>
      </w:r>
    </w:p>
    <w:p w:rsidR="000E6600" w:rsidRDefault="000E6600" w:rsidP="000E6600">
      <w:pPr>
        <w:spacing w:line="3" w:lineRule="exact"/>
        <w:rPr>
          <w:rFonts w:ascii="Arial" w:eastAsia="Arial" w:hAnsi="Arial"/>
          <w:b/>
          <w:sz w:val="16"/>
        </w:rPr>
      </w:pPr>
    </w:p>
    <w:p w:rsidR="000E6600" w:rsidRDefault="000E6600" w:rsidP="000E6600">
      <w:pPr>
        <w:spacing w:line="0" w:lineRule="atLeast"/>
        <w:ind w:left="1"/>
        <w:rPr>
          <w:rFonts w:ascii="Arial" w:eastAsia="Arial" w:hAnsi="Arial"/>
          <w:sz w:val="16"/>
        </w:rPr>
      </w:pPr>
      <w:r>
        <w:rPr>
          <w:rFonts w:ascii="Arial" w:eastAsia="Arial" w:hAnsi="Arial"/>
          <w:sz w:val="16"/>
        </w:rPr>
        <w:t>PDS.</w:t>
      </w:r>
    </w:p>
    <w:p w:rsidR="000E6600" w:rsidRDefault="000E6600" w:rsidP="000E6600">
      <w:pPr>
        <w:spacing w:line="66" w:lineRule="exact"/>
        <w:rPr>
          <w:rFonts w:ascii="Arial" w:eastAsia="Arial" w:hAnsi="Arial"/>
          <w:b/>
          <w:sz w:val="16"/>
        </w:rPr>
      </w:pPr>
    </w:p>
    <w:p w:rsidR="000E6600" w:rsidRDefault="000E6600" w:rsidP="000E6600">
      <w:pPr>
        <w:numPr>
          <w:ilvl w:val="0"/>
          <w:numId w:val="3"/>
        </w:numPr>
        <w:tabs>
          <w:tab w:val="left" w:pos="284"/>
        </w:tabs>
        <w:spacing w:line="261" w:lineRule="auto"/>
        <w:ind w:left="1" w:right="100" w:hanging="1"/>
        <w:rPr>
          <w:rFonts w:ascii="Arial" w:eastAsia="Arial" w:hAnsi="Arial"/>
          <w:b/>
          <w:sz w:val="15"/>
        </w:rPr>
      </w:pPr>
      <w:r>
        <w:rPr>
          <w:rFonts w:ascii="Arial" w:eastAsia="Arial" w:hAnsi="Arial"/>
          <w:sz w:val="15"/>
        </w:rPr>
        <w:t>Obchodník určí pro zajištění plynulého smluvního vztahu „</w:t>
      </w:r>
      <w:r>
        <w:rPr>
          <w:rFonts w:ascii="Arial" w:eastAsia="Arial" w:hAnsi="Arial"/>
          <w:b/>
          <w:sz w:val="15"/>
        </w:rPr>
        <w:t>Obchodního manažera</w:t>
      </w:r>
      <w:r>
        <w:rPr>
          <w:rFonts w:ascii="Arial" w:eastAsia="Arial" w:hAnsi="Arial"/>
          <w:sz w:val="15"/>
        </w:rPr>
        <w:t>“ jako stálou kontaktní osobu vybavenou příslušnými pravomocemi, která vstupuje do vzájemného obchodního vztahu jako spolehlivý komunikační partner a poradce</w:t>
      </w:r>
    </w:p>
    <w:p w:rsidR="000E6600" w:rsidRDefault="000E6600" w:rsidP="000E6600">
      <w:pPr>
        <w:spacing w:line="238" w:lineRule="exact"/>
        <w:rPr>
          <w:rFonts w:ascii="Times New Roman" w:eastAsia="Times New Roman" w:hAnsi="Times New Roman"/>
        </w:rPr>
      </w:pPr>
    </w:p>
    <w:p w:rsidR="000E6600" w:rsidRDefault="000E6600" w:rsidP="000E6600">
      <w:pPr>
        <w:spacing w:line="0" w:lineRule="atLeast"/>
        <w:jc w:val="center"/>
        <w:rPr>
          <w:rFonts w:ascii="Arial" w:eastAsia="Arial" w:hAnsi="Arial"/>
          <w:b/>
        </w:rPr>
      </w:pPr>
      <w:r>
        <w:rPr>
          <w:rFonts w:ascii="Arial" w:eastAsia="Arial" w:hAnsi="Arial"/>
        </w:rPr>
        <w:t xml:space="preserve">Stránka </w:t>
      </w:r>
      <w:r>
        <w:rPr>
          <w:rFonts w:ascii="Arial" w:eastAsia="Arial" w:hAnsi="Arial"/>
          <w:b/>
        </w:rPr>
        <w:t>2</w:t>
      </w:r>
      <w:r>
        <w:rPr>
          <w:rFonts w:ascii="Arial" w:eastAsia="Arial" w:hAnsi="Arial"/>
        </w:rPr>
        <w:t xml:space="preserve"> z </w:t>
      </w:r>
      <w:r>
        <w:rPr>
          <w:rFonts w:ascii="Arial" w:eastAsia="Arial" w:hAnsi="Arial"/>
          <w:b/>
        </w:rPr>
        <w:t>8</w:t>
      </w:r>
    </w:p>
    <w:p w:rsidR="000E6600" w:rsidRDefault="000E6600" w:rsidP="000E6600">
      <w:pPr>
        <w:rPr>
          <w:rFonts w:ascii="Arial" w:eastAsia="Arial" w:hAnsi="Arial"/>
          <w:b/>
        </w:rPr>
        <w:sectPr w:rsidR="000E6600">
          <w:pgSz w:w="11900" w:h="16838"/>
          <w:pgMar w:top="716" w:right="1426" w:bottom="375" w:left="1419" w:header="0" w:footer="0" w:gutter="0"/>
          <w:cols w:space="708"/>
        </w:sectPr>
      </w:pPr>
    </w:p>
    <w:p w:rsidR="000E6600" w:rsidRDefault="000E6600" w:rsidP="000E6600">
      <w:pPr>
        <w:tabs>
          <w:tab w:val="left" w:pos="7661"/>
        </w:tabs>
        <w:spacing w:line="0" w:lineRule="atLeast"/>
        <w:ind w:left="1"/>
        <w:rPr>
          <w:rFonts w:ascii="Arial" w:eastAsia="Arial" w:hAnsi="Arial"/>
          <w:sz w:val="15"/>
        </w:rPr>
      </w:pPr>
      <w:bookmarkStart w:id="1" w:name="page12"/>
      <w:bookmarkEnd w:id="1"/>
      <w:r>
        <w:rPr>
          <w:rFonts w:ascii="Arial" w:eastAsia="Arial" w:hAnsi="Arial"/>
          <w:sz w:val="16"/>
        </w:rPr>
        <w:lastRenderedPageBreak/>
        <w:t>ČÍSLO SMLOUVY OBCHODNÍKA:</w:t>
      </w:r>
      <w:r>
        <w:rPr>
          <w:sz w:val="19"/>
        </w:rPr>
        <w:t xml:space="preserve"> P001076</w:t>
      </w:r>
      <w:r>
        <w:rPr>
          <w:rFonts w:ascii="Times New Roman" w:eastAsia="Times New Roman" w:hAnsi="Times New Roman"/>
        </w:rPr>
        <w:tab/>
      </w:r>
      <w:r>
        <w:rPr>
          <w:rFonts w:ascii="Arial" w:eastAsia="Arial" w:hAnsi="Arial"/>
          <w:sz w:val="15"/>
        </w:rPr>
        <w:t>Příloha č. 2 ZD</w:t>
      </w:r>
    </w:p>
    <w:p w:rsidR="000E6600" w:rsidRDefault="000E6600" w:rsidP="000E6600">
      <w:pPr>
        <w:spacing w:line="124" w:lineRule="exact"/>
        <w:rPr>
          <w:rFonts w:ascii="Times New Roman" w:eastAsia="Times New Roman" w:hAnsi="Times New Roman"/>
        </w:rPr>
      </w:pPr>
    </w:p>
    <w:p w:rsidR="000E6600" w:rsidRDefault="000E6600" w:rsidP="000E6600">
      <w:pPr>
        <w:spacing w:line="0" w:lineRule="atLeast"/>
        <w:ind w:left="1"/>
        <w:rPr>
          <w:rFonts w:ascii="Arial" w:eastAsia="Arial" w:hAnsi="Arial"/>
          <w:sz w:val="16"/>
        </w:rPr>
      </w:pPr>
      <w:r>
        <w:rPr>
          <w:rFonts w:ascii="Arial" w:eastAsia="Arial" w:hAnsi="Arial"/>
          <w:sz w:val="16"/>
        </w:rPr>
        <w:t>ČÍSLO SMLOUVY ZÁKAZNÍKA:</w:t>
      </w:r>
    </w:p>
    <w:p w:rsidR="000E6600" w:rsidRDefault="000E6600" w:rsidP="000E6600">
      <w:pPr>
        <w:spacing w:line="200" w:lineRule="exact"/>
        <w:rPr>
          <w:rFonts w:ascii="Times New Roman" w:eastAsia="Times New Roman" w:hAnsi="Times New Roman"/>
        </w:rPr>
      </w:pPr>
    </w:p>
    <w:p w:rsidR="000E6600" w:rsidRDefault="000E6600" w:rsidP="000E6600">
      <w:pPr>
        <w:spacing w:line="209" w:lineRule="exact"/>
        <w:rPr>
          <w:rFonts w:ascii="Times New Roman" w:eastAsia="Times New Roman" w:hAnsi="Times New Roman"/>
        </w:rPr>
      </w:pPr>
    </w:p>
    <w:p w:rsidR="000E6600" w:rsidRDefault="000E6600" w:rsidP="000E6600">
      <w:pPr>
        <w:spacing w:line="0" w:lineRule="atLeast"/>
        <w:ind w:left="1"/>
        <w:rPr>
          <w:rFonts w:ascii="Arial" w:eastAsia="Arial" w:hAnsi="Arial"/>
          <w:sz w:val="16"/>
        </w:rPr>
      </w:pPr>
      <w:r>
        <w:rPr>
          <w:rFonts w:ascii="Arial" w:eastAsia="Arial" w:hAnsi="Arial"/>
          <w:sz w:val="16"/>
        </w:rPr>
        <w:t>v řešení otázek spojených s dodávkou a užitím zemního plynu. Zákazníkovi bude přidělen jeden konkrétní pracovník, který</w:t>
      </w:r>
    </w:p>
    <w:p w:rsidR="000E6600" w:rsidRDefault="000E6600" w:rsidP="000E6600">
      <w:pPr>
        <w:spacing w:line="1" w:lineRule="exact"/>
        <w:rPr>
          <w:rFonts w:ascii="Times New Roman" w:eastAsia="Times New Roman" w:hAnsi="Times New Roman"/>
        </w:rPr>
      </w:pPr>
    </w:p>
    <w:p w:rsidR="000E6600" w:rsidRDefault="000E6600" w:rsidP="000E6600">
      <w:pPr>
        <w:spacing w:line="0" w:lineRule="atLeast"/>
        <w:ind w:left="1"/>
        <w:rPr>
          <w:rFonts w:ascii="Arial" w:eastAsia="Arial" w:hAnsi="Arial"/>
          <w:sz w:val="16"/>
        </w:rPr>
      </w:pPr>
      <w:r>
        <w:rPr>
          <w:rFonts w:ascii="Arial" w:eastAsia="Arial" w:hAnsi="Arial"/>
          <w:sz w:val="16"/>
        </w:rPr>
        <w:t>s ním bude v kontaktu, a díky němuž bude možné pružně reagovat na potřeby a požadavky, případně řešit vzniklé problémy.</w:t>
      </w:r>
    </w:p>
    <w:p w:rsidR="000E6600" w:rsidRDefault="000E6600" w:rsidP="000E6600">
      <w:pPr>
        <w:spacing w:line="1" w:lineRule="exact"/>
        <w:rPr>
          <w:rFonts w:ascii="Times New Roman" w:eastAsia="Times New Roman" w:hAnsi="Times New Roman"/>
        </w:rPr>
      </w:pPr>
    </w:p>
    <w:p w:rsidR="000E6600" w:rsidRDefault="000E6600" w:rsidP="000E6600">
      <w:pPr>
        <w:spacing w:line="0" w:lineRule="atLeast"/>
        <w:ind w:left="1"/>
        <w:rPr>
          <w:rFonts w:ascii="Arial" w:eastAsia="Arial" w:hAnsi="Arial"/>
          <w:sz w:val="16"/>
        </w:rPr>
      </w:pPr>
      <w:r>
        <w:rPr>
          <w:rFonts w:ascii="Arial" w:eastAsia="Arial" w:hAnsi="Arial"/>
          <w:sz w:val="16"/>
        </w:rPr>
        <w:t>Obchodník bude řešit i vztah k PDS.</w:t>
      </w:r>
    </w:p>
    <w:p w:rsidR="000E6600" w:rsidRDefault="000E6600" w:rsidP="000E6600">
      <w:pPr>
        <w:spacing w:line="66" w:lineRule="exact"/>
        <w:rPr>
          <w:rFonts w:ascii="Times New Roman" w:eastAsia="Times New Roman" w:hAnsi="Times New Roman"/>
        </w:rPr>
      </w:pPr>
    </w:p>
    <w:p w:rsidR="000E6600" w:rsidRDefault="000E6600" w:rsidP="000E6600">
      <w:pPr>
        <w:numPr>
          <w:ilvl w:val="0"/>
          <w:numId w:val="4"/>
        </w:numPr>
        <w:tabs>
          <w:tab w:val="left" w:pos="284"/>
        </w:tabs>
        <w:spacing w:line="232" w:lineRule="auto"/>
        <w:ind w:left="1" w:right="20" w:hanging="1"/>
        <w:rPr>
          <w:rFonts w:ascii="Arial" w:eastAsia="Arial" w:hAnsi="Arial"/>
          <w:b/>
          <w:sz w:val="16"/>
        </w:rPr>
      </w:pPr>
      <w:r>
        <w:rPr>
          <w:rFonts w:ascii="Arial" w:eastAsia="Arial" w:hAnsi="Arial"/>
          <w:sz w:val="16"/>
        </w:rPr>
        <w:t xml:space="preserve">Obchodník zajistí pro Zákazníka (mimo </w:t>
      </w:r>
      <w:r>
        <w:rPr>
          <w:rFonts w:ascii="Arial" w:eastAsia="Arial" w:hAnsi="Arial"/>
          <w:b/>
          <w:sz w:val="16"/>
        </w:rPr>
        <w:t>SMO</w:t>
      </w:r>
      <w:r>
        <w:rPr>
          <w:rFonts w:ascii="Arial" w:eastAsia="Arial" w:hAnsi="Arial"/>
          <w:sz w:val="16"/>
        </w:rPr>
        <w:t>, kdy podmínky pro zabezpečený zákaznický portál jsou řešeny v č. 12.) služby zabezpečeného zákaznického portálu minimálně v následujícím rozsahu a podmínek:</w:t>
      </w:r>
    </w:p>
    <w:p w:rsidR="000E6600" w:rsidRDefault="000E6600" w:rsidP="000E6600">
      <w:pPr>
        <w:spacing w:line="78" w:lineRule="exact"/>
        <w:rPr>
          <w:rFonts w:ascii="Arial" w:eastAsia="Arial" w:hAnsi="Arial"/>
          <w:b/>
          <w:sz w:val="16"/>
        </w:rPr>
      </w:pPr>
    </w:p>
    <w:p w:rsidR="000E6600" w:rsidRDefault="000E6600" w:rsidP="000E6600">
      <w:pPr>
        <w:numPr>
          <w:ilvl w:val="1"/>
          <w:numId w:val="4"/>
        </w:numPr>
        <w:tabs>
          <w:tab w:val="left" w:pos="561"/>
        </w:tabs>
        <w:spacing w:line="237" w:lineRule="auto"/>
        <w:ind w:left="561" w:right="20" w:hanging="278"/>
        <w:rPr>
          <w:rFonts w:ascii="Arial" w:eastAsia="Arial" w:hAnsi="Arial"/>
          <w:b/>
          <w:sz w:val="16"/>
        </w:rPr>
      </w:pPr>
      <w:r>
        <w:rPr>
          <w:rFonts w:ascii="Arial" w:eastAsia="Arial" w:hAnsi="Arial"/>
          <w:sz w:val="16"/>
        </w:rPr>
        <w:t>Zákaznický portál je zabezpečená internetová aplikace dostupná na internetových stránkách Obchodníka, která je komunikační platformou mezi Obchodníkem a Zákazníkem, na jejímž základě jsou prostřednictvím aktuálně dostupných funkcí Zákazníkovi zpřístupňovány určité informace týkající se plnění souvisejícího se Smlouvou, a prostřednictvím které je Zákazník oprávněn určitým způsobem disponovat a měnit závazkový vztah ze Smlouvy. Užití Zákaznického portálu není zpoplatněno.</w:t>
      </w:r>
    </w:p>
    <w:p w:rsidR="000E6600" w:rsidRDefault="000E6600" w:rsidP="000E6600">
      <w:pPr>
        <w:spacing w:line="138" w:lineRule="exact"/>
        <w:rPr>
          <w:rFonts w:ascii="Arial" w:eastAsia="Arial" w:hAnsi="Arial"/>
          <w:b/>
          <w:sz w:val="16"/>
        </w:rPr>
      </w:pPr>
    </w:p>
    <w:p w:rsidR="000E6600" w:rsidRDefault="000E6600" w:rsidP="000E6600">
      <w:pPr>
        <w:numPr>
          <w:ilvl w:val="1"/>
          <w:numId w:val="4"/>
        </w:numPr>
        <w:tabs>
          <w:tab w:val="left" w:pos="561"/>
        </w:tabs>
        <w:spacing w:line="235" w:lineRule="auto"/>
        <w:ind w:left="561" w:right="40" w:hanging="278"/>
        <w:rPr>
          <w:rFonts w:ascii="Arial" w:eastAsia="Arial" w:hAnsi="Arial"/>
          <w:b/>
          <w:sz w:val="16"/>
        </w:rPr>
      </w:pPr>
      <w:r>
        <w:rPr>
          <w:rFonts w:ascii="Arial" w:eastAsia="Arial" w:hAnsi="Arial"/>
          <w:sz w:val="16"/>
        </w:rPr>
        <w:t xml:space="preserve">Požádá-li Zákazník Obchodníka o zřízení Zákazníkova účtu (dále jen „Účet“) na Zákaznickém portálu, Obchodník předá Zákazníkovi nejpozději do 20 kalendářních dní buď osobně, nebo způsobem dohodnutým ve Smlouvě přihlašovací kódy k účtu a případně též jiné údaje, na </w:t>
      </w:r>
      <w:proofErr w:type="gramStart"/>
      <w:r>
        <w:rPr>
          <w:rFonts w:ascii="Arial" w:eastAsia="Arial" w:hAnsi="Arial"/>
          <w:sz w:val="16"/>
        </w:rPr>
        <w:t>základě</w:t>
      </w:r>
      <w:proofErr w:type="gramEnd"/>
      <w:r>
        <w:rPr>
          <w:rFonts w:ascii="Arial" w:eastAsia="Arial" w:hAnsi="Arial"/>
          <w:sz w:val="16"/>
        </w:rPr>
        <w:t xml:space="preserve"> kterých bude Zákazník moci aktivovat na internetových stránkách Obchodníka svůj účet.</w:t>
      </w:r>
    </w:p>
    <w:p w:rsidR="000E6600" w:rsidRDefault="000E6600" w:rsidP="000E6600">
      <w:pPr>
        <w:spacing w:line="131" w:lineRule="exact"/>
        <w:rPr>
          <w:rFonts w:ascii="Arial" w:eastAsia="Arial" w:hAnsi="Arial"/>
          <w:b/>
          <w:sz w:val="16"/>
        </w:rPr>
      </w:pPr>
    </w:p>
    <w:p w:rsidR="000E6600" w:rsidRDefault="000E6600" w:rsidP="000E6600">
      <w:pPr>
        <w:numPr>
          <w:ilvl w:val="1"/>
          <w:numId w:val="4"/>
        </w:numPr>
        <w:tabs>
          <w:tab w:val="left" w:pos="561"/>
        </w:tabs>
        <w:spacing w:line="0" w:lineRule="atLeast"/>
        <w:ind w:left="561" w:hanging="278"/>
        <w:rPr>
          <w:rFonts w:ascii="Arial" w:eastAsia="Arial" w:hAnsi="Arial"/>
          <w:b/>
          <w:sz w:val="16"/>
        </w:rPr>
      </w:pPr>
      <w:r>
        <w:rPr>
          <w:rFonts w:ascii="Arial" w:eastAsia="Arial" w:hAnsi="Arial"/>
          <w:sz w:val="16"/>
        </w:rPr>
        <w:t>Zákaznický portál poskytuje Zákazníkovi následující funkce:</w:t>
      </w:r>
    </w:p>
    <w:p w:rsidR="000E6600" w:rsidRDefault="000E6600" w:rsidP="000E6600">
      <w:pPr>
        <w:spacing w:line="120" w:lineRule="exact"/>
        <w:rPr>
          <w:rFonts w:ascii="Arial" w:eastAsia="Arial" w:hAnsi="Arial"/>
          <w:b/>
          <w:sz w:val="16"/>
        </w:rPr>
      </w:pPr>
    </w:p>
    <w:p w:rsidR="000E6600" w:rsidRDefault="000E6600" w:rsidP="000E6600">
      <w:pPr>
        <w:numPr>
          <w:ilvl w:val="2"/>
          <w:numId w:val="4"/>
        </w:numPr>
        <w:tabs>
          <w:tab w:val="left" w:pos="1001"/>
        </w:tabs>
        <w:spacing w:line="0" w:lineRule="atLeast"/>
        <w:ind w:left="1001" w:hanging="291"/>
        <w:rPr>
          <w:rFonts w:ascii="Arial" w:eastAsia="Arial" w:hAnsi="Arial"/>
          <w:sz w:val="16"/>
        </w:rPr>
      </w:pPr>
      <w:r>
        <w:rPr>
          <w:rFonts w:ascii="Arial" w:eastAsia="Arial" w:hAnsi="Arial"/>
          <w:b/>
          <w:sz w:val="16"/>
        </w:rPr>
        <w:t>informativní povahy</w:t>
      </w:r>
      <w:r>
        <w:rPr>
          <w:rFonts w:ascii="Arial" w:eastAsia="Arial" w:hAnsi="Arial"/>
          <w:sz w:val="16"/>
        </w:rPr>
        <w:t>, které Zákazníkovi zpřístupňují údaje týkající se plnění Smlouvy, a to například:</w:t>
      </w:r>
    </w:p>
    <w:p w:rsidR="000E6600" w:rsidRDefault="000E6600" w:rsidP="000E6600">
      <w:pPr>
        <w:spacing w:line="66" w:lineRule="exact"/>
        <w:rPr>
          <w:rFonts w:ascii="Times New Roman" w:eastAsia="Times New Roman" w:hAnsi="Times New Roman"/>
        </w:rPr>
      </w:pPr>
    </w:p>
    <w:p w:rsidR="000E6600" w:rsidRDefault="000E6600" w:rsidP="000E6600">
      <w:pPr>
        <w:numPr>
          <w:ilvl w:val="1"/>
          <w:numId w:val="5"/>
        </w:numPr>
        <w:tabs>
          <w:tab w:val="left" w:pos="1277"/>
        </w:tabs>
        <w:spacing w:line="280" w:lineRule="auto"/>
        <w:ind w:left="1001" w:right="5180" w:hanging="8"/>
        <w:rPr>
          <w:rFonts w:ascii="Arial" w:eastAsia="Arial" w:hAnsi="Arial"/>
          <w:sz w:val="16"/>
        </w:rPr>
      </w:pPr>
      <w:r>
        <w:rPr>
          <w:rFonts w:ascii="Arial" w:eastAsia="Arial" w:hAnsi="Arial"/>
          <w:sz w:val="16"/>
        </w:rPr>
        <w:t>smluvní a kontaktní údaje Zákazníka, ab) fakturační údaje,</w:t>
      </w:r>
    </w:p>
    <w:p w:rsidR="000E6600" w:rsidRDefault="000E6600" w:rsidP="000E6600">
      <w:pPr>
        <w:spacing w:line="10" w:lineRule="exact"/>
        <w:rPr>
          <w:rFonts w:ascii="Arial" w:eastAsia="Arial" w:hAnsi="Arial"/>
          <w:sz w:val="16"/>
        </w:rPr>
      </w:pPr>
    </w:p>
    <w:p w:rsidR="000E6600" w:rsidRDefault="000E6600" w:rsidP="000E6600">
      <w:pPr>
        <w:spacing w:line="0" w:lineRule="atLeast"/>
        <w:ind w:left="1001"/>
        <w:rPr>
          <w:rFonts w:ascii="Arial" w:eastAsia="Arial" w:hAnsi="Arial"/>
          <w:sz w:val="16"/>
        </w:rPr>
      </w:pPr>
      <w:proofErr w:type="spellStart"/>
      <w:r>
        <w:rPr>
          <w:rFonts w:ascii="Arial" w:eastAsia="Arial" w:hAnsi="Arial"/>
          <w:sz w:val="16"/>
        </w:rPr>
        <w:t>ac</w:t>
      </w:r>
      <w:proofErr w:type="spellEnd"/>
      <w:r>
        <w:rPr>
          <w:rFonts w:ascii="Arial" w:eastAsia="Arial" w:hAnsi="Arial"/>
          <w:sz w:val="16"/>
        </w:rPr>
        <w:t>) údaje týkající se odběrného místa/odběrných míst,</w:t>
      </w:r>
    </w:p>
    <w:p w:rsidR="000E6600" w:rsidRDefault="000E6600" w:rsidP="000E6600">
      <w:pPr>
        <w:spacing w:line="128" w:lineRule="exact"/>
        <w:rPr>
          <w:rFonts w:ascii="Arial" w:eastAsia="Arial" w:hAnsi="Arial"/>
          <w:sz w:val="16"/>
        </w:rPr>
      </w:pPr>
    </w:p>
    <w:p w:rsidR="000E6600" w:rsidRDefault="000E6600" w:rsidP="000E6600">
      <w:pPr>
        <w:numPr>
          <w:ilvl w:val="0"/>
          <w:numId w:val="6"/>
        </w:numPr>
        <w:tabs>
          <w:tab w:val="left" w:pos="1001"/>
        </w:tabs>
        <w:spacing w:line="232" w:lineRule="auto"/>
        <w:ind w:left="1001" w:right="700" w:hanging="291"/>
        <w:rPr>
          <w:rFonts w:ascii="Arial" w:eastAsia="Arial" w:hAnsi="Arial"/>
          <w:sz w:val="16"/>
        </w:rPr>
      </w:pPr>
      <w:r>
        <w:rPr>
          <w:rFonts w:ascii="Arial" w:eastAsia="Arial" w:hAnsi="Arial"/>
          <w:b/>
          <w:sz w:val="16"/>
        </w:rPr>
        <w:t>oznamovací povahy</w:t>
      </w:r>
      <w:r>
        <w:rPr>
          <w:rFonts w:ascii="Arial" w:eastAsia="Arial" w:hAnsi="Arial"/>
          <w:sz w:val="16"/>
        </w:rPr>
        <w:t>, které Zákazníkovi umožňují oznamovat Obchodníkovi změny údajů uvedených ve Smlouvě, které nemají vliv na její změny, například změny:</w:t>
      </w:r>
    </w:p>
    <w:p w:rsidR="000E6600" w:rsidRDefault="000E6600" w:rsidP="000E6600">
      <w:pPr>
        <w:spacing w:line="59" w:lineRule="exact"/>
        <w:rPr>
          <w:rFonts w:ascii="Arial" w:eastAsia="Arial" w:hAnsi="Arial"/>
          <w:sz w:val="16"/>
        </w:rPr>
      </w:pPr>
    </w:p>
    <w:p w:rsidR="000E6600" w:rsidRDefault="000E6600" w:rsidP="000E6600">
      <w:pPr>
        <w:numPr>
          <w:ilvl w:val="1"/>
          <w:numId w:val="6"/>
        </w:numPr>
        <w:tabs>
          <w:tab w:val="left" w:pos="1261"/>
        </w:tabs>
        <w:spacing w:line="0" w:lineRule="atLeast"/>
        <w:ind w:left="1261" w:hanging="268"/>
        <w:rPr>
          <w:rFonts w:ascii="Arial" w:eastAsia="Arial" w:hAnsi="Arial"/>
          <w:sz w:val="16"/>
        </w:rPr>
      </w:pPr>
      <w:r>
        <w:rPr>
          <w:rFonts w:ascii="Arial" w:eastAsia="Arial" w:hAnsi="Arial"/>
          <w:sz w:val="16"/>
        </w:rPr>
        <w:t>zasílacích adres,</w:t>
      </w:r>
    </w:p>
    <w:p w:rsidR="000E6600" w:rsidRDefault="000E6600" w:rsidP="000E6600">
      <w:pPr>
        <w:spacing w:line="39" w:lineRule="exact"/>
        <w:rPr>
          <w:rFonts w:ascii="Times New Roman" w:eastAsia="Times New Roman" w:hAnsi="Times New Roman"/>
        </w:rPr>
      </w:pPr>
    </w:p>
    <w:p w:rsidR="000E6600" w:rsidRDefault="000E6600" w:rsidP="000E6600">
      <w:pPr>
        <w:spacing w:line="0" w:lineRule="atLeast"/>
        <w:ind w:left="1001"/>
        <w:rPr>
          <w:rFonts w:ascii="Arial" w:eastAsia="Arial" w:hAnsi="Arial"/>
          <w:sz w:val="16"/>
        </w:rPr>
      </w:pPr>
      <w:proofErr w:type="spellStart"/>
      <w:r>
        <w:rPr>
          <w:rFonts w:ascii="Arial" w:eastAsia="Arial" w:hAnsi="Arial"/>
          <w:sz w:val="16"/>
        </w:rPr>
        <w:t>bc</w:t>
      </w:r>
      <w:proofErr w:type="spellEnd"/>
      <w:r>
        <w:rPr>
          <w:rFonts w:ascii="Arial" w:eastAsia="Arial" w:hAnsi="Arial"/>
          <w:sz w:val="16"/>
        </w:rPr>
        <w:t>) bankovních spojení,</w:t>
      </w:r>
    </w:p>
    <w:p w:rsidR="000E6600" w:rsidRDefault="000E6600" w:rsidP="000E6600">
      <w:pPr>
        <w:spacing w:line="39" w:lineRule="exact"/>
        <w:rPr>
          <w:rFonts w:ascii="Times New Roman" w:eastAsia="Times New Roman" w:hAnsi="Times New Roman"/>
        </w:rPr>
      </w:pPr>
    </w:p>
    <w:p w:rsidR="000E6600" w:rsidRDefault="000E6600" w:rsidP="000E6600">
      <w:pPr>
        <w:spacing w:line="0" w:lineRule="atLeast"/>
        <w:ind w:left="1001"/>
        <w:rPr>
          <w:rFonts w:ascii="Arial" w:eastAsia="Arial" w:hAnsi="Arial"/>
          <w:sz w:val="16"/>
        </w:rPr>
      </w:pPr>
      <w:proofErr w:type="spellStart"/>
      <w:r>
        <w:rPr>
          <w:rFonts w:ascii="Arial" w:eastAsia="Arial" w:hAnsi="Arial"/>
          <w:sz w:val="16"/>
        </w:rPr>
        <w:t>bd</w:t>
      </w:r>
      <w:proofErr w:type="spellEnd"/>
      <w:r>
        <w:rPr>
          <w:rFonts w:ascii="Arial" w:eastAsia="Arial" w:hAnsi="Arial"/>
          <w:sz w:val="16"/>
        </w:rPr>
        <w:t>) e-mailu,</w:t>
      </w:r>
    </w:p>
    <w:p w:rsidR="000E6600" w:rsidRDefault="000E6600" w:rsidP="000E6600">
      <w:pPr>
        <w:spacing w:line="123" w:lineRule="exact"/>
        <w:rPr>
          <w:rFonts w:ascii="Times New Roman" w:eastAsia="Times New Roman" w:hAnsi="Times New Roman"/>
        </w:rPr>
      </w:pPr>
    </w:p>
    <w:p w:rsidR="000E6600" w:rsidRDefault="000E6600" w:rsidP="000E6600">
      <w:pPr>
        <w:numPr>
          <w:ilvl w:val="3"/>
          <w:numId w:val="7"/>
        </w:numPr>
        <w:tabs>
          <w:tab w:val="left" w:pos="1001"/>
        </w:tabs>
        <w:spacing w:line="0" w:lineRule="atLeast"/>
        <w:ind w:left="1001" w:hanging="291"/>
        <w:rPr>
          <w:rFonts w:ascii="Arial" w:eastAsia="Arial" w:hAnsi="Arial"/>
          <w:b/>
          <w:sz w:val="16"/>
        </w:rPr>
      </w:pPr>
      <w:r>
        <w:rPr>
          <w:rFonts w:ascii="Arial" w:eastAsia="Arial" w:hAnsi="Arial"/>
          <w:b/>
          <w:sz w:val="16"/>
        </w:rPr>
        <w:t>Elektronická fakturace</w:t>
      </w:r>
    </w:p>
    <w:p w:rsidR="000E6600" w:rsidRDefault="000E6600" w:rsidP="000E6600">
      <w:pPr>
        <w:spacing w:line="66" w:lineRule="exact"/>
        <w:rPr>
          <w:rFonts w:ascii="Arial" w:eastAsia="Arial" w:hAnsi="Arial"/>
          <w:b/>
          <w:sz w:val="16"/>
        </w:rPr>
      </w:pPr>
    </w:p>
    <w:p w:rsidR="000E6600" w:rsidRDefault="000E6600" w:rsidP="000E6600">
      <w:pPr>
        <w:spacing w:line="235" w:lineRule="auto"/>
        <w:ind w:left="1001" w:right="20"/>
        <w:rPr>
          <w:rFonts w:ascii="Arial" w:eastAsia="Arial" w:hAnsi="Arial"/>
          <w:sz w:val="16"/>
        </w:rPr>
      </w:pPr>
      <w:r>
        <w:rPr>
          <w:rFonts w:ascii="Arial" w:eastAsia="Arial" w:hAnsi="Arial"/>
          <w:sz w:val="16"/>
        </w:rPr>
        <w:t>Zákazník může na Zákaznickém portálu zažádat o aktivaci služby elektronické fakturace, na jejímž základě budou veškeré následně vystavené faktury doručovány Zákazníkovi jejich uložením ve formátu PDF na jeho Účtu v Zákaznickém portálu a současně zasílány na emailovou adresu Zákazníka, namísto zasílání prostřednictvím pro-</w:t>
      </w:r>
      <w:proofErr w:type="spellStart"/>
      <w:r>
        <w:rPr>
          <w:rFonts w:ascii="Arial" w:eastAsia="Arial" w:hAnsi="Arial"/>
          <w:sz w:val="16"/>
        </w:rPr>
        <w:t>vozovatele</w:t>
      </w:r>
      <w:proofErr w:type="spellEnd"/>
      <w:r>
        <w:rPr>
          <w:rFonts w:ascii="Arial" w:eastAsia="Arial" w:hAnsi="Arial"/>
          <w:sz w:val="16"/>
        </w:rPr>
        <w:t xml:space="preserve"> poštovních služeb, pokud se ve Smlouvě a v těchto OPD nedohodnou obě smluvní strany jinak.</w:t>
      </w:r>
    </w:p>
    <w:p w:rsidR="000E6600" w:rsidRDefault="000E6600" w:rsidP="000E6600">
      <w:pPr>
        <w:spacing w:line="139" w:lineRule="exact"/>
        <w:rPr>
          <w:rFonts w:ascii="Arial" w:eastAsia="Arial" w:hAnsi="Arial"/>
          <w:b/>
          <w:sz w:val="16"/>
        </w:rPr>
      </w:pPr>
    </w:p>
    <w:p w:rsidR="000E6600" w:rsidRDefault="000E6600" w:rsidP="000E6600">
      <w:pPr>
        <w:numPr>
          <w:ilvl w:val="1"/>
          <w:numId w:val="7"/>
        </w:numPr>
        <w:tabs>
          <w:tab w:val="left" w:pos="561"/>
        </w:tabs>
        <w:spacing w:line="235" w:lineRule="auto"/>
        <w:ind w:left="561" w:right="300" w:hanging="278"/>
        <w:rPr>
          <w:rFonts w:ascii="Arial" w:eastAsia="Arial" w:hAnsi="Arial"/>
          <w:b/>
          <w:sz w:val="16"/>
        </w:rPr>
      </w:pPr>
      <w:r>
        <w:rPr>
          <w:rFonts w:ascii="Arial" w:eastAsia="Arial" w:hAnsi="Arial"/>
          <w:sz w:val="16"/>
        </w:rPr>
        <w:t>Obchodník je oprávněn podmínit přihlašování na Účet, navrhování změn Smlouvy či aktivaci některých služeb Zákaznického portálu zasláním SMS zprávy s ověřovacím kódem, který bude nutné pro tyto účely do Zákaznického portálu zadat či jiným vhodným způsobem ověřovat totožnost Zákazníka. Obchodník je také oprávněn požadovat po Zákazníkovi pro tyto účely doložení úředních dokladů, považuje-li to pro dané jednání za potřebné.</w:t>
      </w:r>
    </w:p>
    <w:p w:rsidR="000E6600" w:rsidRDefault="000E6600" w:rsidP="000E6600">
      <w:pPr>
        <w:spacing w:line="139" w:lineRule="exact"/>
        <w:rPr>
          <w:rFonts w:ascii="Arial" w:eastAsia="Arial" w:hAnsi="Arial"/>
          <w:b/>
          <w:sz w:val="16"/>
        </w:rPr>
      </w:pPr>
    </w:p>
    <w:p w:rsidR="000E6600" w:rsidRDefault="000E6600" w:rsidP="000E6600">
      <w:pPr>
        <w:numPr>
          <w:ilvl w:val="1"/>
          <w:numId w:val="7"/>
        </w:numPr>
        <w:tabs>
          <w:tab w:val="left" w:pos="561"/>
        </w:tabs>
        <w:spacing w:line="237" w:lineRule="auto"/>
        <w:ind w:left="561" w:right="60" w:hanging="278"/>
        <w:rPr>
          <w:rFonts w:ascii="Arial" w:eastAsia="Arial" w:hAnsi="Arial"/>
          <w:b/>
          <w:sz w:val="16"/>
        </w:rPr>
      </w:pPr>
      <w:r>
        <w:rPr>
          <w:rFonts w:ascii="Arial" w:eastAsia="Arial" w:hAnsi="Arial"/>
          <w:sz w:val="16"/>
        </w:rPr>
        <w:t>Obchodník je povinen technicky zabezpečit ochranu a důvěrnost údajů obsažených na Účtech Zákaznického portálu. Zákazník je povinen zabezpečit přihlašovací údaje k Účtu a datové nosiče, na nichž jsou tyto údaje a veškeré s nimi související údaje uloženy takovým způsobem, aby nemohly být zneužity neoprávněnými osobami. Za tímto účelem Zákazník učiní veškerá nezbytná opatření, která lze po něm rozumně požadovat. Obchodník neodpovídá za zneužití přihlašovacích údajů k Účtu neoprávněnou osobou. Jakmile se Zákazník dozví o zneužití nebo o možnosti zneužití jeho přihlašovacích údajů, je tuto skutečnost povinen okamžitě nahlásit Obchodníkovi.</w:t>
      </w:r>
    </w:p>
    <w:p w:rsidR="000E6600" w:rsidRDefault="000E6600" w:rsidP="000E6600">
      <w:pPr>
        <w:spacing w:line="139" w:lineRule="exact"/>
        <w:rPr>
          <w:rFonts w:ascii="Arial" w:eastAsia="Arial" w:hAnsi="Arial"/>
          <w:b/>
          <w:sz w:val="16"/>
        </w:rPr>
      </w:pPr>
    </w:p>
    <w:p w:rsidR="000E6600" w:rsidRDefault="000E6600" w:rsidP="000E6600">
      <w:pPr>
        <w:numPr>
          <w:ilvl w:val="1"/>
          <w:numId w:val="7"/>
        </w:numPr>
        <w:tabs>
          <w:tab w:val="left" w:pos="561"/>
        </w:tabs>
        <w:spacing w:line="235" w:lineRule="auto"/>
        <w:ind w:left="561" w:right="120" w:hanging="278"/>
        <w:rPr>
          <w:rFonts w:ascii="Arial" w:eastAsia="Arial" w:hAnsi="Arial"/>
          <w:b/>
          <w:sz w:val="16"/>
        </w:rPr>
      </w:pPr>
      <w:r>
        <w:rPr>
          <w:rFonts w:ascii="Arial" w:eastAsia="Arial" w:hAnsi="Arial"/>
          <w:sz w:val="16"/>
        </w:rPr>
        <w:t>Dojde-li k zániku Smlouvy, Zákazník bude moci Zákaznický portál užívat ještě 12 měsíců od zániku Smlouvy. Zákazník může kdykoliv používání Zákaznického portálu ukončit, je však povinen tuto skutečnost bez zbytečného odkladu písemně oznámit Obchodníkovi.</w:t>
      </w:r>
    </w:p>
    <w:p w:rsidR="000E6600" w:rsidRDefault="000E6600" w:rsidP="000E6600">
      <w:pPr>
        <w:spacing w:line="138" w:lineRule="exact"/>
        <w:rPr>
          <w:rFonts w:ascii="Arial" w:eastAsia="Arial" w:hAnsi="Arial"/>
          <w:b/>
          <w:sz w:val="16"/>
        </w:rPr>
      </w:pPr>
    </w:p>
    <w:p w:rsidR="000E6600" w:rsidRDefault="000E6600" w:rsidP="000E6600">
      <w:pPr>
        <w:numPr>
          <w:ilvl w:val="1"/>
          <w:numId w:val="7"/>
        </w:numPr>
        <w:tabs>
          <w:tab w:val="left" w:pos="561"/>
        </w:tabs>
        <w:spacing w:line="235" w:lineRule="auto"/>
        <w:ind w:left="561" w:right="140" w:hanging="278"/>
        <w:rPr>
          <w:rFonts w:ascii="Arial" w:eastAsia="Arial" w:hAnsi="Arial"/>
          <w:b/>
          <w:sz w:val="16"/>
        </w:rPr>
      </w:pPr>
      <w:r>
        <w:rPr>
          <w:rFonts w:ascii="Arial" w:eastAsia="Arial" w:hAnsi="Arial"/>
          <w:sz w:val="16"/>
        </w:rPr>
        <w:t>Nebude-li Zákazníkovi umožněn přístup do Zákaznického portálu Obchodníka dle vymezení v odst. 11 tohoto článku, má Zákazník nárok na smluvní pokutu ve výši 500 Kč za každý kalendářní den, kdy mu nebyl takový přístup umožněn, pokud se nejedná o plánované odstávky Zákaznického portálu z důvodů údržby systému, vyšší moci apod. Úhradou této smluvní pokuty není dotčeno právo Zákazníka na náhradu škody.</w:t>
      </w:r>
    </w:p>
    <w:p w:rsidR="000E6600" w:rsidRDefault="000E6600" w:rsidP="000E6600">
      <w:pPr>
        <w:spacing w:line="130" w:lineRule="exact"/>
        <w:rPr>
          <w:rFonts w:ascii="Arial" w:eastAsia="Arial" w:hAnsi="Arial"/>
          <w:b/>
          <w:sz w:val="16"/>
        </w:rPr>
      </w:pPr>
    </w:p>
    <w:p w:rsidR="000E6600" w:rsidRDefault="000E6600" w:rsidP="000E6600">
      <w:pPr>
        <w:numPr>
          <w:ilvl w:val="0"/>
          <w:numId w:val="8"/>
        </w:numPr>
        <w:tabs>
          <w:tab w:val="left" w:pos="284"/>
        </w:tabs>
        <w:spacing w:line="235" w:lineRule="auto"/>
        <w:ind w:left="1" w:hanging="1"/>
        <w:jc w:val="both"/>
        <w:rPr>
          <w:rFonts w:ascii="Arial" w:eastAsia="Arial" w:hAnsi="Arial"/>
          <w:b/>
          <w:sz w:val="16"/>
        </w:rPr>
      </w:pPr>
      <w:r>
        <w:rPr>
          <w:rFonts w:ascii="Arial" w:eastAsia="Arial" w:hAnsi="Arial"/>
          <w:sz w:val="16"/>
        </w:rPr>
        <w:t xml:space="preserve">Obchodník zajistí pro </w:t>
      </w:r>
      <w:r>
        <w:rPr>
          <w:rFonts w:ascii="Arial" w:eastAsia="Arial" w:hAnsi="Arial"/>
          <w:b/>
          <w:sz w:val="16"/>
        </w:rPr>
        <w:t>SMO</w:t>
      </w:r>
      <w:r>
        <w:rPr>
          <w:rFonts w:ascii="Arial" w:eastAsia="Arial" w:hAnsi="Arial"/>
          <w:sz w:val="16"/>
        </w:rPr>
        <w:t xml:space="preserve"> služby centrálního přístupu do zabezpečeného zákaznického portálu, pomocí kterého bude mít </w:t>
      </w:r>
      <w:r>
        <w:rPr>
          <w:rFonts w:ascii="Arial" w:eastAsia="Arial" w:hAnsi="Arial"/>
          <w:b/>
          <w:sz w:val="16"/>
        </w:rPr>
        <w:t>SMO</w:t>
      </w:r>
      <w:r>
        <w:rPr>
          <w:rFonts w:ascii="Arial" w:eastAsia="Arial" w:hAnsi="Arial"/>
          <w:sz w:val="16"/>
        </w:rPr>
        <w:t xml:space="preserve"> přístup k informacím mezi Obchodníkem a </w:t>
      </w:r>
      <w:r>
        <w:rPr>
          <w:rFonts w:ascii="Arial" w:eastAsia="Arial" w:hAnsi="Arial"/>
          <w:sz w:val="16"/>
          <w:u w:val="single"/>
        </w:rPr>
        <w:t>všemi Zákazníky</w:t>
      </w:r>
      <w:r>
        <w:rPr>
          <w:rFonts w:ascii="Arial" w:eastAsia="Arial" w:hAnsi="Arial"/>
          <w:sz w:val="16"/>
        </w:rPr>
        <w:t>, se kterými byla na základě výsledku zadávacího řízení veřejné</w:t>
      </w:r>
      <w:r>
        <w:rPr>
          <w:rFonts w:ascii="Arial" w:eastAsia="Arial" w:hAnsi="Arial"/>
          <w:b/>
          <w:sz w:val="16"/>
        </w:rPr>
        <w:t xml:space="preserve"> </w:t>
      </w:r>
      <w:r>
        <w:rPr>
          <w:rFonts w:ascii="Arial" w:eastAsia="Arial" w:hAnsi="Arial"/>
          <w:sz w:val="16"/>
        </w:rPr>
        <w:t>zakázky „Dodávky zemního plynu pro statutární město Ostrava a městské organizace na rok 2025“ uzavřena Smlouva. Tento portál bude splňovat následující požadavky:</w:t>
      </w:r>
    </w:p>
    <w:p w:rsidR="000E6600" w:rsidRDefault="000E6600" w:rsidP="000E6600">
      <w:pPr>
        <w:spacing w:line="79" w:lineRule="exact"/>
        <w:rPr>
          <w:rFonts w:ascii="Arial" w:eastAsia="Arial" w:hAnsi="Arial"/>
          <w:b/>
          <w:sz w:val="16"/>
        </w:rPr>
      </w:pPr>
    </w:p>
    <w:p w:rsidR="000E6600" w:rsidRDefault="000E6600" w:rsidP="000E6600">
      <w:pPr>
        <w:numPr>
          <w:ilvl w:val="1"/>
          <w:numId w:val="8"/>
        </w:numPr>
        <w:tabs>
          <w:tab w:val="left" w:pos="561"/>
        </w:tabs>
        <w:spacing w:line="235" w:lineRule="auto"/>
        <w:ind w:left="561" w:hanging="278"/>
        <w:jc w:val="both"/>
        <w:rPr>
          <w:rFonts w:ascii="Arial" w:eastAsia="Arial" w:hAnsi="Arial"/>
          <w:b/>
          <w:sz w:val="16"/>
        </w:rPr>
      </w:pPr>
      <w:r>
        <w:rPr>
          <w:rFonts w:ascii="Arial" w:eastAsia="Arial" w:hAnsi="Arial"/>
          <w:sz w:val="16"/>
        </w:rPr>
        <w:t>Zákaznický portál je zabezpečená internetová aplikace dostupná na internetových stránkách Obchodníka, kde budou SMO zpřístupňovány informace týkající se plnění souvisejícího se Smlouvami uzavřenými mezi Obchodníkem a jednotlivými Zákazníky. Užití Zákaznického portálu není zpoplatněno.</w:t>
      </w:r>
    </w:p>
    <w:p w:rsidR="000E6600" w:rsidRDefault="000E6600" w:rsidP="000E6600">
      <w:pPr>
        <w:spacing w:line="137" w:lineRule="exact"/>
        <w:rPr>
          <w:rFonts w:ascii="Arial" w:eastAsia="Arial" w:hAnsi="Arial"/>
          <w:b/>
          <w:sz w:val="16"/>
        </w:rPr>
      </w:pPr>
    </w:p>
    <w:p w:rsidR="000E6600" w:rsidRDefault="000E6600" w:rsidP="000E6600">
      <w:pPr>
        <w:numPr>
          <w:ilvl w:val="1"/>
          <w:numId w:val="8"/>
        </w:numPr>
        <w:tabs>
          <w:tab w:val="left" w:pos="561"/>
        </w:tabs>
        <w:spacing w:line="256" w:lineRule="auto"/>
        <w:ind w:left="561" w:hanging="278"/>
        <w:jc w:val="both"/>
        <w:rPr>
          <w:rFonts w:ascii="Arial" w:eastAsia="Arial" w:hAnsi="Arial"/>
          <w:b/>
          <w:sz w:val="15"/>
        </w:rPr>
      </w:pPr>
      <w:r>
        <w:rPr>
          <w:rFonts w:ascii="Arial" w:eastAsia="Arial" w:hAnsi="Arial"/>
          <w:sz w:val="15"/>
        </w:rPr>
        <w:t>Požádá-li SMO o zřízení samostatného účtu (dále jen „Účet“) na Zákaznickém portálu, Obchodník předá SMO nejpozději do 5 kalendářních dní buď osobně, nebo jiným způsobem na základě společné dohody, přihlašovací kódy k účtu a případně též jiné údaje, na základě kterých, bude SMO moci aktivovat na internetových stránkách Obchodníka svůj účet.</w:t>
      </w:r>
    </w:p>
    <w:p w:rsidR="000E6600" w:rsidRDefault="000E6600" w:rsidP="000E6600">
      <w:pPr>
        <w:spacing w:line="117" w:lineRule="exact"/>
        <w:rPr>
          <w:rFonts w:ascii="Arial" w:eastAsia="Arial" w:hAnsi="Arial"/>
          <w:b/>
          <w:sz w:val="15"/>
        </w:rPr>
      </w:pPr>
    </w:p>
    <w:p w:rsidR="000E6600" w:rsidRDefault="000E6600" w:rsidP="000E6600">
      <w:pPr>
        <w:numPr>
          <w:ilvl w:val="1"/>
          <w:numId w:val="8"/>
        </w:numPr>
        <w:tabs>
          <w:tab w:val="left" w:pos="561"/>
        </w:tabs>
        <w:spacing w:line="0" w:lineRule="atLeast"/>
        <w:ind w:left="561" w:hanging="278"/>
        <w:rPr>
          <w:rFonts w:ascii="Arial" w:eastAsia="Arial" w:hAnsi="Arial"/>
          <w:b/>
          <w:sz w:val="16"/>
        </w:rPr>
      </w:pPr>
      <w:r>
        <w:rPr>
          <w:rFonts w:ascii="Arial" w:eastAsia="Arial" w:hAnsi="Arial"/>
          <w:sz w:val="16"/>
        </w:rPr>
        <w:t>Zákaznický portál poskytuje SMO následující funkce:</w:t>
      </w:r>
    </w:p>
    <w:p w:rsidR="000E6600" w:rsidRDefault="000E6600" w:rsidP="000E6600">
      <w:pPr>
        <w:spacing w:line="126" w:lineRule="exact"/>
        <w:rPr>
          <w:rFonts w:ascii="Arial" w:eastAsia="Arial" w:hAnsi="Arial"/>
          <w:b/>
          <w:sz w:val="16"/>
        </w:rPr>
      </w:pPr>
    </w:p>
    <w:p w:rsidR="000E6600" w:rsidRDefault="000E6600" w:rsidP="000E6600">
      <w:pPr>
        <w:numPr>
          <w:ilvl w:val="2"/>
          <w:numId w:val="8"/>
        </w:numPr>
        <w:tabs>
          <w:tab w:val="left" w:pos="1001"/>
        </w:tabs>
        <w:spacing w:line="232" w:lineRule="auto"/>
        <w:ind w:left="1001" w:hanging="368"/>
        <w:rPr>
          <w:rFonts w:ascii="Arial" w:eastAsia="Arial" w:hAnsi="Arial"/>
          <w:b/>
          <w:sz w:val="16"/>
        </w:rPr>
      </w:pPr>
      <w:r>
        <w:rPr>
          <w:rFonts w:ascii="Arial" w:eastAsia="Arial" w:hAnsi="Arial"/>
          <w:b/>
          <w:sz w:val="16"/>
        </w:rPr>
        <w:t>Informativní povahy</w:t>
      </w:r>
      <w:r>
        <w:rPr>
          <w:rFonts w:ascii="Arial" w:eastAsia="Arial" w:hAnsi="Arial"/>
          <w:sz w:val="16"/>
        </w:rPr>
        <w:t>, které SMO zpřístupňují údaje týkající se plnění Smluv uzavřených mezi Obchodníkem a jednotlivými Zákazníky, a to například:</w:t>
      </w:r>
    </w:p>
    <w:p w:rsidR="000E6600" w:rsidRDefault="000E6600" w:rsidP="000E6600">
      <w:pPr>
        <w:spacing w:line="69" w:lineRule="exact"/>
        <w:rPr>
          <w:rFonts w:ascii="Arial" w:eastAsia="Arial" w:hAnsi="Arial"/>
          <w:b/>
          <w:sz w:val="16"/>
        </w:rPr>
      </w:pPr>
    </w:p>
    <w:p w:rsidR="000E6600" w:rsidRDefault="000E6600" w:rsidP="000E6600">
      <w:pPr>
        <w:spacing w:line="232" w:lineRule="auto"/>
        <w:ind w:left="1001"/>
        <w:rPr>
          <w:rFonts w:ascii="Arial" w:eastAsia="Arial" w:hAnsi="Arial"/>
          <w:sz w:val="16"/>
        </w:rPr>
      </w:pPr>
      <w:proofErr w:type="spellStart"/>
      <w:r>
        <w:rPr>
          <w:rFonts w:ascii="Arial" w:eastAsia="Arial" w:hAnsi="Arial"/>
          <w:sz w:val="16"/>
        </w:rPr>
        <w:t>aa</w:t>
      </w:r>
      <w:proofErr w:type="spellEnd"/>
      <w:r>
        <w:rPr>
          <w:rFonts w:ascii="Arial" w:eastAsia="Arial" w:hAnsi="Arial"/>
          <w:sz w:val="16"/>
        </w:rPr>
        <w:t>) údaje týkající se odběrného místa/odběrných míst v rozsahu fakturačních údajů dle Vyhlášky č. 70/2016 Sb. s možností exportu takových údajů jednotlivě pro každého Zákazníka/souhrnně pro všechny Zákazníky.</w:t>
      </w:r>
    </w:p>
    <w:p w:rsidR="000E6600" w:rsidRDefault="000E6600" w:rsidP="000E6600">
      <w:pPr>
        <w:spacing w:line="200" w:lineRule="exact"/>
        <w:rPr>
          <w:rFonts w:ascii="Times New Roman" w:eastAsia="Times New Roman" w:hAnsi="Times New Roman"/>
        </w:rPr>
      </w:pPr>
    </w:p>
    <w:p w:rsidR="000E6600" w:rsidRDefault="000E6600" w:rsidP="000E6600">
      <w:pPr>
        <w:spacing w:line="333" w:lineRule="exact"/>
        <w:rPr>
          <w:rFonts w:ascii="Times New Roman" w:eastAsia="Times New Roman" w:hAnsi="Times New Roman"/>
        </w:rPr>
      </w:pPr>
    </w:p>
    <w:p w:rsidR="000E6600" w:rsidRDefault="000E6600" w:rsidP="000E6600">
      <w:pPr>
        <w:spacing w:line="0" w:lineRule="atLeast"/>
        <w:ind w:right="19"/>
        <w:jc w:val="center"/>
        <w:rPr>
          <w:rFonts w:ascii="Arial" w:eastAsia="Arial" w:hAnsi="Arial"/>
          <w:b/>
        </w:rPr>
      </w:pPr>
      <w:r>
        <w:rPr>
          <w:rFonts w:ascii="Arial" w:eastAsia="Arial" w:hAnsi="Arial"/>
        </w:rPr>
        <w:t xml:space="preserve">Stránka </w:t>
      </w:r>
      <w:r>
        <w:rPr>
          <w:rFonts w:ascii="Arial" w:eastAsia="Arial" w:hAnsi="Arial"/>
          <w:b/>
        </w:rPr>
        <w:t>3</w:t>
      </w:r>
      <w:r>
        <w:rPr>
          <w:rFonts w:ascii="Arial" w:eastAsia="Arial" w:hAnsi="Arial"/>
        </w:rPr>
        <w:t xml:space="preserve"> z </w:t>
      </w:r>
      <w:r>
        <w:rPr>
          <w:rFonts w:ascii="Arial" w:eastAsia="Arial" w:hAnsi="Arial"/>
          <w:b/>
        </w:rPr>
        <w:t>8</w:t>
      </w:r>
    </w:p>
    <w:p w:rsidR="000E6600" w:rsidRDefault="000E6600" w:rsidP="000E6600">
      <w:pPr>
        <w:rPr>
          <w:rFonts w:ascii="Arial" w:eastAsia="Arial" w:hAnsi="Arial"/>
          <w:b/>
        </w:rPr>
        <w:sectPr w:rsidR="000E6600">
          <w:pgSz w:w="11900" w:h="16838"/>
          <w:pgMar w:top="716" w:right="1406" w:bottom="375" w:left="1419" w:header="0" w:footer="0" w:gutter="0"/>
          <w:cols w:space="708"/>
        </w:sectPr>
      </w:pPr>
    </w:p>
    <w:p w:rsidR="000E6600" w:rsidRDefault="000E6600" w:rsidP="000E6600">
      <w:pPr>
        <w:tabs>
          <w:tab w:val="left" w:pos="7673"/>
        </w:tabs>
        <w:spacing w:line="0" w:lineRule="atLeast"/>
        <w:ind w:left="13"/>
        <w:rPr>
          <w:rFonts w:ascii="Arial" w:eastAsia="Arial" w:hAnsi="Arial"/>
          <w:sz w:val="15"/>
        </w:rPr>
      </w:pPr>
      <w:bookmarkStart w:id="2" w:name="page13"/>
      <w:bookmarkEnd w:id="2"/>
      <w:r>
        <w:rPr>
          <w:rFonts w:ascii="Arial" w:eastAsia="Arial" w:hAnsi="Arial"/>
          <w:sz w:val="16"/>
        </w:rPr>
        <w:lastRenderedPageBreak/>
        <w:t>ČÍSLO SMLOUVY OBCHODNÍKA:</w:t>
      </w:r>
      <w:r>
        <w:rPr>
          <w:sz w:val="19"/>
        </w:rPr>
        <w:t xml:space="preserve"> P001076</w:t>
      </w:r>
      <w:r>
        <w:rPr>
          <w:rFonts w:ascii="Times New Roman" w:eastAsia="Times New Roman" w:hAnsi="Times New Roman"/>
        </w:rPr>
        <w:tab/>
      </w:r>
      <w:r>
        <w:rPr>
          <w:rFonts w:ascii="Arial" w:eastAsia="Arial" w:hAnsi="Arial"/>
          <w:sz w:val="15"/>
        </w:rPr>
        <w:t>Příloha č. 2 ZD</w:t>
      </w:r>
    </w:p>
    <w:p w:rsidR="000E6600" w:rsidRDefault="000E6600" w:rsidP="000E6600">
      <w:pPr>
        <w:spacing w:line="124" w:lineRule="exact"/>
        <w:rPr>
          <w:rFonts w:ascii="Times New Roman" w:eastAsia="Times New Roman" w:hAnsi="Times New Roman"/>
        </w:rPr>
      </w:pPr>
    </w:p>
    <w:p w:rsidR="000E6600" w:rsidRDefault="000E6600" w:rsidP="000E6600">
      <w:pPr>
        <w:spacing w:line="0" w:lineRule="atLeast"/>
        <w:ind w:left="13"/>
        <w:rPr>
          <w:rFonts w:ascii="Arial" w:eastAsia="Arial" w:hAnsi="Arial"/>
          <w:sz w:val="16"/>
        </w:rPr>
      </w:pPr>
      <w:r>
        <w:rPr>
          <w:rFonts w:ascii="Arial" w:eastAsia="Arial" w:hAnsi="Arial"/>
          <w:sz w:val="16"/>
        </w:rPr>
        <w:t>ČÍSLO SMLOUVY ZÁKAZNÍKA:</w:t>
      </w:r>
    </w:p>
    <w:p w:rsidR="000E6600" w:rsidRDefault="000E6600" w:rsidP="000E6600">
      <w:pPr>
        <w:spacing w:line="200" w:lineRule="exact"/>
        <w:rPr>
          <w:rFonts w:ascii="Times New Roman" w:eastAsia="Times New Roman" w:hAnsi="Times New Roman"/>
        </w:rPr>
      </w:pPr>
    </w:p>
    <w:p w:rsidR="000E6600" w:rsidRDefault="000E6600" w:rsidP="000E6600">
      <w:pPr>
        <w:spacing w:line="211" w:lineRule="exact"/>
        <w:rPr>
          <w:rFonts w:ascii="Times New Roman" w:eastAsia="Times New Roman" w:hAnsi="Times New Roman"/>
        </w:rPr>
      </w:pPr>
    </w:p>
    <w:p w:rsidR="000E6600" w:rsidRDefault="000E6600" w:rsidP="000E6600">
      <w:pPr>
        <w:numPr>
          <w:ilvl w:val="2"/>
          <w:numId w:val="9"/>
        </w:numPr>
        <w:tabs>
          <w:tab w:val="left" w:pos="1013"/>
        </w:tabs>
        <w:spacing w:line="0" w:lineRule="atLeast"/>
        <w:ind w:left="1013" w:hanging="368"/>
        <w:rPr>
          <w:rFonts w:ascii="Arial" w:eastAsia="Arial" w:hAnsi="Arial"/>
          <w:b/>
          <w:sz w:val="16"/>
        </w:rPr>
      </w:pPr>
      <w:r>
        <w:rPr>
          <w:rFonts w:ascii="Arial" w:eastAsia="Arial" w:hAnsi="Arial"/>
          <w:b/>
          <w:sz w:val="16"/>
        </w:rPr>
        <w:t>Přehled fakturace</w:t>
      </w:r>
    </w:p>
    <w:p w:rsidR="000E6600" w:rsidRDefault="000E6600" w:rsidP="000E6600">
      <w:pPr>
        <w:spacing w:line="66" w:lineRule="exact"/>
        <w:rPr>
          <w:rFonts w:ascii="Arial" w:eastAsia="Arial" w:hAnsi="Arial"/>
          <w:b/>
          <w:sz w:val="16"/>
        </w:rPr>
      </w:pPr>
    </w:p>
    <w:p w:rsidR="000E6600" w:rsidRDefault="000E6600" w:rsidP="000E6600">
      <w:pPr>
        <w:spacing w:line="237" w:lineRule="auto"/>
        <w:ind w:left="1013"/>
        <w:jc w:val="both"/>
        <w:rPr>
          <w:rFonts w:ascii="Arial" w:eastAsia="Arial" w:hAnsi="Arial"/>
          <w:sz w:val="16"/>
        </w:rPr>
      </w:pPr>
      <w:r>
        <w:rPr>
          <w:rFonts w:ascii="Arial" w:eastAsia="Arial" w:hAnsi="Arial"/>
          <w:sz w:val="16"/>
        </w:rPr>
        <w:t>SMO může na Zákaznickém portálu zobrazit přehled fakturace, mezi Obchodníkem a Zákazníky. Současně má možnost po provedeném vyúčtování ze strany Obchodníka exportovat údaje o uhrazených platbách jednotlivě pro každého Zákazníka/souhrnně pro všechny Zákazníky. Pokud Zákaznický portál Obchodníka neumožňuje zajistit tuto funkcionalitu, pak Obchodník zajistí zasílání fakturačních údajů v dohodnutých intervalech (měsíčně, kvartálně či ročně) na určené e-mailové adresy.</w:t>
      </w:r>
    </w:p>
    <w:p w:rsidR="000E6600" w:rsidRDefault="000E6600" w:rsidP="000E6600">
      <w:pPr>
        <w:spacing w:line="138" w:lineRule="exact"/>
        <w:rPr>
          <w:rFonts w:ascii="Arial" w:eastAsia="Arial" w:hAnsi="Arial"/>
          <w:b/>
          <w:sz w:val="16"/>
        </w:rPr>
      </w:pPr>
    </w:p>
    <w:p w:rsidR="000E6600" w:rsidRDefault="000E6600" w:rsidP="000E6600">
      <w:pPr>
        <w:numPr>
          <w:ilvl w:val="1"/>
          <w:numId w:val="9"/>
        </w:numPr>
        <w:tabs>
          <w:tab w:val="left" w:pos="573"/>
        </w:tabs>
        <w:spacing w:line="237" w:lineRule="auto"/>
        <w:ind w:left="573" w:hanging="278"/>
        <w:jc w:val="both"/>
        <w:rPr>
          <w:rFonts w:ascii="Arial" w:eastAsia="Arial" w:hAnsi="Arial"/>
          <w:b/>
          <w:sz w:val="16"/>
        </w:rPr>
      </w:pPr>
      <w:r>
        <w:rPr>
          <w:rFonts w:ascii="Arial" w:eastAsia="Arial" w:hAnsi="Arial"/>
          <w:sz w:val="16"/>
        </w:rPr>
        <w:t>Obchodník je povinen technicky zabezpečit ochranu a důvěrnost údajů obsažených na Účtech Zákaznického portálu. SMO je povinno zabezpečit přihlašovací údaje k Účtu a datové nosiče, na nichž jsou tyto údaje a veškeré s nimi související údaje uloženy takovým způsobem, aby nemohly být zneužity neoprávněnými osobami. Za tímto účelem SMO učiní veškerá nezbytná opatření, která lze po něm rozumně požadovat. Obchodník neodpovídá za zneužití přihlašovacích údajů k Účtu neoprávněnou osobou. Jakmile se SMO dozví o zneužití nebo o možnosti zneužití jeho přihlašovacích údajů, je tuto skutečnost povinen okamžitě nahlásit Obchodníkovi.</w:t>
      </w:r>
    </w:p>
    <w:p w:rsidR="000E6600" w:rsidRDefault="000E6600" w:rsidP="000E6600">
      <w:pPr>
        <w:spacing w:line="131" w:lineRule="exact"/>
        <w:rPr>
          <w:rFonts w:ascii="Arial" w:eastAsia="Arial" w:hAnsi="Arial"/>
          <w:b/>
          <w:sz w:val="16"/>
        </w:rPr>
      </w:pPr>
    </w:p>
    <w:p w:rsidR="000E6600" w:rsidRDefault="000E6600" w:rsidP="000E6600">
      <w:pPr>
        <w:numPr>
          <w:ilvl w:val="1"/>
          <w:numId w:val="9"/>
        </w:numPr>
        <w:tabs>
          <w:tab w:val="left" w:pos="573"/>
        </w:tabs>
        <w:spacing w:line="0" w:lineRule="atLeast"/>
        <w:ind w:left="573" w:hanging="278"/>
        <w:rPr>
          <w:rFonts w:ascii="Arial" w:eastAsia="Arial" w:hAnsi="Arial"/>
          <w:b/>
          <w:sz w:val="16"/>
        </w:rPr>
      </w:pPr>
      <w:r>
        <w:rPr>
          <w:rFonts w:ascii="Arial" w:eastAsia="Arial" w:hAnsi="Arial"/>
          <w:sz w:val="16"/>
        </w:rPr>
        <w:t>Dojde-li k zániku Smlouvy, SMO bude moci Zákaznický portál užívat ještě 12 měsíců od zániku Smlouvy.</w:t>
      </w:r>
    </w:p>
    <w:p w:rsidR="000E6600" w:rsidRDefault="000E6600" w:rsidP="000E6600">
      <w:pPr>
        <w:spacing w:line="138" w:lineRule="exact"/>
        <w:rPr>
          <w:rFonts w:ascii="Arial" w:eastAsia="Arial" w:hAnsi="Arial"/>
          <w:b/>
          <w:sz w:val="16"/>
        </w:rPr>
      </w:pPr>
    </w:p>
    <w:p w:rsidR="000E6600" w:rsidRDefault="000E6600" w:rsidP="000E6600">
      <w:pPr>
        <w:numPr>
          <w:ilvl w:val="1"/>
          <w:numId w:val="9"/>
        </w:numPr>
        <w:tabs>
          <w:tab w:val="left" w:pos="573"/>
        </w:tabs>
        <w:spacing w:line="237" w:lineRule="auto"/>
        <w:ind w:left="573" w:hanging="278"/>
        <w:jc w:val="both"/>
        <w:rPr>
          <w:rFonts w:ascii="Arial" w:eastAsia="Arial" w:hAnsi="Arial"/>
          <w:b/>
          <w:sz w:val="16"/>
        </w:rPr>
      </w:pPr>
      <w:r>
        <w:rPr>
          <w:rFonts w:ascii="Arial" w:eastAsia="Arial" w:hAnsi="Arial"/>
          <w:sz w:val="16"/>
        </w:rPr>
        <w:t>Nebude-li SMO umožněn přístup do Zákaznického portálu Obchodníka dle vymezení v odst. 12 tohoto článku, má SMO nárok na smluvní pokutu ve výši 500 Kč za každý kalendářní den, kdy mu nebyl takový přístup umožněn, pokud se nejedná o plánované odstávky Zákaznického portálu z důvodů údržby systému, vyšší moci apod. Úhradou této smluvní pokuty není dotčeno právo Zákazníka na náhradu škody.</w:t>
      </w:r>
    </w:p>
    <w:p w:rsidR="000E6600" w:rsidRDefault="000E6600" w:rsidP="000E6600">
      <w:pPr>
        <w:spacing w:line="359" w:lineRule="exact"/>
        <w:rPr>
          <w:rFonts w:ascii="Arial" w:eastAsia="Arial" w:hAnsi="Arial"/>
          <w:b/>
          <w:sz w:val="16"/>
        </w:rPr>
      </w:pPr>
    </w:p>
    <w:p w:rsidR="000E6600" w:rsidRDefault="000E6600" w:rsidP="000E6600">
      <w:pPr>
        <w:numPr>
          <w:ilvl w:val="3"/>
          <w:numId w:val="9"/>
        </w:numPr>
        <w:tabs>
          <w:tab w:val="left" w:pos="3853"/>
        </w:tabs>
        <w:spacing w:line="0" w:lineRule="atLeast"/>
        <w:ind w:left="3853" w:hanging="231"/>
        <w:rPr>
          <w:rFonts w:ascii="Arial" w:eastAsia="Arial" w:hAnsi="Arial"/>
          <w:b/>
          <w:sz w:val="16"/>
        </w:rPr>
      </w:pPr>
      <w:r>
        <w:rPr>
          <w:rFonts w:ascii="Arial" w:eastAsia="Arial" w:hAnsi="Arial"/>
          <w:b/>
          <w:sz w:val="16"/>
        </w:rPr>
        <w:t>Povinnosti Zákazníka</w:t>
      </w:r>
    </w:p>
    <w:p w:rsidR="000E6600" w:rsidRDefault="000E6600" w:rsidP="000E6600">
      <w:pPr>
        <w:spacing w:line="128" w:lineRule="exact"/>
        <w:rPr>
          <w:rFonts w:ascii="Arial" w:eastAsia="Arial" w:hAnsi="Arial"/>
          <w:b/>
          <w:sz w:val="16"/>
        </w:rPr>
      </w:pPr>
    </w:p>
    <w:p w:rsidR="000E6600" w:rsidRDefault="000E6600" w:rsidP="000E6600">
      <w:pPr>
        <w:numPr>
          <w:ilvl w:val="0"/>
          <w:numId w:val="10"/>
        </w:numPr>
        <w:tabs>
          <w:tab w:val="left" w:pos="296"/>
        </w:tabs>
        <w:spacing w:line="232" w:lineRule="auto"/>
        <w:ind w:left="13" w:right="220" w:hanging="1"/>
        <w:rPr>
          <w:rFonts w:ascii="Arial" w:eastAsia="Arial" w:hAnsi="Arial"/>
          <w:b/>
          <w:sz w:val="16"/>
        </w:rPr>
      </w:pPr>
      <w:r>
        <w:rPr>
          <w:rFonts w:ascii="Arial" w:eastAsia="Arial" w:hAnsi="Arial"/>
          <w:sz w:val="16"/>
        </w:rPr>
        <w:t>Zákazník se zavazuje plyn dodávaný ze strany Obchodníka odebírat a za dodávky plynu platit cenu ve výši stanovené na základě Smlouvy a OPD.</w:t>
      </w:r>
    </w:p>
    <w:p w:rsidR="000E6600" w:rsidRDefault="000E6600" w:rsidP="000E6600">
      <w:pPr>
        <w:spacing w:line="66" w:lineRule="exact"/>
        <w:rPr>
          <w:rFonts w:ascii="Arial" w:eastAsia="Arial" w:hAnsi="Arial"/>
          <w:b/>
          <w:sz w:val="16"/>
        </w:rPr>
      </w:pPr>
    </w:p>
    <w:p w:rsidR="000E6600" w:rsidRDefault="000E6600" w:rsidP="000E6600">
      <w:pPr>
        <w:numPr>
          <w:ilvl w:val="0"/>
          <w:numId w:val="10"/>
        </w:numPr>
        <w:tabs>
          <w:tab w:val="left" w:pos="296"/>
        </w:tabs>
        <w:spacing w:line="232" w:lineRule="auto"/>
        <w:ind w:left="13" w:right="300" w:hanging="1"/>
        <w:rPr>
          <w:rFonts w:ascii="Arial" w:eastAsia="Arial" w:hAnsi="Arial"/>
          <w:b/>
          <w:sz w:val="16"/>
        </w:rPr>
      </w:pPr>
      <w:r>
        <w:rPr>
          <w:rFonts w:ascii="Arial" w:eastAsia="Arial" w:hAnsi="Arial"/>
          <w:sz w:val="16"/>
        </w:rPr>
        <w:t>Zákazník se zavazuje zaplatit Obchodníkovi za službu přepravy plynu a za službu distribuční soustavy cenu stanovenou příslušným právním předpisem („regulovaná cena“) ve výši podle platného cenového rozhodnutí ERÚ.</w:t>
      </w:r>
    </w:p>
    <w:p w:rsidR="000E6600" w:rsidRDefault="000E6600" w:rsidP="000E6600">
      <w:pPr>
        <w:spacing w:line="59" w:lineRule="exact"/>
        <w:rPr>
          <w:rFonts w:ascii="Arial" w:eastAsia="Arial" w:hAnsi="Arial"/>
          <w:b/>
          <w:sz w:val="16"/>
        </w:rPr>
      </w:pPr>
    </w:p>
    <w:p w:rsidR="000E6600" w:rsidRDefault="000E6600" w:rsidP="000E6600">
      <w:pPr>
        <w:numPr>
          <w:ilvl w:val="0"/>
          <w:numId w:val="10"/>
        </w:numPr>
        <w:tabs>
          <w:tab w:val="left" w:pos="293"/>
        </w:tabs>
        <w:spacing w:line="0" w:lineRule="atLeast"/>
        <w:ind w:left="293" w:hanging="281"/>
        <w:rPr>
          <w:rFonts w:ascii="Arial" w:eastAsia="Arial" w:hAnsi="Arial"/>
          <w:b/>
          <w:sz w:val="16"/>
        </w:rPr>
      </w:pPr>
      <w:r>
        <w:rPr>
          <w:rFonts w:ascii="Arial" w:eastAsia="Arial" w:hAnsi="Arial"/>
          <w:sz w:val="16"/>
        </w:rPr>
        <w:t>Zákazník je povinen zajistit připojení svých OM k distribuční soustavě příslušného PDS způsobem a v souladu s</w:t>
      </w:r>
    </w:p>
    <w:p w:rsidR="000E6600" w:rsidRDefault="000E6600" w:rsidP="000E6600">
      <w:pPr>
        <w:spacing w:line="8" w:lineRule="exact"/>
        <w:rPr>
          <w:rFonts w:ascii="Arial" w:eastAsia="Arial" w:hAnsi="Arial"/>
          <w:b/>
          <w:sz w:val="16"/>
        </w:rPr>
      </w:pPr>
    </w:p>
    <w:p w:rsidR="000E6600" w:rsidRDefault="000E6600" w:rsidP="000E6600">
      <w:pPr>
        <w:spacing w:line="232" w:lineRule="auto"/>
        <w:ind w:left="13" w:right="600"/>
        <w:rPr>
          <w:rFonts w:ascii="Arial" w:eastAsia="Arial" w:hAnsi="Arial"/>
          <w:sz w:val="16"/>
        </w:rPr>
      </w:pPr>
      <w:r>
        <w:rPr>
          <w:rFonts w:ascii="Arial" w:eastAsia="Arial" w:hAnsi="Arial"/>
          <w:sz w:val="16"/>
        </w:rPr>
        <w:t>Energetickým zákonem. Uzavření smlouvy o připojení je podmínkou pro zajištění distribuce plynu a souvisejících služeb dodávky ze strany Obchodníka.</w:t>
      </w:r>
    </w:p>
    <w:p w:rsidR="000E6600" w:rsidRDefault="000E6600" w:rsidP="000E6600">
      <w:pPr>
        <w:spacing w:line="66" w:lineRule="exact"/>
        <w:rPr>
          <w:rFonts w:ascii="Arial" w:eastAsia="Arial" w:hAnsi="Arial"/>
          <w:b/>
          <w:sz w:val="16"/>
        </w:rPr>
      </w:pPr>
    </w:p>
    <w:p w:rsidR="000E6600" w:rsidRDefault="000E6600" w:rsidP="000E6600">
      <w:pPr>
        <w:numPr>
          <w:ilvl w:val="0"/>
          <w:numId w:val="10"/>
        </w:numPr>
        <w:tabs>
          <w:tab w:val="left" w:pos="296"/>
        </w:tabs>
        <w:spacing w:line="237" w:lineRule="auto"/>
        <w:ind w:left="13" w:right="200" w:hanging="1"/>
        <w:rPr>
          <w:rFonts w:ascii="Arial" w:eastAsia="Arial" w:hAnsi="Arial"/>
          <w:b/>
          <w:sz w:val="16"/>
        </w:rPr>
      </w:pPr>
      <w:r>
        <w:rPr>
          <w:rFonts w:ascii="Arial" w:eastAsia="Arial" w:hAnsi="Arial"/>
          <w:sz w:val="16"/>
        </w:rPr>
        <w:t>Zákazník je povinen ukončit ke dni zahájení dodávky dle Smlouvy účinnost všech stávajících smluv, které má uzavřeny s dodavateli plynu pro dodávky a distribuci plynu do OM. Zákazník je povinen po dobu trvání Smlouvy nebýt účastníkem smluvních vztahů s jiným dodavatelem nebo obchodníkem s plynem, jejichž předmětem by byla dodávka plynu do OM. Porušení povinnosti Zákazníka dle tohoto odstavce je považováno za podstatné porušení Smlouvy a Obchodník je v takovém případě oprávněn od Smlouvy odstoupit dle podmínek uvedených v čl. VIII. odst. 3 OPD.</w:t>
      </w:r>
    </w:p>
    <w:p w:rsidR="000E6600" w:rsidRDefault="000E6600" w:rsidP="000E6600">
      <w:pPr>
        <w:spacing w:line="69" w:lineRule="exact"/>
        <w:rPr>
          <w:rFonts w:ascii="Arial" w:eastAsia="Arial" w:hAnsi="Arial"/>
          <w:b/>
          <w:sz w:val="16"/>
        </w:rPr>
      </w:pPr>
    </w:p>
    <w:p w:rsidR="000E6600" w:rsidRDefault="000E6600" w:rsidP="000E6600">
      <w:pPr>
        <w:numPr>
          <w:ilvl w:val="0"/>
          <w:numId w:val="10"/>
        </w:numPr>
        <w:tabs>
          <w:tab w:val="left" w:pos="296"/>
        </w:tabs>
        <w:spacing w:line="232" w:lineRule="auto"/>
        <w:ind w:left="13" w:right="860" w:hanging="1"/>
        <w:rPr>
          <w:rFonts w:ascii="Arial" w:eastAsia="Arial" w:hAnsi="Arial"/>
          <w:b/>
          <w:sz w:val="16"/>
        </w:rPr>
      </w:pPr>
      <w:r>
        <w:rPr>
          <w:rFonts w:ascii="Arial" w:eastAsia="Arial" w:hAnsi="Arial"/>
          <w:sz w:val="16"/>
        </w:rPr>
        <w:t>Zákazník je povinný poskytnout Obchodníkovi potřebnou součinnost k ukončení smluvních vztahů s předchozím dodavatelem plynu Zákazníka a k provedení registrace změny dodavatele v systému operátora trhu OTE.</w:t>
      </w:r>
    </w:p>
    <w:p w:rsidR="000E6600" w:rsidRDefault="000E6600" w:rsidP="000E6600">
      <w:pPr>
        <w:spacing w:line="66" w:lineRule="exact"/>
        <w:rPr>
          <w:rFonts w:ascii="Arial" w:eastAsia="Arial" w:hAnsi="Arial"/>
          <w:b/>
          <w:sz w:val="16"/>
        </w:rPr>
      </w:pPr>
    </w:p>
    <w:p w:rsidR="000E6600" w:rsidRDefault="000E6600" w:rsidP="000E6600">
      <w:pPr>
        <w:numPr>
          <w:ilvl w:val="0"/>
          <w:numId w:val="10"/>
        </w:numPr>
        <w:tabs>
          <w:tab w:val="left" w:pos="296"/>
        </w:tabs>
        <w:spacing w:line="237" w:lineRule="auto"/>
        <w:ind w:left="13" w:right="340" w:hanging="1"/>
        <w:rPr>
          <w:rFonts w:ascii="Arial" w:eastAsia="Arial" w:hAnsi="Arial"/>
          <w:b/>
          <w:sz w:val="16"/>
        </w:rPr>
      </w:pPr>
      <w:r>
        <w:rPr>
          <w:rFonts w:ascii="Arial" w:eastAsia="Arial" w:hAnsi="Arial"/>
          <w:sz w:val="16"/>
        </w:rPr>
        <w:t>Zákazník je povinný respektovat pravidla vydaná příslušným PDS při odběru plynu podle smlouvy stanovená zejména v Řádu PDS, zvýšení sjednané denní rezervované kapacity lze realizovat na základě smlouvy s Obchodníkem, přičemž toto zvýšení a jeho zpoplatnění se řídí Řádem PDS, příslušným rozhodnutím ERÚ a Energetickým zákonem a jeho prováděcími předpisy; překročení hodnoty sjednané rezervované kapacity neopravňuje Zákazníka k jejímu navýšení na hodnotu již dosaženou.</w:t>
      </w:r>
    </w:p>
    <w:p w:rsidR="000E6600" w:rsidRDefault="000E6600" w:rsidP="000E6600">
      <w:pPr>
        <w:spacing w:line="67" w:lineRule="exact"/>
        <w:rPr>
          <w:rFonts w:ascii="Arial" w:eastAsia="Arial" w:hAnsi="Arial"/>
          <w:b/>
          <w:sz w:val="16"/>
        </w:rPr>
      </w:pPr>
    </w:p>
    <w:p w:rsidR="000E6600" w:rsidRDefault="000E6600" w:rsidP="000E6600">
      <w:pPr>
        <w:numPr>
          <w:ilvl w:val="0"/>
          <w:numId w:val="10"/>
        </w:numPr>
        <w:tabs>
          <w:tab w:val="left" w:pos="296"/>
        </w:tabs>
        <w:spacing w:line="235" w:lineRule="auto"/>
        <w:ind w:left="13" w:right="180" w:hanging="1"/>
        <w:rPr>
          <w:rFonts w:ascii="Arial" w:eastAsia="Arial" w:hAnsi="Arial"/>
          <w:b/>
          <w:sz w:val="16"/>
        </w:rPr>
      </w:pPr>
      <w:r>
        <w:rPr>
          <w:rFonts w:ascii="Arial" w:eastAsia="Arial" w:hAnsi="Arial"/>
          <w:sz w:val="16"/>
        </w:rPr>
        <w:t>Zákazník je povinný vyrozumět Obchodníka bez zbytečného odkladu o omezení nebo přerušení odběru plynu; v případě provádění plánovaných rekonstrukcí a oprav odběrného plynového zařízení vyrozumět Obchodníka nejpozději patnáct 15 dnů předem.</w:t>
      </w:r>
    </w:p>
    <w:p w:rsidR="000E6600" w:rsidRDefault="000E6600" w:rsidP="000E6600">
      <w:pPr>
        <w:spacing w:line="359" w:lineRule="exact"/>
        <w:rPr>
          <w:rFonts w:ascii="Times New Roman" w:eastAsia="Times New Roman" w:hAnsi="Times New Roman"/>
        </w:rPr>
      </w:pPr>
    </w:p>
    <w:p w:rsidR="000E6600" w:rsidRDefault="000E6600" w:rsidP="000E6600">
      <w:pPr>
        <w:spacing w:line="0" w:lineRule="atLeast"/>
        <w:ind w:right="-12"/>
        <w:jc w:val="center"/>
        <w:rPr>
          <w:rFonts w:ascii="Arial" w:eastAsia="Arial" w:hAnsi="Arial"/>
          <w:b/>
          <w:sz w:val="16"/>
        </w:rPr>
      </w:pPr>
      <w:r>
        <w:rPr>
          <w:rFonts w:ascii="Arial" w:eastAsia="Arial" w:hAnsi="Arial"/>
          <w:b/>
          <w:sz w:val="16"/>
        </w:rPr>
        <w:t>IV. Měření dodávek plynu</w:t>
      </w:r>
    </w:p>
    <w:p w:rsidR="000E6600" w:rsidRDefault="000E6600" w:rsidP="000E6600">
      <w:pPr>
        <w:spacing w:line="129" w:lineRule="exact"/>
        <w:rPr>
          <w:rFonts w:ascii="Times New Roman" w:eastAsia="Times New Roman" w:hAnsi="Times New Roman"/>
        </w:rPr>
      </w:pPr>
    </w:p>
    <w:p w:rsidR="000E6600" w:rsidRDefault="000E6600" w:rsidP="000E6600">
      <w:pPr>
        <w:numPr>
          <w:ilvl w:val="0"/>
          <w:numId w:val="11"/>
        </w:numPr>
        <w:tabs>
          <w:tab w:val="left" w:pos="296"/>
        </w:tabs>
        <w:spacing w:line="232" w:lineRule="auto"/>
        <w:ind w:left="13" w:right="80" w:hanging="13"/>
        <w:rPr>
          <w:rFonts w:ascii="Arial" w:eastAsia="Arial" w:hAnsi="Arial"/>
          <w:b/>
          <w:sz w:val="16"/>
        </w:rPr>
      </w:pPr>
      <w:r>
        <w:rPr>
          <w:rFonts w:ascii="Arial" w:eastAsia="Arial" w:hAnsi="Arial"/>
          <w:sz w:val="16"/>
        </w:rPr>
        <w:t>Pro vyhodnocení dodávek plynu jsou podkladem odečty měřicího zařízení v OM prováděné příslušným PDS na základě a v souladu s Energetickým zákonem.</w:t>
      </w:r>
    </w:p>
    <w:p w:rsidR="000E6600" w:rsidRDefault="000E6600" w:rsidP="000E6600">
      <w:pPr>
        <w:spacing w:line="66" w:lineRule="exact"/>
        <w:rPr>
          <w:rFonts w:ascii="Arial" w:eastAsia="Arial" w:hAnsi="Arial"/>
          <w:b/>
          <w:sz w:val="16"/>
        </w:rPr>
      </w:pPr>
    </w:p>
    <w:p w:rsidR="000E6600" w:rsidRDefault="000E6600" w:rsidP="000E6600">
      <w:pPr>
        <w:numPr>
          <w:ilvl w:val="0"/>
          <w:numId w:val="11"/>
        </w:numPr>
        <w:tabs>
          <w:tab w:val="left" w:pos="296"/>
        </w:tabs>
        <w:spacing w:line="232" w:lineRule="auto"/>
        <w:ind w:left="13" w:right="340" w:hanging="13"/>
        <w:rPr>
          <w:rFonts w:ascii="Arial" w:eastAsia="Arial" w:hAnsi="Arial"/>
          <w:b/>
          <w:sz w:val="16"/>
        </w:rPr>
      </w:pPr>
      <w:r>
        <w:rPr>
          <w:rFonts w:ascii="Arial" w:eastAsia="Arial" w:hAnsi="Arial"/>
          <w:sz w:val="16"/>
        </w:rPr>
        <w:t>Měření dodávek plynu dle Smlouvy a předávání skutečných naměřených hodnot OTE za účelem vyhodnocení odchylek zajišťuje příslušný PDS na základě a v souladu s Energetickým zákonem.</w:t>
      </w:r>
    </w:p>
    <w:p w:rsidR="000E6600" w:rsidRDefault="000E6600" w:rsidP="000E6600">
      <w:pPr>
        <w:spacing w:line="66" w:lineRule="exact"/>
        <w:rPr>
          <w:rFonts w:ascii="Arial" w:eastAsia="Arial" w:hAnsi="Arial"/>
          <w:b/>
          <w:sz w:val="16"/>
        </w:rPr>
      </w:pPr>
    </w:p>
    <w:p w:rsidR="000E6600" w:rsidRDefault="000E6600" w:rsidP="000E6600">
      <w:pPr>
        <w:numPr>
          <w:ilvl w:val="0"/>
          <w:numId w:val="11"/>
        </w:numPr>
        <w:tabs>
          <w:tab w:val="left" w:pos="296"/>
        </w:tabs>
        <w:spacing w:line="237" w:lineRule="auto"/>
        <w:ind w:left="13" w:right="120" w:hanging="13"/>
        <w:rPr>
          <w:rFonts w:ascii="Arial" w:eastAsia="Arial" w:hAnsi="Arial"/>
          <w:b/>
          <w:sz w:val="16"/>
        </w:rPr>
      </w:pPr>
      <w:r>
        <w:rPr>
          <w:rFonts w:ascii="Arial" w:eastAsia="Arial" w:hAnsi="Arial"/>
          <w:sz w:val="16"/>
        </w:rPr>
        <w:t xml:space="preserve">Měření dodávek plynu je možné i na základě samoodečtu Zákazníkem za jiné období, než je období ukončené řádným odečtem plynu, provedeném PDS. V tomto případě Obchodník provede mimořádnou fakturaci za předpokladu, že Zákazník dodá samoodečet Obchodníkovi dohodnutým způsobem a v dohodnutém formátu nejpozději do 24.00 hodin druhého </w:t>
      </w:r>
      <w:proofErr w:type="spellStart"/>
      <w:r>
        <w:rPr>
          <w:rFonts w:ascii="Arial" w:eastAsia="Arial" w:hAnsi="Arial"/>
          <w:sz w:val="16"/>
        </w:rPr>
        <w:t>pracov-ního</w:t>
      </w:r>
      <w:proofErr w:type="spellEnd"/>
      <w:r>
        <w:rPr>
          <w:rFonts w:ascii="Arial" w:eastAsia="Arial" w:hAnsi="Arial"/>
          <w:sz w:val="16"/>
        </w:rPr>
        <w:t xml:space="preserve"> dne po skončení posledního kalendářního měsíce v období, pro které bude mimořádná fakturace dohodnuta. Pokud tento termín nebude dodržen, není Obchodník povinen vystavit fakturu za jiné než řádné odečtové období prováděné PDS.</w:t>
      </w:r>
    </w:p>
    <w:p w:rsidR="000E6600" w:rsidRDefault="000E6600" w:rsidP="000E6600">
      <w:pPr>
        <w:spacing w:line="69" w:lineRule="exact"/>
        <w:rPr>
          <w:rFonts w:ascii="Arial" w:eastAsia="Arial" w:hAnsi="Arial"/>
          <w:b/>
          <w:sz w:val="16"/>
        </w:rPr>
      </w:pPr>
    </w:p>
    <w:p w:rsidR="000E6600" w:rsidRDefault="000E6600" w:rsidP="000E6600">
      <w:pPr>
        <w:numPr>
          <w:ilvl w:val="0"/>
          <w:numId w:val="11"/>
        </w:numPr>
        <w:tabs>
          <w:tab w:val="left" w:pos="296"/>
        </w:tabs>
        <w:spacing w:line="232" w:lineRule="auto"/>
        <w:ind w:left="13" w:right="180" w:hanging="13"/>
        <w:rPr>
          <w:rFonts w:ascii="Arial" w:eastAsia="Arial" w:hAnsi="Arial"/>
          <w:b/>
          <w:sz w:val="16"/>
        </w:rPr>
      </w:pPr>
      <w:r>
        <w:rPr>
          <w:rFonts w:ascii="Arial" w:eastAsia="Arial" w:hAnsi="Arial"/>
          <w:sz w:val="16"/>
        </w:rPr>
        <w:t>Zákazník je povinen závady na měřicích zařízeních, včetně porušení zajištění proti neoprávněné manipulaci, které zjistí, neprodleně oznámit Obchodníkovi a příslušnému PDS. Jakýkoliv zásah do měřicího zařízení příslušného PDS je nepřípustný.</w:t>
      </w:r>
    </w:p>
    <w:p w:rsidR="000E6600" w:rsidRDefault="000E6600" w:rsidP="000E6600">
      <w:pPr>
        <w:spacing w:line="67" w:lineRule="exact"/>
        <w:rPr>
          <w:rFonts w:ascii="Arial" w:eastAsia="Arial" w:hAnsi="Arial"/>
          <w:b/>
          <w:sz w:val="16"/>
        </w:rPr>
      </w:pPr>
    </w:p>
    <w:p w:rsidR="000E6600" w:rsidRDefault="000E6600" w:rsidP="000E6600">
      <w:pPr>
        <w:numPr>
          <w:ilvl w:val="0"/>
          <w:numId w:val="11"/>
        </w:numPr>
        <w:tabs>
          <w:tab w:val="left" w:pos="296"/>
        </w:tabs>
        <w:spacing w:line="235" w:lineRule="auto"/>
        <w:ind w:left="13" w:right="120" w:hanging="13"/>
        <w:rPr>
          <w:rFonts w:ascii="Arial" w:eastAsia="Arial" w:hAnsi="Arial"/>
          <w:b/>
          <w:sz w:val="16"/>
        </w:rPr>
      </w:pPr>
      <w:r>
        <w:rPr>
          <w:rFonts w:ascii="Arial" w:eastAsia="Arial" w:hAnsi="Arial"/>
          <w:sz w:val="16"/>
        </w:rPr>
        <w:t>Zákazník se zavazuje umožnit příslušnému zaměstnanci PDS nebo Obchodníka přístup k měřicímu zařízení a neměřeným částem odběrného plynového zařízení za účelem provedení kontroly, odečtu, údržby, výměny či odebrání. Způsob přístupu k měřicímu zařízení vyplývá z jeho umístění.</w:t>
      </w:r>
    </w:p>
    <w:p w:rsidR="000E6600" w:rsidRDefault="000E6600" w:rsidP="000E6600">
      <w:pPr>
        <w:spacing w:line="66" w:lineRule="exact"/>
        <w:rPr>
          <w:rFonts w:ascii="Arial" w:eastAsia="Arial" w:hAnsi="Arial"/>
          <w:b/>
          <w:sz w:val="16"/>
        </w:rPr>
      </w:pPr>
    </w:p>
    <w:p w:rsidR="000E6600" w:rsidRDefault="000E6600" w:rsidP="000E6600">
      <w:pPr>
        <w:numPr>
          <w:ilvl w:val="0"/>
          <w:numId w:val="11"/>
        </w:numPr>
        <w:tabs>
          <w:tab w:val="left" w:pos="296"/>
        </w:tabs>
        <w:spacing w:line="232" w:lineRule="auto"/>
        <w:ind w:left="13" w:right="280" w:hanging="13"/>
        <w:rPr>
          <w:rFonts w:ascii="Arial" w:eastAsia="Arial" w:hAnsi="Arial"/>
          <w:b/>
          <w:sz w:val="16"/>
        </w:rPr>
      </w:pPr>
      <w:r>
        <w:rPr>
          <w:rFonts w:ascii="Arial" w:eastAsia="Arial" w:hAnsi="Arial"/>
          <w:sz w:val="16"/>
        </w:rPr>
        <w:t>Pravidelné odečty měřicího zařízení pro účely vyhodnocení a vyúčtování dodávek a odběru plynu provádí příslušný PDS podle platných právních předpisů.</w:t>
      </w:r>
    </w:p>
    <w:p w:rsidR="000E6600" w:rsidRDefault="000E6600" w:rsidP="000E6600">
      <w:pPr>
        <w:spacing w:line="66" w:lineRule="exact"/>
        <w:rPr>
          <w:rFonts w:ascii="Arial" w:eastAsia="Arial" w:hAnsi="Arial"/>
          <w:b/>
          <w:sz w:val="16"/>
        </w:rPr>
      </w:pPr>
    </w:p>
    <w:p w:rsidR="000E6600" w:rsidRDefault="000E6600" w:rsidP="000E6600">
      <w:pPr>
        <w:numPr>
          <w:ilvl w:val="0"/>
          <w:numId w:val="11"/>
        </w:numPr>
        <w:tabs>
          <w:tab w:val="left" w:pos="296"/>
        </w:tabs>
        <w:spacing w:line="235" w:lineRule="auto"/>
        <w:ind w:left="13" w:right="80" w:hanging="13"/>
        <w:rPr>
          <w:rFonts w:ascii="Arial" w:eastAsia="Arial" w:hAnsi="Arial"/>
          <w:b/>
          <w:sz w:val="16"/>
        </w:rPr>
      </w:pPr>
      <w:r>
        <w:rPr>
          <w:rFonts w:ascii="Arial" w:eastAsia="Arial" w:hAnsi="Arial"/>
          <w:sz w:val="16"/>
        </w:rPr>
        <w:t>Bude-li mít Zákazník pochybnosti o správnosti hodnot pro vyúčtování odběru plynu, nebo zjistí-li na měřícím zařízení závadu, je povinen toto neprodleně oznámit Obchodníkovi. Postup pro přezkoušení měření, náhradu náklad s ním spojených je upraven § 71 Energetického zákona.</w:t>
      </w:r>
    </w:p>
    <w:p w:rsidR="000E6600" w:rsidRDefault="000E6600" w:rsidP="000E6600">
      <w:pPr>
        <w:spacing w:line="361" w:lineRule="exact"/>
        <w:rPr>
          <w:rFonts w:ascii="Times New Roman" w:eastAsia="Times New Roman" w:hAnsi="Times New Roman"/>
        </w:rPr>
      </w:pPr>
    </w:p>
    <w:p w:rsidR="000E6600" w:rsidRDefault="000E6600" w:rsidP="000E6600">
      <w:pPr>
        <w:spacing w:line="0" w:lineRule="atLeast"/>
        <w:ind w:right="-12"/>
        <w:jc w:val="center"/>
        <w:rPr>
          <w:rFonts w:ascii="Arial" w:eastAsia="Arial" w:hAnsi="Arial"/>
          <w:b/>
          <w:sz w:val="16"/>
        </w:rPr>
      </w:pPr>
      <w:r>
        <w:rPr>
          <w:rFonts w:ascii="Arial" w:eastAsia="Arial" w:hAnsi="Arial"/>
          <w:b/>
          <w:sz w:val="16"/>
        </w:rPr>
        <w:t>V. Cena a platební podmínky</w:t>
      </w:r>
    </w:p>
    <w:p w:rsidR="000E6600" w:rsidRDefault="000E6600" w:rsidP="000E6600">
      <w:pPr>
        <w:spacing w:line="284" w:lineRule="exact"/>
        <w:rPr>
          <w:rFonts w:ascii="Times New Roman" w:eastAsia="Times New Roman" w:hAnsi="Times New Roman"/>
        </w:rPr>
      </w:pPr>
    </w:p>
    <w:p w:rsidR="000E6600" w:rsidRDefault="000E6600" w:rsidP="000E6600">
      <w:pPr>
        <w:spacing w:line="0" w:lineRule="atLeast"/>
        <w:ind w:right="-12"/>
        <w:jc w:val="center"/>
        <w:rPr>
          <w:rFonts w:ascii="Arial" w:eastAsia="Arial" w:hAnsi="Arial"/>
          <w:b/>
        </w:rPr>
      </w:pPr>
      <w:r>
        <w:rPr>
          <w:rFonts w:ascii="Arial" w:eastAsia="Arial" w:hAnsi="Arial"/>
        </w:rPr>
        <w:t xml:space="preserve">Stránka </w:t>
      </w:r>
      <w:r>
        <w:rPr>
          <w:rFonts w:ascii="Arial" w:eastAsia="Arial" w:hAnsi="Arial"/>
          <w:b/>
        </w:rPr>
        <w:t>4</w:t>
      </w:r>
      <w:r>
        <w:rPr>
          <w:rFonts w:ascii="Arial" w:eastAsia="Arial" w:hAnsi="Arial"/>
        </w:rPr>
        <w:t xml:space="preserve"> z </w:t>
      </w:r>
      <w:r>
        <w:rPr>
          <w:rFonts w:ascii="Arial" w:eastAsia="Arial" w:hAnsi="Arial"/>
          <w:b/>
        </w:rPr>
        <w:t>8</w:t>
      </w:r>
    </w:p>
    <w:p w:rsidR="000E6600" w:rsidRDefault="000E6600" w:rsidP="000E6600">
      <w:pPr>
        <w:rPr>
          <w:rFonts w:ascii="Arial" w:eastAsia="Arial" w:hAnsi="Arial"/>
          <w:b/>
        </w:rPr>
        <w:sectPr w:rsidR="000E6600">
          <w:pgSz w:w="11900" w:h="16838"/>
          <w:pgMar w:top="716" w:right="1406" w:bottom="375" w:left="1407" w:header="0" w:footer="0" w:gutter="0"/>
          <w:cols w:space="708"/>
        </w:sectPr>
      </w:pPr>
    </w:p>
    <w:p w:rsidR="000E6600" w:rsidRDefault="000E6600" w:rsidP="000E6600">
      <w:pPr>
        <w:tabs>
          <w:tab w:val="left" w:pos="7661"/>
        </w:tabs>
        <w:spacing w:line="0" w:lineRule="atLeast"/>
        <w:ind w:left="1"/>
        <w:rPr>
          <w:rFonts w:ascii="Arial" w:eastAsia="Arial" w:hAnsi="Arial"/>
          <w:sz w:val="15"/>
        </w:rPr>
      </w:pPr>
      <w:bookmarkStart w:id="3" w:name="page14"/>
      <w:bookmarkEnd w:id="3"/>
      <w:r>
        <w:rPr>
          <w:rFonts w:ascii="Arial" w:eastAsia="Arial" w:hAnsi="Arial"/>
          <w:sz w:val="16"/>
        </w:rPr>
        <w:lastRenderedPageBreak/>
        <w:t>ČÍSLO SMLOUVY OBCHODNÍKA:</w:t>
      </w:r>
      <w:r>
        <w:rPr>
          <w:sz w:val="19"/>
        </w:rPr>
        <w:t xml:space="preserve"> P001076</w:t>
      </w:r>
      <w:r>
        <w:rPr>
          <w:rFonts w:ascii="Times New Roman" w:eastAsia="Times New Roman" w:hAnsi="Times New Roman"/>
        </w:rPr>
        <w:tab/>
      </w:r>
      <w:r>
        <w:rPr>
          <w:rFonts w:ascii="Arial" w:eastAsia="Arial" w:hAnsi="Arial"/>
          <w:sz w:val="15"/>
        </w:rPr>
        <w:t>Příloha č. 2 ZD</w:t>
      </w:r>
    </w:p>
    <w:p w:rsidR="000E6600" w:rsidRDefault="000E6600" w:rsidP="000E6600">
      <w:pPr>
        <w:spacing w:line="124" w:lineRule="exact"/>
        <w:rPr>
          <w:rFonts w:ascii="Times New Roman" w:eastAsia="Times New Roman" w:hAnsi="Times New Roman"/>
        </w:rPr>
      </w:pPr>
    </w:p>
    <w:p w:rsidR="000E6600" w:rsidRDefault="000E6600" w:rsidP="000E6600">
      <w:pPr>
        <w:spacing w:line="0" w:lineRule="atLeast"/>
        <w:ind w:left="1"/>
        <w:rPr>
          <w:rFonts w:ascii="Arial" w:eastAsia="Arial" w:hAnsi="Arial"/>
          <w:sz w:val="16"/>
        </w:rPr>
      </w:pPr>
      <w:r>
        <w:rPr>
          <w:rFonts w:ascii="Arial" w:eastAsia="Arial" w:hAnsi="Arial"/>
          <w:sz w:val="16"/>
        </w:rPr>
        <w:t>ČÍSLO SMLOUVY ZÁKAZNÍKA:</w:t>
      </w:r>
    </w:p>
    <w:p w:rsidR="000E6600" w:rsidRDefault="000E6600" w:rsidP="000E6600">
      <w:pPr>
        <w:spacing w:line="200" w:lineRule="exact"/>
        <w:rPr>
          <w:rFonts w:ascii="Times New Roman" w:eastAsia="Times New Roman" w:hAnsi="Times New Roman"/>
        </w:rPr>
      </w:pPr>
    </w:p>
    <w:p w:rsidR="000E6600" w:rsidRDefault="000E6600" w:rsidP="000E6600">
      <w:pPr>
        <w:spacing w:line="217" w:lineRule="exact"/>
        <w:rPr>
          <w:rFonts w:ascii="Times New Roman" w:eastAsia="Times New Roman" w:hAnsi="Times New Roman"/>
        </w:rPr>
      </w:pPr>
    </w:p>
    <w:p w:rsidR="000E6600" w:rsidRDefault="000E6600" w:rsidP="000E6600">
      <w:pPr>
        <w:numPr>
          <w:ilvl w:val="0"/>
          <w:numId w:val="12"/>
        </w:numPr>
        <w:tabs>
          <w:tab w:val="left" w:pos="284"/>
        </w:tabs>
        <w:spacing w:line="237" w:lineRule="auto"/>
        <w:ind w:left="1" w:right="100" w:hanging="1"/>
        <w:rPr>
          <w:rFonts w:ascii="Arial" w:eastAsia="Arial" w:hAnsi="Arial"/>
          <w:b/>
          <w:sz w:val="16"/>
        </w:rPr>
      </w:pPr>
      <w:r>
        <w:rPr>
          <w:rFonts w:ascii="Arial" w:eastAsia="Arial" w:hAnsi="Arial"/>
          <w:sz w:val="16"/>
        </w:rPr>
        <w:t>Dodávky plynu a zajištění distribuce a souvisejících služeb dle Smlouvy, jakož i další případné poplatky dle Smlouvy, hradí Zákazník, který není plátce DPH, na základě platebního předpisu (dále jen „faktura“), a Zákazník, který je plátcem DPH, na základě daňového dokladu vystaveného podle příslušného právního předpisu (dále jen „faktura“). Fakturační období je vymezeno odečty měřicího zařízení na OM, Vyhláškou č. 349/2015 Sb. a Vyhláškou č. 207/2021 Sb. Faktura bude vystavena vždy po skončení příslušného fakturačního období. Datum uskutečnění zdanitelného plnění je den zjištění skutečné spotřeby.</w:t>
      </w:r>
    </w:p>
    <w:p w:rsidR="000E6600" w:rsidRDefault="000E6600" w:rsidP="000E6600">
      <w:pPr>
        <w:spacing w:line="69" w:lineRule="exact"/>
        <w:rPr>
          <w:rFonts w:ascii="Arial" w:eastAsia="Arial" w:hAnsi="Arial"/>
          <w:b/>
          <w:sz w:val="16"/>
        </w:rPr>
      </w:pPr>
    </w:p>
    <w:p w:rsidR="000E6600" w:rsidRDefault="000E6600" w:rsidP="000E6600">
      <w:pPr>
        <w:numPr>
          <w:ilvl w:val="0"/>
          <w:numId w:val="12"/>
        </w:numPr>
        <w:tabs>
          <w:tab w:val="left" w:pos="284"/>
        </w:tabs>
        <w:spacing w:line="235" w:lineRule="auto"/>
        <w:ind w:left="1" w:right="140" w:hanging="1"/>
        <w:rPr>
          <w:rFonts w:ascii="Arial" w:eastAsia="Arial" w:hAnsi="Arial"/>
          <w:b/>
          <w:sz w:val="16"/>
        </w:rPr>
      </w:pPr>
      <w:r>
        <w:rPr>
          <w:rFonts w:ascii="Arial" w:eastAsia="Arial" w:hAnsi="Arial"/>
          <w:sz w:val="16"/>
        </w:rPr>
        <w:t xml:space="preserve">Platby budou provedeny na číslo bankovního účtu uvedené Obchodníkem ve faktuře, bez ohledu na číslo účtu uvedené v záhlaví Smlouvy. Účet musí být veden v tuzemsku a musí umožňovat dálkový přístup podle </w:t>
      </w:r>
      <w:proofErr w:type="spellStart"/>
      <w:r>
        <w:rPr>
          <w:rFonts w:ascii="Arial" w:eastAsia="Arial" w:hAnsi="Arial"/>
          <w:sz w:val="16"/>
        </w:rPr>
        <w:t>ust</w:t>
      </w:r>
      <w:proofErr w:type="spellEnd"/>
      <w:r>
        <w:rPr>
          <w:rFonts w:ascii="Arial" w:eastAsia="Arial" w:hAnsi="Arial"/>
          <w:sz w:val="16"/>
        </w:rPr>
        <w:t>. § 96 zákona o DPH. Všechny částky poukazované v Kč vzájemně Smluvními stranami na základě Smlouvy musí být prosté jakýchkoliv bankovních poplatků nebo jiných nákladů spojených s převodem na jejich účty.</w:t>
      </w:r>
    </w:p>
    <w:p w:rsidR="000E6600" w:rsidRDefault="000E6600" w:rsidP="000E6600">
      <w:pPr>
        <w:spacing w:line="62" w:lineRule="exact"/>
        <w:rPr>
          <w:rFonts w:ascii="Arial" w:eastAsia="Arial" w:hAnsi="Arial"/>
          <w:b/>
          <w:sz w:val="16"/>
        </w:rPr>
      </w:pPr>
    </w:p>
    <w:p w:rsidR="000E6600" w:rsidRDefault="000E6600" w:rsidP="000E6600">
      <w:pPr>
        <w:numPr>
          <w:ilvl w:val="0"/>
          <w:numId w:val="12"/>
        </w:numPr>
        <w:tabs>
          <w:tab w:val="left" w:pos="281"/>
        </w:tabs>
        <w:spacing w:line="0" w:lineRule="atLeast"/>
        <w:ind w:left="281" w:hanging="281"/>
        <w:rPr>
          <w:rFonts w:ascii="Arial" w:eastAsia="Arial" w:hAnsi="Arial"/>
          <w:b/>
          <w:sz w:val="16"/>
        </w:rPr>
      </w:pPr>
      <w:r>
        <w:rPr>
          <w:rFonts w:ascii="Arial" w:eastAsia="Arial" w:hAnsi="Arial"/>
          <w:sz w:val="16"/>
        </w:rPr>
        <w:t xml:space="preserve">Zákazník se zavazuje hradit Obchodníkovi převodním příkazem měsíčně zálohové platby za dodávku </w:t>
      </w:r>
      <w:proofErr w:type="gramStart"/>
      <w:r>
        <w:rPr>
          <w:rFonts w:ascii="Arial" w:eastAsia="Arial" w:hAnsi="Arial"/>
          <w:sz w:val="16"/>
        </w:rPr>
        <w:t>plynu</w:t>
      </w:r>
      <w:proofErr w:type="gramEnd"/>
      <w:r>
        <w:rPr>
          <w:rFonts w:ascii="Arial" w:eastAsia="Arial" w:hAnsi="Arial"/>
          <w:sz w:val="16"/>
        </w:rPr>
        <w:t xml:space="preserve"> a to ve výši:</w:t>
      </w:r>
    </w:p>
    <w:p w:rsidR="000E6600" w:rsidRDefault="000E6600" w:rsidP="000E6600">
      <w:pPr>
        <w:spacing w:line="66" w:lineRule="exact"/>
        <w:rPr>
          <w:rFonts w:ascii="Arial" w:eastAsia="Arial" w:hAnsi="Arial"/>
          <w:b/>
          <w:sz w:val="16"/>
        </w:rPr>
      </w:pPr>
    </w:p>
    <w:p w:rsidR="000E6600" w:rsidRDefault="000E6600" w:rsidP="000E6600">
      <w:pPr>
        <w:numPr>
          <w:ilvl w:val="1"/>
          <w:numId w:val="12"/>
        </w:numPr>
        <w:tabs>
          <w:tab w:val="left" w:pos="561"/>
        </w:tabs>
        <w:spacing w:line="232" w:lineRule="auto"/>
        <w:ind w:left="561" w:right="420" w:hanging="278"/>
        <w:rPr>
          <w:rFonts w:ascii="Arial" w:eastAsia="Arial" w:hAnsi="Arial"/>
          <w:sz w:val="16"/>
        </w:rPr>
      </w:pPr>
      <w:r>
        <w:rPr>
          <w:rFonts w:ascii="Arial" w:eastAsia="Arial" w:hAnsi="Arial"/>
          <w:sz w:val="16"/>
        </w:rPr>
        <w:t xml:space="preserve">1/12 z předpokládané roční spotřeby dle sjednaného zálohového kalendáře u OM s měřením typu "C" nebo „B“ ve smyslu </w:t>
      </w:r>
      <w:proofErr w:type="spellStart"/>
      <w:r>
        <w:rPr>
          <w:rFonts w:ascii="Arial" w:eastAsia="Arial" w:hAnsi="Arial"/>
          <w:sz w:val="16"/>
        </w:rPr>
        <w:t>Vyhl</w:t>
      </w:r>
      <w:proofErr w:type="spellEnd"/>
      <w:r>
        <w:rPr>
          <w:rFonts w:ascii="Arial" w:eastAsia="Arial" w:hAnsi="Arial"/>
          <w:sz w:val="16"/>
        </w:rPr>
        <w:t>. č. 108/2011 Sb.</w:t>
      </w:r>
    </w:p>
    <w:p w:rsidR="000E6600" w:rsidRDefault="000E6600" w:rsidP="000E6600">
      <w:pPr>
        <w:spacing w:line="6" w:lineRule="exact"/>
        <w:rPr>
          <w:rFonts w:ascii="Arial" w:eastAsia="Arial" w:hAnsi="Arial"/>
          <w:sz w:val="16"/>
        </w:rPr>
      </w:pPr>
    </w:p>
    <w:p w:rsidR="000E6600" w:rsidRDefault="000E6600" w:rsidP="000E6600">
      <w:pPr>
        <w:numPr>
          <w:ilvl w:val="1"/>
          <w:numId w:val="12"/>
        </w:numPr>
        <w:tabs>
          <w:tab w:val="left" w:pos="561"/>
        </w:tabs>
        <w:spacing w:line="232" w:lineRule="auto"/>
        <w:ind w:left="561" w:right="260" w:hanging="278"/>
        <w:rPr>
          <w:rFonts w:ascii="Arial" w:eastAsia="Arial" w:hAnsi="Arial"/>
          <w:sz w:val="16"/>
        </w:rPr>
      </w:pPr>
      <w:proofErr w:type="gramStart"/>
      <w:r>
        <w:rPr>
          <w:rFonts w:ascii="Arial" w:eastAsia="Arial" w:hAnsi="Arial"/>
          <w:sz w:val="16"/>
        </w:rPr>
        <w:t>100%</w:t>
      </w:r>
      <w:proofErr w:type="gramEnd"/>
      <w:r>
        <w:rPr>
          <w:rFonts w:ascii="Arial" w:eastAsia="Arial" w:hAnsi="Arial"/>
          <w:sz w:val="16"/>
        </w:rPr>
        <w:t xml:space="preserve"> z předpokládané měsíční spotřeby dle sjednaného zálohového kalendáře u OM s typu "C" nebo „B“ ve smyslu </w:t>
      </w:r>
      <w:proofErr w:type="spellStart"/>
      <w:r>
        <w:rPr>
          <w:rFonts w:ascii="Arial" w:eastAsia="Arial" w:hAnsi="Arial"/>
          <w:sz w:val="16"/>
        </w:rPr>
        <w:t>Vyhl</w:t>
      </w:r>
      <w:proofErr w:type="spellEnd"/>
      <w:r>
        <w:rPr>
          <w:rFonts w:ascii="Arial" w:eastAsia="Arial" w:hAnsi="Arial"/>
          <w:sz w:val="16"/>
        </w:rPr>
        <w:t>. č. 108/2011 Sb.</w:t>
      </w:r>
    </w:p>
    <w:p w:rsidR="000E6600" w:rsidRDefault="000E6600" w:rsidP="000E6600">
      <w:pPr>
        <w:spacing w:line="67" w:lineRule="exact"/>
        <w:rPr>
          <w:rFonts w:ascii="Times New Roman" w:eastAsia="Times New Roman" w:hAnsi="Times New Roman"/>
        </w:rPr>
      </w:pPr>
    </w:p>
    <w:p w:rsidR="000E6600" w:rsidRDefault="000E6600" w:rsidP="000E6600">
      <w:pPr>
        <w:spacing w:line="237" w:lineRule="auto"/>
        <w:ind w:left="1" w:right="80"/>
        <w:rPr>
          <w:rFonts w:ascii="Arial" w:eastAsia="Arial" w:hAnsi="Arial"/>
          <w:sz w:val="16"/>
        </w:rPr>
      </w:pPr>
      <w:r>
        <w:rPr>
          <w:rFonts w:ascii="Arial" w:eastAsia="Arial" w:hAnsi="Arial"/>
          <w:sz w:val="16"/>
        </w:rPr>
        <w:t>na základě platebního předpisu záloh pro všechna odběrná místa Zákazníka s přiloženým rozpisem odběrných míst. Měsíční zálohy jsou splatné v jedné splátce nejdříve k 15. dni příslušného kalendářního měsíce. Pro Zákazníka, který je plátcem DPH a nespadá do režimu přenesení daňové povinnosti, slouží jako daňový doklad platební předpis záloh, odpočet daně na základě tohoto daňového dokladu lze uplatnit pouze v případě uhrazení částky předepsané v platebním předpisu záloh.</w:t>
      </w:r>
    </w:p>
    <w:p w:rsidR="000E6600" w:rsidRDefault="000E6600" w:rsidP="000E6600">
      <w:pPr>
        <w:spacing w:line="67" w:lineRule="exact"/>
        <w:rPr>
          <w:rFonts w:ascii="Times New Roman" w:eastAsia="Times New Roman" w:hAnsi="Times New Roman"/>
        </w:rPr>
      </w:pPr>
    </w:p>
    <w:p w:rsidR="000E6600" w:rsidRDefault="000E6600" w:rsidP="000E6600">
      <w:pPr>
        <w:spacing w:line="232" w:lineRule="auto"/>
        <w:ind w:left="1" w:right="20"/>
        <w:rPr>
          <w:rFonts w:ascii="Arial" w:eastAsia="Arial" w:hAnsi="Arial"/>
          <w:sz w:val="16"/>
        </w:rPr>
      </w:pPr>
      <w:r>
        <w:rPr>
          <w:rFonts w:ascii="Arial" w:eastAsia="Arial" w:hAnsi="Arial"/>
          <w:sz w:val="16"/>
        </w:rPr>
        <w:t>V případě požadavku Zákazníka na vystavení platebních předpisů záloh členěných do skupin odběrných míst, zajistí Obchodník rozpis záloh vždy dle požadavku Zákazníka.</w:t>
      </w:r>
    </w:p>
    <w:p w:rsidR="000E6600" w:rsidRDefault="000E6600" w:rsidP="000E6600">
      <w:pPr>
        <w:spacing w:line="67" w:lineRule="exact"/>
        <w:rPr>
          <w:rFonts w:ascii="Times New Roman" w:eastAsia="Times New Roman" w:hAnsi="Times New Roman"/>
        </w:rPr>
      </w:pPr>
    </w:p>
    <w:p w:rsidR="000E6600" w:rsidRDefault="000E6600" w:rsidP="000E6600">
      <w:pPr>
        <w:spacing w:line="235" w:lineRule="auto"/>
        <w:ind w:left="1" w:right="120"/>
        <w:rPr>
          <w:rFonts w:ascii="Arial" w:eastAsia="Arial" w:hAnsi="Arial"/>
          <w:sz w:val="16"/>
        </w:rPr>
      </w:pPr>
      <w:r>
        <w:rPr>
          <w:rFonts w:ascii="Arial" w:eastAsia="Arial" w:hAnsi="Arial"/>
          <w:sz w:val="16"/>
        </w:rPr>
        <w:t>Pokud předpis záloh (zálohový kalendář) nebude odpovídat předpokládané roční spotřebě nebo požadavku zákazníka, tak ten není povinen hradit zálohové platby až do okamžiku, kdy Obchodník dodá takový předpis záloh, který bude odpovídat ujednanému.</w:t>
      </w:r>
    </w:p>
    <w:p w:rsidR="000E6600" w:rsidRDefault="000E6600" w:rsidP="000E6600">
      <w:pPr>
        <w:spacing w:line="67" w:lineRule="exact"/>
        <w:rPr>
          <w:rFonts w:ascii="Times New Roman" w:eastAsia="Times New Roman" w:hAnsi="Times New Roman"/>
        </w:rPr>
      </w:pPr>
    </w:p>
    <w:p w:rsidR="000E6600" w:rsidRDefault="000E6600" w:rsidP="000E6600">
      <w:pPr>
        <w:numPr>
          <w:ilvl w:val="0"/>
          <w:numId w:val="13"/>
        </w:numPr>
        <w:tabs>
          <w:tab w:val="left" w:pos="284"/>
        </w:tabs>
        <w:spacing w:line="237" w:lineRule="auto"/>
        <w:ind w:left="1" w:right="120" w:hanging="1"/>
        <w:rPr>
          <w:rFonts w:ascii="Arial" w:eastAsia="Arial" w:hAnsi="Arial"/>
          <w:b/>
          <w:sz w:val="16"/>
        </w:rPr>
      </w:pPr>
      <w:r>
        <w:rPr>
          <w:rFonts w:ascii="Arial" w:eastAsia="Arial" w:hAnsi="Arial"/>
          <w:sz w:val="16"/>
        </w:rPr>
        <w:t>Uhrazená záloha se odečte v následujícím vyúčtování za příslušné fakturační období. Rozdíl mezi zálohou a skutečnou cenou dodávky se vyrovná na základě vystavené faktury s tím, že doplatek Zákazník uhradí v předepsaném termínu splatnosti a případné přeplatky vrátí Obchodník na bankovní účet Zákazníka ve lhůtě do 30 kalendářních dnů po skončení fakturačního období, v němž se dodávka realizovala.</w:t>
      </w:r>
    </w:p>
    <w:p w:rsidR="000E6600" w:rsidRDefault="000E6600" w:rsidP="000E6600">
      <w:pPr>
        <w:spacing w:line="66" w:lineRule="exact"/>
        <w:rPr>
          <w:rFonts w:ascii="Arial" w:eastAsia="Arial" w:hAnsi="Arial"/>
          <w:b/>
          <w:sz w:val="16"/>
        </w:rPr>
      </w:pPr>
    </w:p>
    <w:p w:rsidR="000E6600" w:rsidRDefault="000E6600" w:rsidP="000E6600">
      <w:pPr>
        <w:numPr>
          <w:ilvl w:val="0"/>
          <w:numId w:val="13"/>
        </w:numPr>
        <w:tabs>
          <w:tab w:val="left" w:pos="284"/>
        </w:tabs>
        <w:spacing w:line="235" w:lineRule="auto"/>
        <w:ind w:left="1" w:right="180" w:hanging="1"/>
        <w:rPr>
          <w:rFonts w:ascii="Arial" w:eastAsia="Arial" w:hAnsi="Arial"/>
          <w:b/>
          <w:sz w:val="16"/>
        </w:rPr>
      </w:pPr>
      <w:r>
        <w:rPr>
          <w:rFonts w:ascii="Arial" w:eastAsia="Arial" w:hAnsi="Arial"/>
          <w:sz w:val="16"/>
        </w:rPr>
        <w:t>Platby za dodávky plynu, distribuce a souvisejících služeb, uhradí Zákazník převodním příkazem na základě vystaveného daňového dokladu – faktury vystavené Obchodníkem s přiloženým vyúčtováním jednotlivých OM v rozsahu dle Vyhlášky č. 207/2021 Sb. Obchodník vystaví faktury ve lhůtě do 15 kalendářních dnů ode dne uskutečnění zdanitelného plnění. Faktura musí dále obsahovat:</w:t>
      </w:r>
    </w:p>
    <w:p w:rsidR="000E6600" w:rsidRDefault="000E6600" w:rsidP="000E6600">
      <w:pPr>
        <w:spacing w:line="62" w:lineRule="exact"/>
        <w:rPr>
          <w:rFonts w:ascii="Arial" w:eastAsia="Arial" w:hAnsi="Arial"/>
          <w:b/>
          <w:sz w:val="16"/>
        </w:rPr>
      </w:pPr>
    </w:p>
    <w:p w:rsidR="000E6600" w:rsidRDefault="000E6600" w:rsidP="000E6600">
      <w:pPr>
        <w:numPr>
          <w:ilvl w:val="1"/>
          <w:numId w:val="13"/>
        </w:numPr>
        <w:tabs>
          <w:tab w:val="left" w:pos="721"/>
        </w:tabs>
        <w:spacing w:line="0" w:lineRule="atLeast"/>
        <w:ind w:left="721" w:hanging="294"/>
        <w:rPr>
          <w:rFonts w:ascii="Arial" w:eastAsia="Arial" w:hAnsi="Arial"/>
          <w:sz w:val="16"/>
        </w:rPr>
      </w:pPr>
      <w:r>
        <w:rPr>
          <w:rFonts w:ascii="Arial" w:eastAsia="Arial" w:hAnsi="Arial"/>
          <w:sz w:val="16"/>
        </w:rPr>
        <w:t>náležitosti daňového dokladu dle § 29 Zákona o DPH;</w:t>
      </w:r>
    </w:p>
    <w:p w:rsidR="000E6600" w:rsidRDefault="000E6600" w:rsidP="000E6600">
      <w:pPr>
        <w:numPr>
          <w:ilvl w:val="1"/>
          <w:numId w:val="13"/>
        </w:numPr>
        <w:tabs>
          <w:tab w:val="left" w:pos="721"/>
        </w:tabs>
        <w:spacing w:line="235" w:lineRule="auto"/>
        <w:ind w:left="721" w:hanging="294"/>
        <w:rPr>
          <w:rFonts w:ascii="Arial" w:eastAsia="Arial" w:hAnsi="Arial"/>
          <w:sz w:val="16"/>
        </w:rPr>
      </w:pPr>
      <w:r>
        <w:rPr>
          <w:rFonts w:ascii="Arial" w:eastAsia="Arial" w:hAnsi="Arial"/>
          <w:sz w:val="16"/>
        </w:rPr>
        <w:t>bankovní spojení Obchodníka;</w:t>
      </w:r>
    </w:p>
    <w:p w:rsidR="000E6600" w:rsidRDefault="000E6600" w:rsidP="000E6600">
      <w:pPr>
        <w:spacing w:line="1" w:lineRule="exact"/>
        <w:rPr>
          <w:rFonts w:ascii="Arial" w:eastAsia="Arial" w:hAnsi="Arial"/>
          <w:sz w:val="16"/>
        </w:rPr>
      </w:pPr>
    </w:p>
    <w:p w:rsidR="000E6600" w:rsidRDefault="000E6600" w:rsidP="000E6600">
      <w:pPr>
        <w:numPr>
          <w:ilvl w:val="1"/>
          <w:numId w:val="13"/>
        </w:numPr>
        <w:tabs>
          <w:tab w:val="left" w:pos="721"/>
        </w:tabs>
        <w:spacing w:line="0" w:lineRule="atLeast"/>
        <w:ind w:left="721" w:hanging="294"/>
        <w:rPr>
          <w:rFonts w:ascii="Arial" w:eastAsia="Arial" w:hAnsi="Arial"/>
          <w:sz w:val="16"/>
        </w:rPr>
      </w:pPr>
      <w:r>
        <w:rPr>
          <w:rFonts w:ascii="Arial" w:eastAsia="Arial" w:hAnsi="Arial"/>
          <w:sz w:val="16"/>
        </w:rPr>
        <w:t>cenové údaje v souladu se Smlouvou;</w:t>
      </w:r>
    </w:p>
    <w:p w:rsidR="000E6600" w:rsidRDefault="000E6600" w:rsidP="000E6600">
      <w:pPr>
        <w:numPr>
          <w:ilvl w:val="1"/>
          <w:numId w:val="13"/>
        </w:numPr>
        <w:tabs>
          <w:tab w:val="left" w:pos="721"/>
        </w:tabs>
        <w:spacing w:line="0" w:lineRule="atLeast"/>
        <w:ind w:left="721" w:hanging="294"/>
        <w:rPr>
          <w:rFonts w:ascii="Arial" w:eastAsia="Arial" w:hAnsi="Arial"/>
          <w:sz w:val="16"/>
        </w:rPr>
      </w:pPr>
      <w:r>
        <w:rPr>
          <w:rFonts w:ascii="Arial" w:eastAsia="Arial" w:hAnsi="Arial"/>
          <w:sz w:val="16"/>
        </w:rPr>
        <w:t>přehled zaplacených záloh zahrnutých do faktury;</w:t>
      </w:r>
    </w:p>
    <w:p w:rsidR="000E6600" w:rsidRDefault="000E6600" w:rsidP="000E6600">
      <w:pPr>
        <w:numPr>
          <w:ilvl w:val="1"/>
          <w:numId w:val="13"/>
        </w:numPr>
        <w:tabs>
          <w:tab w:val="left" w:pos="721"/>
        </w:tabs>
        <w:spacing w:line="0" w:lineRule="atLeast"/>
        <w:ind w:left="721" w:hanging="294"/>
        <w:rPr>
          <w:rFonts w:ascii="Arial" w:eastAsia="Arial" w:hAnsi="Arial"/>
          <w:sz w:val="16"/>
        </w:rPr>
      </w:pPr>
      <w:r>
        <w:rPr>
          <w:rFonts w:ascii="Arial" w:eastAsia="Arial" w:hAnsi="Arial"/>
          <w:sz w:val="16"/>
        </w:rPr>
        <w:t>detail spotřeby jednotlivých odběrných míst.</w:t>
      </w:r>
    </w:p>
    <w:p w:rsidR="000E6600" w:rsidRDefault="000E6600" w:rsidP="000E6600">
      <w:pPr>
        <w:spacing w:line="126" w:lineRule="exact"/>
        <w:rPr>
          <w:rFonts w:ascii="Times New Roman" w:eastAsia="Times New Roman" w:hAnsi="Times New Roman"/>
        </w:rPr>
      </w:pPr>
    </w:p>
    <w:p w:rsidR="000E6600" w:rsidRDefault="000E6600" w:rsidP="000E6600">
      <w:pPr>
        <w:spacing w:line="232" w:lineRule="auto"/>
        <w:ind w:left="1" w:right="660"/>
        <w:rPr>
          <w:rFonts w:ascii="Arial" w:eastAsia="Arial" w:hAnsi="Arial"/>
          <w:sz w:val="16"/>
        </w:rPr>
      </w:pPr>
      <w:r>
        <w:rPr>
          <w:rFonts w:ascii="Arial" w:eastAsia="Arial" w:hAnsi="Arial"/>
          <w:sz w:val="16"/>
        </w:rPr>
        <w:t>Vystavené faktury budou zaslány v elektronické podobě e-mailem nebo prostřednictvím datové schránky Zákazníka na dohodnuté adresy, nedohodnou-li se smluvní strany jinak.</w:t>
      </w:r>
    </w:p>
    <w:p w:rsidR="000E6600" w:rsidRDefault="000E6600" w:rsidP="000E6600">
      <w:pPr>
        <w:spacing w:line="127" w:lineRule="exact"/>
        <w:rPr>
          <w:rFonts w:ascii="Times New Roman" w:eastAsia="Times New Roman" w:hAnsi="Times New Roman"/>
        </w:rPr>
      </w:pPr>
    </w:p>
    <w:p w:rsidR="000E6600" w:rsidRDefault="000E6600" w:rsidP="000E6600">
      <w:pPr>
        <w:numPr>
          <w:ilvl w:val="0"/>
          <w:numId w:val="14"/>
        </w:numPr>
        <w:tabs>
          <w:tab w:val="left" w:pos="284"/>
        </w:tabs>
        <w:spacing w:line="237" w:lineRule="auto"/>
        <w:ind w:left="1" w:right="140" w:hanging="1"/>
        <w:jc w:val="both"/>
        <w:rPr>
          <w:rFonts w:ascii="Arial" w:eastAsia="Arial" w:hAnsi="Arial"/>
          <w:b/>
          <w:sz w:val="16"/>
        </w:rPr>
      </w:pPr>
      <w:r>
        <w:rPr>
          <w:rFonts w:ascii="Arial" w:eastAsia="Arial" w:hAnsi="Arial"/>
          <w:sz w:val="16"/>
        </w:rPr>
        <w:t xml:space="preserve">Obchodník provede bezplatné mimořádné vyúčtování k 31.12. kalendářního roku (který není rokem ukončení smlouvy) na základě samoodečtu provedeném Zákazníkem ve smyslu čl. IV. odst. 2. těchto OPD a ve smyslu </w:t>
      </w:r>
      <w:proofErr w:type="spellStart"/>
      <w:r>
        <w:rPr>
          <w:rFonts w:ascii="Arial" w:eastAsia="Arial" w:hAnsi="Arial"/>
          <w:sz w:val="16"/>
        </w:rPr>
        <w:t>ust</w:t>
      </w:r>
      <w:proofErr w:type="spellEnd"/>
      <w:r>
        <w:rPr>
          <w:rFonts w:ascii="Arial" w:eastAsia="Arial" w:hAnsi="Arial"/>
          <w:sz w:val="16"/>
        </w:rPr>
        <w:t>. § 15 odst. 2. Vyhlášky č. 70/2016 Sb. Toto vyúčtování je Obchodník povinen provést do 30 dnů po skončení kalendářního roku (který není rokem ukončení smlouvy). Vyúčtování ke dni ukončení smlouvy bude provedeno na základě odečtu distributora.</w:t>
      </w:r>
    </w:p>
    <w:p w:rsidR="000E6600" w:rsidRDefault="000E6600" w:rsidP="000E6600">
      <w:pPr>
        <w:spacing w:line="66" w:lineRule="exact"/>
        <w:rPr>
          <w:rFonts w:ascii="Arial" w:eastAsia="Arial" w:hAnsi="Arial"/>
          <w:b/>
          <w:sz w:val="16"/>
        </w:rPr>
      </w:pPr>
    </w:p>
    <w:p w:rsidR="000E6600" w:rsidRDefault="000E6600" w:rsidP="000E6600">
      <w:pPr>
        <w:numPr>
          <w:ilvl w:val="0"/>
          <w:numId w:val="14"/>
        </w:numPr>
        <w:tabs>
          <w:tab w:val="left" w:pos="284"/>
        </w:tabs>
        <w:spacing w:line="261" w:lineRule="auto"/>
        <w:ind w:left="1" w:right="40" w:hanging="1"/>
        <w:rPr>
          <w:rFonts w:ascii="Arial" w:eastAsia="Arial" w:hAnsi="Arial"/>
          <w:b/>
          <w:sz w:val="15"/>
        </w:rPr>
      </w:pPr>
      <w:r>
        <w:rPr>
          <w:rFonts w:ascii="Arial" w:eastAsia="Arial" w:hAnsi="Arial"/>
          <w:sz w:val="15"/>
        </w:rPr>
        <w:t>Pokud o to Zákazník požádá, tak Obchodník provede mimořádné vyúčtování na základě samoodečtu provedeném Zákazníkem. Za mimořádné vyúčtování si může Obchodník účtovat cenovou přirážku ve výši max. 80 Kč bez DPH za 1 fakturu.</w:t>
      </w:r>
    </w:p>
    <w:p w:rsidR="000E6600" w:rsidRDefault="000E6600" w:rsidP="000E6600">
      <w:pPr>
        <w:spacing w:line="50" w:lineRule="exact"/>
        <w:rPr>
          <w:rFonts w:ascii="Arial" w:eastAsia="Arial" w:hAnsi="Arial"/>
          <w:b/>
          <w:sz w:val="15"/>
        </w:rPr>
      </w:pPr>
    </w:p>
    <w:p w:rsidR="000E6600" w:rsidRDefault="000E6600" w:rsidP="000E6600">
      <w:pPr>
        <w:numPr>
          <w:ilvl w:val="0"/>
          <w:numId w:val="14"/>
        </w:numPr>
        <w:tabs>
          <w:tab w:val="left" w:pos="284"/>
        </w:tabs>
        <w:spacing w:line="235" w:lineRule="auto"/>
        <w:ind w:left="1" w:right="260" w:hanging="1"/>
        <w:rPr>
          <w:rFonts w:ascii="Arial" w:eastAsia="Arial" w:hAnsi="Arial"/>
          <w:b/>
          <w:sz w:val="16"/>
        </w:rPr>
      </w:pPr>
      <w:r>
        <w:rPr>
          <w:rFonts w:ascii="Arial" w:eastAsia="Arial" w:hAnsi="Arial"/>
          <w:sz w:val="16"/>
        </w:rPr>
        <w:t>Faktury jsou splatné do 30 dnů ode dne doručení faktury Zákazníkovi. Dnem zaplacení se rozumí den připsání platby na účet Obchodníka. Připadne-li poslední den lhůty pro zaplacení faktury na den pracovního klidu, je posledním dnem lhůty pro zaplacení faktury první následující pracovní den.</w:t>
      </w:r>
    </w:p>
    <w:p w:rsidR="000E6600" w:rsidRDefault="000E6600" w:rsidP="000E6600">
      <w:pPr>
        <w:spacing w:line="66" w:lineRule="exact"/>
        <w:rPr>
          <w:rFonts w:ascii="Arial" w:eastAsia="Arial" w:hAnsi="Arial"/>
          <w:b/>
          <w:sz w:val="16"/>
        </w:rPr>
      </w:pPr>
    </w:p>
    <w:p w:rsidR="000E6600" w:rsidRDefault="000E6600" w:rsidP="000E6600">
      <w:pPr>
        <w:numPr>
          <w:ilvl w:val="0"/>
          <w:numId w:val="14"/>
        </w:numPr>
        <w:tabs>
          <w:tab w:val="left" w:pos="284"/>
        </w:tabs>
        <w:spacing w:line="237" w:lineRule="auto"/>
        <w:ind w:left="1" w:right="100" w:hanging="1"/>
        <w:rPr>
          <w:rFonts w:ascii="Arial" w:eastAsia="Arial" w:hAnsi="Arial"/>
          <w:b/>
          <w:sz w:val="16"/>
        </w:rPr>
      </w:pPr>
      <w:r>
        <w:rPr>
          <w:rFonts w:ascii="Arial" w:eastAsia="Arial" w:hAnsi="Arial"/>
          <w:sz w:val="16"/>
        </w:rPr>
        <w:t xml:space="preserve">V případě prodlení Obchodníka s vystavením zúčtovací faktury Zákazníkovi ve lhůtě dle čl. V. odst. 5. a 6. OPD, či s uhrazením přeplatku Zákazníkovi ve lhůtě dle čl. V. odst. 4. OPD je Obchodník povinen zaplatit Zákazníkovi smluvní pokutu ve výši 100,- Kč za každé dotčené odběrné místo a každý započatý den prodlení u odběrných míst s měřením typu C a CM ve smyslu Vyhlášky č. 108/2011 Sb. a smluvní pokutu ve výši 200,- Kč za každé dotčené odběrné místo a každý den prodlení u odběrných míst s měřením typu B a </w:t>
      </w:r>
      <w:proofErr w:type="spellStart"/>
      <w:r>
        <w:rPr>
          <w:rFonts w:ascii="Arial" w:eastAsia="Arial" w:hAnsi="Arial"/>
          <w:sz w:val="16"/>
        </w:rPr>
        <w:t>A</w:t>
      </w:r>
      <w:proofErr w:type="spellEnd"/>
      <w:r>
        <w:rPr>
          <w:rFonts w:ascii="Arial" w:eastAsia="Arial" w:hAnsi="Arial"/>
          <w:sz w:val="16"/>
        </w:rPr>
        <w:t xml:space="preserve"> ve smyslu Vyhlášky č. 108/2011 Sb. Zaplacením smluvní pokuty není dotčeno právo Zákazníka požadovat náhradu škody způsobené porušením povinnosti, na kterou se smluvní pokuta vztahuje, a to i ve výši přesahující smluvní pokutu. Obchodník výslovně prohlašuje, že je s výší smluvní pokuty srozuměn a považuje ji za zcela přiměřenou vzhledem ke svému závazku.</w:t>
      </w:r>
    </w:p>
    <w:p w:rsidR="000E6600" w:rsidRDefault="000E6600" w:rsidP="000E6600">
      <w:pPr>
        <w:spacing w:line="73" w:lineRule="exact"/>
        <w:rPr>
          <w:rFonts w:ascii="Arial" w:eastAsia="Arial" w:hAnsi="Arial"/>
          <w:b/>
          <w:sz w:val="16"/>
        </w:rPr>
      </w:pPr>
    </w:p>
    <w:p w:rsidR="000E6600" w:rsidRDefault="000E6600" w:rsidP="000E6600">
      <w:pPr>
        <w:numPr>
          <w:ilvl w:val="0"/>
          <w:numId w:val="14"/>
        </w:numPr>
        <w:tabs>
          <w:tab w:val="left" w:pos="284"/>
        </w:tabs>
        <w:spacing w:line="237" w:lineRule="auto"/>
        <w:ind w:left="1" w:hanging="1"/>
        <w:rPr>
          <w:rFonts w:ascii="Arial" w:eastAsia="Arial" w:hAnsi="Arial"/>
          <w:b/>
          <w:sz w:val="16"/>
        </w:rPr>
      </w:pPr>
      <w:r>
        <w:rPr>
          <w:rFonts w:ascii="Arial" w:eastAsia="Arial" w:hAnsi="Arial"/>
          <w:sz w:val="16"/>
        </w:rPr>
        <w:t>Vzniknou-li chyby nebo omyly při vyúčtování dodávek plynu nesprávným odečtem, početní chybou apod., mají Zákazník a Obchodník nárok na vyrovnání nesprávně vyúčtovaných částek. V případě chybného vyúčtování dodávky plynu uplatní Zákazník písemně reklamaci u Obchodníka do 30 dnů ode dne doručení faktury, jinak se má zato, že údaje ve vystavené faktuře jsou správné. K reklamacím uplatněným později nemusí Obchodník přihlížet. Uplatněná reklamace nemá odkladný účinek na splatnost vyúčtování. Pokud se jedná o reklamaci vyúčtování dodávky plynu, Obchodník reklamaci přezkoumá a písemně podá Zákazníkovi do 15 kalendářních dnů ode dne doručení reklamace zprávu o vyřízení reklamace. Je-li na základě reklamace vystaven opravný daňový doklad (opravná faktura), považuje se současně za informaci o výsledku reklamace. Pokud je reklamace Zákazníka shledána jako oprávněná, je Obchodník povinen ve lhůtě 30 dnů od doručení reklamace vypořádat rozdíly v platbách Zákazníka. Pokud se jedná o reklamaci vyúčtování platby za distribuci plynu, je Obchodník povinen do 15 kalendářních dnů ode dne obdržení reklamace Zákazníka vyúčtování platby za distribuci plynu reklamovat u příslušného PDS. Po dobu, po kterou reklamaci vyřizuje příslušný PDS, lhůty pro vyřízení reklamace a vypořádání rozdílu v platbách ze strany Obchodníka neběží. Pokud Obchodník v uvedených lhůtách reklamaci Zákazníka nevyřídí, je Zákazník oprávněn požadovat po Obchodníkovi náhradu za nedodržení standardu postupem dle vyhlášky č. 545/2006 Sb.</w:t>
      </w:r>
    </w:p>
    <w:p w:rsidR="000E6600" w:rsidRDefault="000E6600" w:rsidP="000E6600">
      <w:pPr>
        <w:spacing w:line="200" w:lineRule="exact"/>
        <w:rPr>
          <w:rFonts w:ascii="Times New Roman" w:eastAsia="Times New Roman" w:hAnsi="Times New Roman"/>
        </w:rPr>
      </w:pPr>
    </w:p>
    <w:p w:rsidR="000E6600" w:rsidRDefault="000E6600" w:rsidP="000E6600">
      <w:pPr>
        <w:spacing w:line="272" w:lineRule="exact"/>
        <w:rPr>
          <w:rFonts w:ascii="Times New Roman" w:eastAsia="Times New Roman" w:hAnsi="Times New Roman"/>
        </w:rPr>
      </w:pPr>
    </w:p>
    <w:p w:rsidR="000E6600" w:rsidRDefault="000E6600" w:rsidP="000E6600">
      <w:pPr>
        <w:spacing w:line="0" w:lineRule="atLeast"/>
        <w:jc w:val="center"/>
        <w:rPr>
          <w:rFonts w:ascii="Arial" w:eastAsia="Arial" w:hAnsi="Arial"/>
          <w:b/>
        </w:rPr>
      </w:pPr>
      <w:r>
        <w:rPr>
          <w:rFonts w:ascii="Arial" w:eastAsia="Arial" w:hAnsi="Arial"/>
        </w:rPr>
        <w:t xml:space="preserve">Stránka </w:t>
      </w:r>
      <w:r>
        <w:rPr>
          <w:rFonts w:ascii="Arial" w:eastAsia="Arial" w:hAnsi="Arial"/>
          <w:b/>
        </w:rPr>
        <w:t>5</w:t>
      </w:r>
      <w:r>
        <w:rPr>
          <w:rFonts w:ascii="Arial" w:eastAsia="Arial" w:hAnsi="Arial"/>
        </w:rPr>
        <w:t xml:space="preserve"> z </w:t>
      </w:r>
      <w:r>
        <w:rPr>
          <w:rFonts w:ascii="Arial" w:eastAsia="Arial" w:hAnsi="Arial"/>
          <w:b/>
        </w:rPr>
        <w:t>8</w:t>
      </w:r>
    </w:p>
    <w:p w:rsidR="000E6600" w:rsidRDefault="000E6600" w:rsidP="000E6600">
      <w:pPr>
        <w:rPr>
          <w:rFonts w:ascii="Arial" w:eastAsia="Arial" w:hAnsi="Arial"/>
          <w:b/>
        </w:rPr>
        <w:sectPr w:rsidR="000E6600">
          <w:pgSz w:w="11900" w:h="16838"/>
          <w:pgMar w:top="716" w:right="1426" w:bottom="375" w:left="1419" w:header="0" w:footer="0" w:gutter="0"/>
          <w:cols w:space="708"/>
        </w:sectPr>
      </w:pPr>
    </w:p>
    <w:p w:rsidR="000E6600" w:rsidRDefault="000E6600" w:rsidP="000E6600">
      <w:pPr>
        <w:tabs>
          <w:tab w:val="left" w:pos="7661"/>
        </w:tabs>
        <w:spacing w:line="0" w:lineRule="atLeast"/>
        <w:ind w:left="1"/>
        <w:rPr>
          <w:rFonts w:ascii="Arial" w:eastAsia="Arial" w:hAnsi="Arial"/>
          <w:sz w:val="15"/>
        </w:rPr>
      </w:pPr>
      <w:bookmarkStart w:id="4" w:name="page15"/>
      <w:bookmarkEnd w:id="4"/>
      <w:r>
        <w:rPr>
          <w:rFonts w:ascii="Arial" w:eastAsia="Arial" w:hAnsi="Arial"/>
          <w:sz w:val="16"/>
        </w:rPr>
        <w:lastRenderedPageBreak/>
        <w:t>ČÍSLO SMLOUVY OBCHODNÍKA:</w:t>
      </w:r>
      <w:r>
        <w:rPr>
          <w:sz w:val="19"/>
        </w:rPr>
        <w:t xml:space="preserve"> P001076</w:t>
      </w:r>
      <w:r>
        <w:rPr>
          <w:rFonts w:ascii="Times New Roman" w:eastAsia="Times New Roman" w:hAnsi="Times New Roman"/>
        </w:rPr>
        <w:tab/>
      </w:r>
      <w:r>
        <w:rPr>
          <w:rFonts w:ascii="Arial" w:eastAsia="Arial" w:hAnsi="Arial"/>
          <w:sz w:val="15"/>
        </w:rPr>
        <w:t>Příloha č. 2 ZD</w:t>
      </w:r>
    </w:p>
    <w:p w:rsidR="000E6600" w:rsidRDefault="000E6600" w:rsidP="000E6600">
      <w:pPr>
        <w:spacing w:line="124" w:lineRule="exact"/>
        <w:rPr>
          <w:rFonts w:ascii="Times New Roman" w:eastAsia="Times New Roman" w:hAnsi="Times New Roman"/>
        </w:rPr>
      </w:pPr>
    </w:p>
    <w:p w:rsidR="000E6600" w:rsidRDefault="000E6600" w:rsidP="000E6600">
      <w:pPr>
        <w:spacing w:line="0" w:lineRule="atLeast"/>
        <w:ind w:left="1"/>
        <w:rPr>
          <w:rFonts w:ascii="Arial" w:eastAsia="Arial" w:hAnsi="Arial"/>
          <w:sz w:val="16"/>
        </w:rPr>
      </w:pPr>
      <w:r>
        <w:rPr>
          <w:rFonts w:ascii="Arial" w:eastAsia="Arial" w:hAnsi="Arial"/>
          <w:sz w:val="16"/>
        </w:rPr>
        <w:t>ČÍSLO SMLOUVY ZÁKAZNÍKA:</w:t>
      </w:r>
    </w:p>
    <w:p w:rsidR="000E6600" w:rsidRDefault="000E6600" w:rsidP="000E6600">
      <w:pPr>
        <w:spacing w:line="200" w:lineRule="exact"/>
        <w:rPr>
          <w:rFonts w:ascii="Times New Roman" w:eastAsia="Times New Roman" w:hAnsi="Times New Roman"/>
        </w:rPr>
      </w:pPr>
    </w:p>
    <w:p w:rsidR="000E6600" w:rsidRDefault="000E6600" w:rsidP="000E6600">
      <w:pPr>
        <w:spacing w:line="217" w:lineRule="exact"/>
        <w:rPr>
          <w:rFonts w:ascii="Times New Roman" w:eastAsia="Times New Roman" w:hAnsi="Times New Roman"/>
        </w:rPr>
      </w:pPr>
    </w:p>
    <w:p w:rsidR="000E6600" w:rsidRDefault="000E6600" w:rsidP="000E6600">
      <w:pPr>
        <w:numPr>
          <w:ilvl w:val="0"/>
          <w:numId w:val="15"/>
        </w:numPr>
        <w:tabs>
          <w:tab w:val="left" w:pos="284"/>
        </w:tabs>
        <w:spacing w:line="256" w:lineRule="auto"/>
        <w:ind w:left="1" w:right="20" w:hanging="1"/>
        <w:rPr>
          <w:rFonts w:ascii="Arial" w:eastAsia="Arial" w:hAnsi="Arial"/>
          <w:b/>
          <w:sz w:val="15"/>
        </w:rPr>
      </w:pPr>
      <w:r>
        <w:rPr>
          <w:rFonts w:ascii="Arial" w:eastAsia="Arial" w:hAnsi="Arial"/>
          <w:sz w:val="15"/>
        </w:rPr>
        <w:t>Platby se provádějí v měně Kč, pokud se smluvní strany nedohodnou jinak. Bezhotovostní platby se provádějí z bankovních účtů vedených v Kč u peněžních ústavů působících na území České republiky. Pokud Zákazník poukáže platbu s nesprávným variabilním či konstantním symbolem nebo ji poukáže s jiným bankovním spojením, než je uvedeno na faktuře, může mu Obchodník platbu vrátit a účtovat příslušný úrok z prodlení splatné pohledávky až do obdržení správně umístěné platby.</w:t>
      </w:r>
    </w:p>
    <w:p w:rsidR="000E6600" w:rsidRDefault="000E6600" w:rsidP="000E6600">
      <w:pPr>
        <w:spacing w:line="52" w:lineRule="exact"/>
        <w:rPr>
          <w:rFonts w:ascii="Arial" w:eastAsia="Arial" w:hAnsi="Arial"/>
          <w:b/>
          <w:sz w:val="15"/>
        </w:rPr>
      </w:pPr>
    </w:p>
    <w:p w:rsidR="000E6600" w:rsidRDefault="000E6600" w:rsidP="000E6600">
      <w:pPr>
        <w:numPr>
          <w:ilvl w:val="0"/>
          <w:numId w:val="15"/>
        </w:numPr>
        <w:tabs>
          <w:tab w:val="left" w:pos="284"/>
        </w:tabs>
        <w:spacing w:line="235" w:lineRule="auto"/>
        <w:ind w:left="1" w:right="460" w:hanging="1"/>
        <w:rPr>
          <w:rFonts w:ascii="Arial" w:eastAsia="Arial" w:hAnsi="Arial"/>
          <w:b/>
          <w:sz w:val="16"/>
        </w:rPr>
      </w:pPr>
      <w:r>
        <w:rPr>
          <w:rFonts w:ascii="Arial" w:eastAsia="Arial" w:hAnsi="Arial"/>
          <w:sz w:val="16"/>
        </w:rPr>
        <w:t>Nastane-li prodlení s úhradou kterékoli splatné pohledávky vyplývající ze smluvních vztahů a poskytnutých služeb dle Smlouvy, je Smluvní strana (dlužník), která je v prodlení, povinna zaplatit druhé Smluvní straně (věřiteli) zákonný úrok z prodlení ve výši stanovené příslušným obecně závazným právním předpisem.</w:t>
      </w:r>
    </w:p>
    <w:p w:rsidR="000E6600" w:rsidRDefault="000E6600" w:rsidP="000E6600">
      <w:pPr>
        <w:spacing w:line="66" w:lineRule="exact"/>
        <w:rPr>
          <w:rFonts w:ascii="Arial" w:eastAsia="Arial" w:hAnsi="Arial"/>
          <w:b/>
          <w:sz w:val="16"/>
        </w:rPr>
      </w:pPr>
    </w:p>
    <w:p w:rsidR="000E6600" w:rsidRDefault="000E6600" w:rsidP="000E6600">
      <w:pPr>
        <w:numPr>
          <w:ilvl w:val="0"/>
          <w:numId w:val="15"/>
        </w:numPr>
        <w:tabs>
          <w:tab w:val="left" w:pos="284"/>
        </w:tabs>
        <w:spacing w:line="235" w:lineRule="auto"/>
        <w:ind w:left="1" w:right="40" w:hanging="1"/>
        <w:rPr>
          <w:rFonts w:ascii="Arial" w:eastAsia="Arial" w:hAnsi="Arial"/>
          <w:b/>
          <w:sz w:val="16"/>
        </w:rPr>
      </w:pPr>
      <w:r>
        <w:rPr>
          <w:rFonts w:ascii="Arial" w:eastAsia="Arial" w:hAnsi="Arial"/>
          <w:sz w:val="16"/>
        </w:rPr>
        <w:t>Obchodník má právo účtovat Zákazníkovi náklady za úkony spojené s plněním Smlouvy, které budou vyvolány Zákazníkem nebo za úkony, které vznikly z důvodů na jeho straně (zejména náklady spojené s přerušením a obnovením dodávky plynu v případě neoprávněného odběru).</w:t>
      </w:r>
    </w:p>
    <w:p w:rsidR="000E6600" w:rsidRDefault="000E6600" w:rsidP="000E6600">
      <w:pPr>
        <w:spacing w:line="66" w:lineRule="exact"/>
        <w:rPr>
          <w:rFonts w:ascii="Arial" w:eastAsia="Arial" w:hAnsi="Arial"/>
          <w:b/>
          <w:sz w:val="16"/>
        </w:rPr>
      </w:pPr>
    </w:p>
    <w:p w:rsidR="000E6600" w:rsidRDefault="000E6600" w:rsidP="000E6600">
      <w:pPr>
        <w:numPr>
          <w:ilvl w:val="0"/>
          <w:numId w:val="15"/>
        </w:numPr>
        <w:tabs>
          <w:tab w:val="left" w:pos="284"/>
        </w:tabs>
        <w:spacing w:line="237" w:lineRule="auto"/>
        <w:ind w:left="1" w:hanging="1"/>
        <w:rPr>
          <w:rFonts w:ascii="Arial" w:eastAsia="Arial" w:hAnsi="Arial"/>
          <w:b/>
          <w:sz w:val="16"/>
        </w:rPr>
      </w:pPr>
      <w:r>
        <w:rPr>
          <w:rFonts w:ascii="Arial" w:eastAsia="Arial" w:hAnsi="Arial"/>
          <w:sz w:val="16"/>
        </w:rPr>
        <w:t>Požaduje-li Zákazník, kterému to nevyplývá bez dalšího přímo ze zákona, dodávku plynu osvobozenou od daně z plynu a je držitelem oprávnění k nabytí plynu osvobozeného od daně tak, jak stanovuje příslušný právní předpis, musí Zákazník tuto skutečnost Obchodníkovi věrohodným způsobem a včas před datem dodání plynu doložit. Pokud Zákazník takto nabytý plyn osvobozený od daně z plynu užije pro jiné účely, než stanoví příslušný právní předpis pro jeho osvobození, je povinen takto odebraný plyn příslušnému správci daně přiznat a zaplatit daň. Pozbude-li Zákazník oprávnění nabývat plyn osvobozený od daně z plynu, případně dojde k jeho změně, musí tuto skutečnost neprodleně písemně oznámit Obchodníkovi. Zákazník odpovídá Obchodníkovi za jakékoli porušení povinnosti stanovené obecně závaznými právními předpisy v souvislosti s nabytím a užitím plynu osvobozeného od daně, ze kterého Obchodníkovi vznikne škoda. Zákazník takto vzniklou škodu nahradí Obchodníkovi.</w:t>
      </w:r>
    </w:p>
    <w:p w:rsidR="000E6600" w:rsidRDefault="000E6600" w:rsidP="000E6600">
      <w:pPr>
        <w:spacing w:line="73" w:lineRule="exact"/>
        <w:rPr>
          <w:rFonts w:ascii="Arial" w:eastAsia="Arial" w:hAnsi="Arial"/>
          <w:b/>
          <w:sz w:val="16"/>
        </w:rPr>
      </w:pPr>
    </w:p>
    <w:p w:rsidR="000E6600" w:rsidRDefault="000E6600" w:rsidP="000E6600">
      <w:pPr>
        <w:numPr>
          <w:ilvl w:val="0"/>
          <w:numId w:val="15"/>
        </w:numPr>
        <w:tabs>
          <w:tab w:val="left" w:pos="284"/>
        </w:tabs>
        <w:spacing w:line="235" w:lineRule="auto"/>
        <w:ind w:left="1" w:right="240" w:hanging="1"/>
        <w:rPr>
          <w:rFonts w:ascii="Arial" w:eastAsia="Arial" w:hAnsi="Arial"/>
          <w:b/>
          <w:sz w:val="16"/>
        </w:rPr>
      </w:pPr>
      <w:r>
        <w:rPr>
          <w:rFonts w:ascii="Arial" w:eastAsia="Arial" w:hAnsi="Arial"/>
          <w:sz w:val="16"/>
        </w:rPr>
        <w:t>Smluvní strany prohlašují, že nesplnění povinnosti kterékoliv platby podle předchozích ustanovení čl. V. ani po písemné výzvě k zaplacení, budou považovat za podstatné porušení této Smlouvy; tato písemná výzva může obsahovat upozornění Zákazníka na postup Obchodníka podle čl. VII. Smlouvy; nesplní-li ani opakovaně písemné výzvy Obchodníka Zákazníkovi k zaplacení dlužné částky opravňuje Obchodníka k postupu podle čl. VIII. odst. 3.a) Smlouvy.</w:t>
      </w:r>
    </w:p>
    <w:p w:rsidR="000E6600" w:rsidRDefault="000E6600" w:rsidP="000E6600">
      <w:pPr>
        <w:spacing w:line="68" w:lineRule="exact"/>
        <w:rPr>
          <w:rFonts w:ascii="Arial" w:eastAsia="Arial" w:hAnsi="Arial"/>
          <w:b/>
          <w:sz w:val="16"/>
        </w:rPr>
      </w:pPr>
    </w:p>
    <w:p w:rsidR="000E6600" w:rsidRDefault="000E6600" w:rsidP="000E6600">
      <w:pPr>
        <w:numPr>
          <w:ilvl w:val="0"/>
          <w:numId w:val="15"/>
        </w:numPr>
        <w:tabs>
          <w:tab w:val="left" w:pos="284"/>
        </w:tabs>
        <w:spacing w:line="237" w:lineRule="auto"/>
        <w:ind w:left="1" w:right="100" w:hanging="1"/>
        <w:rPr>
          <w:rFonts w:ascii="Arial" w:eastAsia="Arial" w:hAnsi="Arial"/>
          <w:b/>
          <w:sz w:val="16"/>
        </w:rPr>
      </w:pPr>
      <w:r>
        <w:rPr>
          <w:rFonts w:ascii="Arial" w:eastAsia="Arial" w:hAnsi="Arial"/>
          <w:sz w:val="16"/>
        </w:rPr>
        <w:t>V případě, že při změně dodavatele plynu ve prospěch Obchodníka nastane stav, při němž bude odběr plynu Zákazníkem realizován bez smluvního subjektu zúčtování evidovaného pro jeho odběrné místo a tento stav nebude trvat delší dobu než 10 pracovních dnů, bude tímto subjektem zúčtování se zpětnou účinností Obchodník za předpokladu, že se změna dodavatele ve prospěch Obchodníka stane účinnou. Pro tento případ se smluvní strany dohodly, že komoditní cena plynu, která bude Zákazníkovi za takové období účtována, bude stejná (resp. bude vypočtena podle stejného principu) jako cena sjednaná ve Smlouvě o sdružených službách dodávky plynu uzavřené mezi Zákazníkem a Obchodníkem, která je platná pro smluvní období.</w:t>
      </w:r>
    </w:p>
    <w:p w:rsidR="000E6600" w:rsidRDefault="000E6600" w:rsidP="000E6600">
      <w:pPr>
        <w:spacing w:line="359" w:lineRule="exact"/>
        <w:rPr>
          <w:rFonts w:ascii="Times New Roman" w:eastAsia="Times New Roman" w:hAnsi="Times New Roman"/>
        </w:rPr>
      </w:pPr>
    </w:p>
    <w:p w:rsidR="000E6600" w:rsidRDefault="000E6600" w:rsidP="000E6600">
      <w:pPr>
        <w:spacing w:line="0" w:lineRule="atLeast"/>
        <w:jc w:val="center"/>
        <w:rPr>
          <w:rFonts w:ascii="Arial" w:eastAsia="Arial" w:hAnsi="Arial"/>
          <w:b/>
          <w:sz w:val="16"/>
        </w:rPr>
      </w:pPr>
      <w:r>
        <w:rPr>
          <w:rFonts w:ascii="Arial" w:eastAsia="Arial" w:hAnsi="Arial"/>
          <w:b/>
          <w:sz w:val="16"/>
        </w:rPr>
        <w:t>VI. Regulace odběru plynu</w:t>
      </w:r>
    </w:p>
    <w:p w:rsidR="000E6600" w:rsidRDefault="000E6600" w:rsidP="000E6600">
      <w:pPr>
        <w:spacing w:line="129" w:lineRule="exact"/>
        <w:rPr>
          <w:rFonts w:ascii="Times New Roman" w:eastAsia="Times New Roman" w:hAnsi="Times New Roman"/>
        </w:rPr>
      </w:pPr>
    </w:p>
    <w:p w:rsidR="000E6600" w:rsidRDefault="000E6600" w:rsidP="000E6600">
      <w:pPr>
        <w:numPr>
          <w:ilvl w:val="0"/>
          <w:numId w:val="16"/>
        </w:numPr>
        <w:tabs>
          <w:tab w:val="left" w:pos="284"/>
        </w:tabs>
        <w:spacing w:line="235" w:lineRule="auto"/>
        <w:ind w:left="1" w:right="260" w:hanging="1"/>
        <w:rPr>
          <w:rFonts w:ascii="Arial" w:eastAsia="Arial" w:hAnsi="Arial"/>
          <w:b/>
          <w:sz w:val="16"/>
        </w:rPr>
      </w:pPr>
      <w:r>
        <w:rPr>
          <w:rFonts w:ascii="Arial" w:eastAsia="Arial" w:hAnsi="Arial"/>
          <w:sz w:val="16"/>
        </w:rPr>
        <w:t>Zákazník je povinen řídit se pokyny PDS, popř. provozovatele přepravní soustavy, k regulaci dodávky plynu a strpět jeho oprávnění k provedení omezení nebo přerušení dodávek plynu v případech stanovených právním předpisem nebo Pravidly přepravy, distribuce a skladování.</w:t>
      </w:r>
    </w:p>
    <w:p w:rsidR="000E6600" w:rsidRDefault="000E6600" w:rsidP="000E6600">
      <w:pPr>
        <w:spacing w:line="69" w:lineRule="exact"/>
        <w:rPr>
          <w:rFonts w:ascii="Arial" w:eastAsia="Arial" w:hAnsi="Arial"/>
          <w:b/>
          <w:sz w:val="16"/>
        </w:rPr>
      </w:pPr>
    </w:p>
    <w:p w:rsidR="000E6600" w:rsidRDefault="000E6600" w:rsidP="000E6600">
      <w:pPr>
        <w:numPr>
          <w:ilvl w:val="0"/>
          <w:numId w:val="16"/>
        </w:numPr>
        <w:tabs>
          <w:tab w:val="left" w:pos="284"/>
        </w:tabs>
        <w:spacing w:line="254" w:lineRule="auto"/>
        <w:ind w:left="1" w:right="320" w:hanging="1"/>
        <w:rPr>
          <w:rFonts w:ascii="Arial" w:eastAsia="Arial" w:hAnsi="Arial"/>
          <w:b/>
          <w:sz w:val="15"/>
        </w:rPr>
      </w:pPr>
      <w:r>
        <w:rPr>
          <w:rFonts w:ascii="Arial" w:eastAsia="Arial" w:hAnsi="Arial"/>
          <w:sz w:val="15"/>
        </w:rPr>
        <w:t>Způsob vyhodnocování odběru plynu a povinnosti Zákazníka omezit nebo přerušit odběr plynu při stavech nouze v plynárenství a při předcházení jejich vzniku se řídí příslušným prováděcím předpisem k Energetickému zákonu (Vyhláška č.</w:t>
      </w:r>
    </w:p>
    <w:p w:rsidR="000E6600" w:rsidRDefault="000E6600" w:rsidP="000E6600">
      <w:pPr>
        <w:spacing w:line="0" w:lineRule="atLeast"/>
        <w:ind w:left="1"/>
        <w:rPr>
          <w:rFonts w:ascii="Arial" w:eastAsia="Arial" w:hAnsi="Arial"/>
          <w:sz w:val="16"/>
        </w:rPr>
      </w:pPr>
      <w:r>
        <w:rPr>
          <w:rFonts w:ascii="Arial" w:eastAsia="Arial" w:hAnsi="Arial"/>
          <w:sz w:val="16"/>
        </w:rPr>
        <w:t>344/2012 Sb.).</w:t>
      </w:r>
    </w:p>
    <w:p w:rsidR="000E6600" w:rsidRDefault="000E6600" w:rsidP="000E6600">
      <w:pPr>
        <w:spacing w:line="361" w:lineRule="exact"/>
        <w:rPr>
          <w:rFonts w:ascii="Times New Roman" w:eastAsia="Times New Roman" w:hAnsi="Times New Roman"/>
        </w:rPr>
      </w:pPr>
    </w:p>
    <w:p w:rsidR="000E6600" w:rsidRDefault="000E6600" w:rsidP="000E6600">
      <w:pPr>
        <w:spacing w:line="0" w:lineRule="atLeast"/>
        <w:jc w:val="center"/>
        <w:rPr>
          <w:rFonts w:ascii="Arial" w:eastAsia="Arial" w:hAnsi="Arial"/>
          <w:b/>
          <w:sz w:val="16"/>
        </w:rPr>
      </w:pPr>
      <w:r>
        <w:rPr>
          <w:rFonts w:ascii="Arial" w:eastAsia="Arial" w:hAnsi="Arial"/>
          <w:b/>
          <w:sz w:val="16"/>
        </w:rPr>
        <w:t>VII. Omezení a přerušení dodávek plynu</w:t>
      </w:r>
    </w:p>
    <w:p w:rsidR="000E6600" w:rsidRDefault="000E6600" w:rsidP="000E6600">
      <w:pPr>
        <w:spacing w:line="126" w:lineRule="exact"/>
        <w:rPr>
          <w:rFonts w:ascii="Times New Roman" w:eastAsia="Times New Roman" w:hAnsi="Times New Roman"/>
        </w:rPr>
      </w:pPr>
    </w:p>
    <w:p w:rsidR="000E6600" w:rsidRDefault="000E6600" w:rsidP="000E6600">
      <w:pPr>
        <w:numPr>
          <w:ilvl w:val="0"/>
          <w:numId w:val="17"/>
        </w:numPr>
        <w:tabs>
          <w:tab w:val="left" w:pos="284"/>
        </w:tabs>
        <w:spacing w:line="232" w:lineRule="auto"/>
        <w:ind w:left="1" w:right="320" w:hanging="1"/>
        <w:rPr>
          <w:rFonts w:ascii="Arial" w:eastAsia="Arial" w:hAnsi="Arial"/>
          <w:b/>
          <w:sz w:val="16"/>
        </w:rPr>
      </w:pPr>
      <w:r>
        <w:rPr>
          <w:rFonts w:ascii="Arial" w:eastAsia="Arial" w:hAnsi="Arial"/>
          <w:sz w:val="16"/>
        </w:rPr>
        <w:t>Obchodník nebo příslušný PDS mají právo omezit nebo přerušit v nezbytném rozsahu dodávky plynu v OM v případech stanovených Energetickým zákonem, zejména při neoprávněném odběru.</w:t>
      </w:r>
    </w:p>
    <w:p w:rsidR="000E6600" w:rsidRDefault="000E6600" w:rsidP="000E6600">
      <w:pPr>
        <w:spacing w:line="129" w:lineRule="exact"/>
        <w:rPr>
          <w:rFonts w:ascii="Arial" w:eastAsia="Arial" w:hAnsi="Arial"/>
          <w:b/>
          <w:sz w:val="16"/>
        </w:rPr>
      </w:pPr>
    </w:p>
    <w:p w:rsidR="000E6600" w:rsidRDefault="000E6600" w:rsidP="000E6600">
      <w:pPr>
        <w:numPr>
          <w:ilvl w:val="0"/>
          <w:numId w:val="17"/>
        </w:numPr>
        <w:tabs>
          <w:tab w:val="left" w:pos="284"/>
        </w:tabs>
        <w:spacing w:line="232" w:lineRule="auto"/>
        <w:ind w:left="1" w:right="20" w:hanging="1"/>
        <w:rPr>
          <w:rFonts w:ascii="Arial" w:eastAsia="Arial" w:hAnsi="Arial"/>
          <w:b/>
          <w:sz w:val="16"/>
        </w:rPr>
      </w:pPr>
      <w:r>
        <w:rPr>
          <w:rFonts w:ascii="Arial" w:eastAsia="Arial" w:hAnsi="Arial"/>
          <w:sz w:val="16"/>
        </w:rPr>
        <w:t>Obchodník je oprávněn z důvodu neplacení ceny za sdružené služby nebo záloh na sdružené služby dodávky plynu ukončit nebo přerušit dodávku plynu v OM, pro která je uzavřena Smlouva, jestliže Zákazník:</w:t>
      </w:r>
    </w:p>
    <w:p w:rsidR="000E6600" w:rsidRDefault="000E6600" w:rsidP="000E6600">
      <w:pPr>
        <w:spacing w:line="2" w:lineRule="exact"/>
        <w:rPr>
          <w:rFonts w:ascii="Arial" w:eastAsia="Arial" w:hAnsi="Arial"/>
          <w:b/>
          <w:sz w:val="16"/>
        </w:rPr>
      </w:pPr>
    </w:p>
    <w:p w:rsidR="000E6600" w:rsidRDefault="000E6600" w:rsidP="000E6600">
      <w:pPr>
        <w:numPr>
          <w:ilvl w:val="1"/>
          <w:numId w:val="17"/>
        </w:numPr>
        <w:tabs>
          <w:tab w:val="left" w:pos="561"/>
        </w:tabs>
        <w:spacing w:line="0" w:lineRule="atLeast"/>
        <w:ind w:left="561" w:hanging="278"/>
        <w:rPr>
          <w:rFonts w:ascii="Arial" w:eastAsia="Arial" w:hAnsi="Arial"/>
          <w:sz w:val="16"/>
        </w:rPr>
      </w:pPr>
      <w:r>
        <w:rPr>
          <w:rFonts w:ascii="Arial" w:eastAsia="Arial" w:hAnsi="Arial"/>
          <w:sz w:val="16"/>
        </w:rPr>
        <w:t>opakovaně nedodrží smluvený způsob platby za odebraný plyn včetně záloh;</w:t>
      </w:r>
    </w:p>
    <w:p w:rsidR="000E6600" w:rsidRDefault="000E6600" w:rsidP="000E6600">
      <w:pPr>
        <w:numPr>
          <w:ilvl w:val="1"/>
          <w:numId w:val="17"/>
        </w:numPr>
        <w:tabs>
          <w:tab w:val="left" w:pos="561"/>
        </w:tabs>
        <w:spacing w:line="0" w:lineRule="atLeast"/>
        <w:ind w:left="561" w:hanging="278"/>
        <w:rPr>
          <w:rFonts w:ascii="Arial" w:eastAsia="Arial" w:hAnsi="Arial"/>
          <w:sz w:val="16"/>
        </w:rPr>
      </w:pPr>
      <w:r>
        <w:rPr>
          <w:rFonts w:ascii="Arial" w:eastAsia="Arial" w:hAnsi="Arial"/>
          <w:sz w:val="16"/>
        </w:rPr>
        <w:t>neplní platební povinnosti vyplývající z výsledků vyhodnocení a zúčtování skutečného odběru.</w:t>
      </w:r>
    </w:p>
    <w:p w:rsidR="000E6600" w:rsidRDefault="000E6600" w:rsidP="000E6600">
      <w:pPr>
        <w:spacing w:line="66" w:lineRule="exact"/>
        <w:rPr>
          <w:rFonts w:ascii="Arial" w:eastAsia="Arial" w:hAnsi="Arial"/>
          <w:sz w:val="16"/>
        </w:rPr>
      </w:pPr>
    </w:p>
    <w:p w:rsidR="000E6600" w:rsidRDefault="000E6600" w:rsidP="000E6600">
      <w:pPr>
        <w:numPr>
          <w:ilvl w:val="0"/>
          <w:numId w:val="17"/>
        </w:numPr>
        <w:tabs>
          <w:tab w:val="left" w:pos="284"/>
        </w:tabs>
        <w:spacing w:line="237" w:lineRule="auto"/>
        <w:ind w:left="1" w:right="20" w:hanging="1"/>
        <w:rPr>
          <w:rFonts w:ascii="Arial" w:eastAsia="Arial" w:hAnsi="Arial"/>
          <w:b/>
          <w:sz w:val="16"/>
        </w:rPr>
      </w:pPr>
      <w:r>
        <w:rPr>
          <w:rFonts w:ascii="Arial" w:eastAsia="Arial" w:hAnsi="Arial"/>
          <w:sz w:val="16"/>
        </w:rPr>
        <w:t>Omezením nebo přerušením dodávek plynu v těchto případech nevzniká Zákazníkovi právo na náhradu škody a ušlého zisku vůči Obchodníkovi nebo příslušném PDS. To neplatí, nesplní-li Obchodník nebo příslušný PDS své zákonné povinnosti. Zákazník je povinen nahradit Obchodníkovi a PDS náklady vynaložené na přerušení a obnovení dodávky plynu z důvodu svého prodlení se splněním závazku a náklady spojené s vymáháním pohledávky.</w:t>
      </w:r>
    </w:p>
    <w:p w:rsidR="000E6600" w:rsidRDefault="000E6600" w:rsidP="000E6600">
      <w:pPr>
        <w:spacing w:line="359" w:lineRule="exact"/>
        <w:rPr>
          <w:rFonts w:ascii="Times New Roman" w:eastAsia="Times New Roman" w:hAnsi="Times New Roman"/>
        </w:rPr>
      </w:pPr>
    </w:p>
    <w:p w:rsidR="000E6600" w:rsidRDefault="000E6600" w:rsidP="000E6600">
      <w:pPr>
        <w:spacing w:line="0" w:lineRule="atLeast"/>
        <w:jc w:val="center"/>
        <w:rPr>
          <w:rFonts w:ascii="Arial" w:eastAsia="Arial" w:hAnsi="Arial"/>
          <w:b/>
          <w:sz w:val="16"/>
        </w:rPr>
      </w:pPr>
      <w:r>
        <w:rPr>
          <w:rFonts w:ascii="Arial" w:eastAsia="Arial" w:hAnsi="Arial"/>
          <w:b/>
          <w:sz w:val="16"/>
        </w:rPr>
        <w:t>VIII. Ukončení Smlouvy a dodávky plynu</w:t>
      </w:r>
    </w:p>
    <w:p w:rsidR="000E6600" w:rsidRDefault="000E6600" w:rsidP="000E6600">
      <w:pPr>
        <w:spacing w:line="129" w:lineRule="exact"/>
        <w:rPr>
          <w:rFonts w:ascii="Times New Roman" w:eastAsia="Times New Roman" w:hAnsi="Times New Roman"/>
        </w:rPr>
      </w:pPr>
    </w:p>
    <w:p w:rsidR="000E6600" w:rsidRDefault="000E6600" w:rsidP="000E6600">
      <w:pPr>
        <w:numPr>
          <w:ilvl w:val="0"/>
          <w:numId w:val="18"/>
        </w:numPr>
        <w:tabs>
          <w:tab w:val="left" w:pos="284"/>
        </w:tabs>
        <w:spacing w:line="232" w:lineRule="auto"/>
        <w:ind w:left="1" w:hanging="1"/>
        <w:rPr>
          <w:rFonts w:ascii="Arial" w:eastAsia="Arial" w:hAnsi="Arial"/>
          <w:b/>
          <w:sz w:val="16"/>
        </w:rPr>
      </w:pPr>
      <w:r>
        <w:rPr>
          <w:rFonts w:ascii="Arial" w:eastAsia="Arial" w:hAnsi="Arial"/>
          <w:sz w:val="16"/>
        </w:rPr>
        <w:t>Smlouva může být ukončena dohodou smluvních stran, a to zejména v případech, kdy Zákazník fakticky ukončí odběr v OM (z důvodu stěhování, ukončení činnosti atd.).</w:t>
      </w:r>
    </w:p>
    <w:p w:rsidR="000E6600" w:rsidRDefault="000E6600" w:rsidP="000E6600">
      <w:pPr>
        <w:spacing w:line="127" w:lineRule="exact"/>
        <w:rPr>
          <w:rFonts w:ascii="Arial" w:eastAsia="Arial" w:hAnsi="Arial"/>
          <w:b/>
          <w:sz w:val="16"/>
        </w:rPr>
      </w:pPr>
    </w:p>
    <w:p w:rsidR="000E6600" w:rsidRDefault="000E6600" w:rsidP="000E6600">
      <w:pPr>
        <w:numPr>
          <w:ilvl w:val="0"/>
          <w:numId w:val="18"/>
        </w:numPr>
        <w:tabs>
          <w:tab w:val="left" w:pos="284"/>
        </w:tabs>
        <w:spacing w:line="232" w:lineRule="auto"/>
        <w:ind w:left="1" w:right="540" w:hanging="1"/>
        <w:rPr>
          <w:rFonts w:ascii="Arial" w:eastAsia="Arial" w:hAnsi="Arial"/>
          <w:b/>
          <w:sz w:val="16"/>
        </w:rPr>
      </w:pPr>
      <w:r>
        <w:rPr>
          <w:rFonts w:ascii="Arial" w:eastAsia="Arial" w:hAnsi="Arial"/>
          <w:sz w:val="16"/>
        </w:rPr>
        <w:t>Účinnost Smlouvy, nebo její části v případě dodávky do více OM, skončí ukončením připojení OM místa k distribuční soustavě.</w:t>
      </w:r>
    </w:p>
    <w:p w:rsidR="000E6600" w:rsidRDefault="000E6600" w:rsidP="000E6600">
      <w:pPr>
        <w:spacing w:line="121" w:lineRule="exact"/>
        <w:rPr>
          <w:rFonts w:ascii="Arial" w:eastAsia="Arial" w:hAnsi="Arial"/>
          <w:b/>
          <w:sz w:val="16"/>
        </w:rPr>
      </w:pPr>
    </w:p>
    <w:p w:rsidR="000E6600" w:rsidRDefault="000E6600" w:rsidP="000E6600">
      <w:pPr>
        <w:numPr>
          <w:ilvl w:val="0"/>
          <w:numId w:val="18"/>
        </w:numPr>
        <w:tabs>
          <w:tab w:val="left" w:pos="281"/>
        </w:tabs>
        <w:spacing w:line="0" w:lineRule="atLeast"/>
        <w:ind w:left="281" w:hanging="281"/>
        <w:rPr>
          <w:rFonts w:ascii="Arial" w:eastAsia="Arial" w:hAnsi="Arial"/>
          <w:b/>
          <w:sz w:val="16"/>
        </w:rPr>
      </w:pPr>
      <w:r>
        <w:rPr>
          <w:rFonts w:ascii="Arial" w:eastAsia="Arial" w:hAnsi="Arial"/>
          <w:sz w:val="16"/>
        </w:rPr>
        <w:t>Obchodník je oprávněn od Smlouvy odstoupit:</w:t>
      </w:r>
    </w:p>
    <w:p w:rsidR="000E6600" w:rsidRDefault="000E6600" w:rsidP="000E6600">
      <w:pPr>
        <w:spacing w:line="126" w:lineRule="exact"/>
        <w:rPr>
          <w:rFonts w:ascii="Arial" w:eastAsia="Arial" w:hAnsi="Arial"/>
          <w:b/>
          <w:sz w:val="16"/>
        </w:rPr>
      </w:pPr>
    </w:p>
    <w:p w:rsidR="000E6600" w:rsidRDefault="000E6600" w:rsidP="000E6600">
      <w:pPr>
        <w:numPr>
          <w:ilvl w:val="1"/>
          <w:numId w:val="18"/>
        </w:numPr>
        <w:tabs>
          <w:tab w:val="left" w:pos="561"/>
        </w:tabs>
        <w:spacing w:line="235" w:lineRule="auto"/>
        <w:ind w:left="561" w:right="120" w:hanging="278"/>
        <w:rPr>
          <w:rFonts w:ascii="Arial" w:eastAsia="Arial" w:hAnsi="Arial"/>
          <w:sz w:val="16"/>
        </w:rPr>
      </w:pPr>
      <w:r>
        <w:rPr>
          <w:rFonts w:ascii="Arial" w:eastAsia="Arial" w:hAnsi="Arial"/>
          <w:sz w:val="16"/>
        </w:rPr>
        <w:t>v případě opakovaného podstatného porušení Smlouvy ze strany Zákazníka, zejména v případě, že Zákazník je v prodlení s placením za sdružené služby dodávky plynu déle než 30 dnů, a v dalších případech stanovených Smlouvou či OPD. Odstoupení je třeba učinit v písemné formě a doručit ho Zákazníkovi. Odstoupení je účinné 7. dnem, nebo později určeným dnem, po doručení oznámení o odstoupení Zákazníkovi.</w:t>
      </w:r>
    </w:p>
    <w:p w:rsidR="000E6600" w:rsidRDefault="000E6600" w:rsidP="000E6600">
      <w:pPr>
        <w:spacing w:line="69" w:lineRule="exact"/>
        <w:rPr>
          <w:rFonts w:ascii="Arial" w:eastAsia="Arial" w:hAnsi="Arial"/>
          <w:sz w:val="16"/>
        </w:rPr>
      </w:pPr>
    </w:p>
    <w:p w:rsidR="000E6600" w:rsidRDefault="000E6600" w:rsidP="000E6600">
      <w:pPr>
        <w:numPr>
          <w:ilvl w:val="1"/>
          <w:numId w:val="18"/>
        </w:numPr>
        <w:tabs>
          <w:tab w:val="left" w:pos="561"/>
        </w:tabs>
        <w:spacing w:line="232" w:lineRule="auto"/>
        <w:ind w:left="561" w:right="300" w:hanging="278"/>
        <w:rPr>
          <w:rFonts w:ascii="Arial" w:eastAsia="Arial" w:hAnsi="Arial"/>
          <w:sz w:val="16"/>
        </w:rPr>
      </w:pPr>
      <w:r>
        <w:rPr>
          <w:rFonts w:ascii="Arial" w:eastAsia="Arial" w:hAnsi="Arial"/>
          <w:sz w:val="16"/>
        </w:rPr>
        <w:t xml:space="preserve">v případě, že se Zákazník dostane do úpadku ve smyslu </w:t>
      </w:r>
      <w:proofErr w:type="spellStart"/>
      <w:r>
        <w:rPr>
          <w:rFonts w:ascii="Arial" w:eastAsia="Arial" w:hAnsi="Arial"/>
          <w:sz w:val="16"/>
        </w:rPr>
        <w:t>ust</w:t>
      </w:r>
      <w:proofErr w:type="spellEnd"/>
      <w:r>
        <w:rPr>
          <w:rFonts w:ascii="Arial" w:eastAsia="Arial" w:hAnsi="Arial"/>
          <w:sz w:val="16"/>
        </w:rPr>
        <w:t>. § 3 Insolvenčního zákona. Odstoupení je účinné dnem doručení písemného oznámení o odstoupení Zákazníkovi.</w:t>
      </w:r>
    </w:p>
    <w:p w:rsidR="000E6600" w:rsidRDefault="000E6600" w:rsidP="000E6600">
      <w:pPr>
        <w:spacing w:line="200" w:lineRule="exact"/>
        <w:rPr>
          <w:rFonts w:ascii="Times New Roman" w:eastAsia="Times New Roman" w:hAnsi="Times New Roman"/>
        </w:rPr>
      </w:pPr>
    </w:p>
    <w:p w:rsidR="000E6600" w:rsidRDefault="000E6600" w:rsidP="000E6600">
      <w:pPr>
        <w:spacing w:line="361" w:lineRule="exact"/>
        <w:rPr>
          <w:rFonts w:ascii="Times New Roman" w:eastAsia="Times New Roman" w:hAnsi="Times New Roman"/>
        </w:rPr>
      </w:pPr>
    </w:p>
    <w:p w:rsidR="000E6600" w:rsidRDefault="000E6600" w:rsidP="000E6600">
      <w:pPr>
        <w:spacing w:line="0" w:lineRule="atLeast"/>
        <w:jc w:val="center"/>
        <w:rPr>
          <w:rFonts w:ascii="Arial" w:eastAsia="Arial" w:hAnsi="Arial"/>
          <w:b/>
        </w:rPr>
      </w:pPr>
      <w:r>
        <w:rPr>
          <w:rFonts w:ascii="Arial" w:eastAsia="Arial" w:hAnsi="Arial"/>
        </w:rPr>
        <w:t xml:space="preserve">Stránka </w:t>
      </w:r>
      <w:r>
        <w:rPr>
          <w:rFonts w:ascii="Arial" w:eastAsia="Arial" w:hAnsi="Arial"/>
          <w:b/>
        </w:rPr>
        <w:t>6</w:t>
      </w:r>
      <w:r>
        <w:rPr>
          <w:rFonts w:ascii="Arial" w:eastAsia="Arial" w:hAnsi="Arial"/>
        </w:rPr>
        <w:t xml:space="preserve"> z </w:t>
      </w:r>
      <w:r>
        <w:rPr>
          <w:rFonts w:ascii="Arial" w:eastAsia="Arial" w:hAnsi="Arial"/>
          <w:b/>
        </w:rPr>
        <w:t>8</w:t>
      </w:r>
    </w:p>
    <w:p w:rsidR="000E6600" w:rsidRDefault="000E6600" w:rsidP="000E6600">
      <w:pPr>
        <w:rPr>
          <w:rFonts w:ascii="Arial" w:eastAsia="Arial" w:hAnsi="Arial"/>
          <w:b/>
        </w:rPr>
        <w:sectPr w:rsidR="000E6600">
          <w:pgSz w:w="11900" w:h="16838"/>
          <w:pgMar w:top="716" w:right="1426" w:bottom="375" w:left="1419" w:header="0" w:footer="0" w:gutter="0"/>
          <w:cols w:space="708"/>
        </w:sectPr>
      </w:pPr>
    </w:p>
    <w:p w:rsidR="000E6600" w:rsidRDefault="000E6600" w:rsidP="000E6600">
      <w:pPr>
        <w:tabs>
          <w:tab w:val="left" w:pos="7661"/>
        </w:tabs>
        <w:spacing w:line="0" w:lineRule="atLeast"/>
        <w:ind w:left="1"/>
        <w:rPr>
          <w:rFonts w:ascii="Arial" w:eastAsia="Arial" w:hAnsi="Arial"/>
          <w:sz w:val="15"/>
        </w:rPr>
      </w:pPr>
      <w:bookmarkStart w:id="5" w:name="page16"/>
      <w:bookmarkEnd w:id="5"/>
      <w:r>
        <w:rPr>
          <w:rFonts w:ascii="Arial" w:eastAsia="Arial" w:hAnsi="Arial"/>
          <w:sz w:val="16"/>
        </w:rPr>
        <w:lastRenderedPageBreak/>
        <w:t>ČÍSLO SMLOUVY OBCHODNÍKA:</w:t>
      </w:r>
      <w:r>
        <w:rPr>
          <w:sz w:val="19"/>
        </w:rPr>
        <w:t xml:space="preserve"> P001076</w:t>
      </w:r>
      <w:r>
        <w:rPr>
          <w:rFonts w:ascii="Times New Roman" w:eastAsia="Times New Roman" w:hAnsi="Times New Roman"/>
        </w:rPr>
        <w:tab/>
      </w:r>
      <w:r>
        <w:rPr>
          <w:rFonts w:ascii="Arial" w:eastAsia="Arial" w:hAnsi="Arial"/>
          <w:sz w:val="15"/>
        </w:rPr>
        <w:t>Příloha č. 2 ZD</w:t>
      </w:r>
    </w:p>
    <w:p w:rsidR="000E6600" w:rsidRDefault="000E6600" w:rsidP="000E6600">
      <w:pPr>
        <w:spacing w:line="124" w:lineRule="exact"/>
        <w:rPr>
          <w:rFonts w:ascii="Times New Roman" w:eastAsia="Times New Roman" w:hAnsi="Times New Roman"/>
        </w:rPr>
      </w:pPr>
    </w:p>
    <w:p w:rsidR="000E6600" w:rsidRDefault="000E6600" w:rsidP="000E6600">
      <w:pPr>
        <w:spacing w:line="0" w:lineRule="atLeast"/>
        <w:ind w:left="1"/>
        <w:rPr>
          <w:rFonts w:ascii="Arial" w:eastAsia="Arial" w:hAnsi="Arial"/>
          <w:sz w:val="16"/>
        </w:rPr>
      </w:pPr>
      <w:r>
        <w:rPr>
          <w:rFonts w:ascii="Arial" w:eastAsia="Arial" w:hAnsi="Arial"/>
          <w:sz w:val="16"/>
        </w:rPr>
        <w:t>ČÍSLO SMLOUVY ZÁKAZNÍKA:</w:t>
      </w:r>
    </w:p>
    <w:p w:rsidR="000E6600" w:rsidRDefault="000E6600" w:rsidP="000E6600">
      <w:pPr>
        <w:spacing w:line="200" w:lineRule="exact"/>
        <w:rPr>
          <w:rFonts w:ascii="Times New Roman" w:eastAsia="Times New Roman" w:hAnsi="Times New Roman"/>
        </w:rPr>
      </w:pPr>
    </w:p>
    <w:p w:rsidR="000E6600" w:rsidRDefault="000E6600" w:rsidP="000E6600">
      <w:pPr>
        <w:spacing w:line="217" w:lineRule="exact"/>
        <w:rPr>
          <w:rFonts w:ascii="Times New Roman" w:eastAsia="Times New Roman" w:hAnsi="Times New Roman"/>
        </w:rPr>
      </w:pPr>
    </w:p>
    <w:p w:rsidR="000E6600" w:rsidRDefault="000E6600" w:rsidP="000E6600">
      <w:pPr>
        <w:numPr>
          <w:ilvl w:val="0"/>
          <w:numId w:val="19"/>
        </w:numPr>
        <w:tabs>
          <w:tab w:val="left" w:pos="284"/>
        </w:tabs>
        <w:spacing w:line="237" w:lineRule="auto"/>
        <w:ind w:left="1" w:hanging="1"/>
        <w:jc w:val="both"/>
        <w:rPr>
          <w:rFonts w:ascii="Arial" w:eastAsia="Arial" w:hAnsi="Arial"/>
          <w:b/>
          <w:sz w:val="16"/>
        </w:rPr>
      </w:pPr>
      <w:r>
        <w:rPr>
          <w:rFonts w:ascii="Arial" w:eastAsia="Arial" w:hAnsi="Arial"/>
          <w:sz w:val="16"/>
        </w:rPr>
        <w:t>Zákazník je oprávněn od Smlouvy odstoupit v případě podstatného porušení Smlouvy ze strany Obchodníka; Za podstatné porušení Smlouvy ze strany Obchodníka je považováno zejména omezení či přerušení dodávek plynu nebo také v případě, kdy Obchodník ztratí způsobilost být subjektem zúčtování nebo nastane jiná událost, jenž může ohrozit i potencionálně budoucí dodávky Zákazníkovi nad rámec podmínek stanovených platnými právními předpisy a pravidly provozování distribuční soustavy PDS, nejedná-li se o přerušení dodávky plynu z důvodu vyšší moci. Odstoupení je účinné 7. dnem, nebo později určeným dnem, po doručení oznámení o odstoupení Obchodníkovi. Zákazník je oprávněn od Smlouvy odstoupit s okamžitou účinností rovněž v případě, že s Obchodníkem bude zahájeno insolvenční řízení.</w:t>
      </w:r>
    </w:p>
    <w:p w:rsidR="000E6600" w:rsidRDefault="000E6600" w:rsidP="000E6600">
      <w:pPr>
        <w:spacing w:line="126" w:lineRule="exact"/>
        <w:rPr>
          <w:rFonts w:ascii="Arial" w:eastAsia="Arial" w:hAnsi="Arial"/>
          <w:b/>
          <w:sz w:val="16"/>
        </w:rPr>
      </w:pPr>
    </w:p>
    <w:p w:rsidR="000E6600" w:rsidRDefault="000E6600" w:rsidP="000E6600">
      <w:pPr>
        <w:numPr>
          <w:ilvl w:val="0"/>
          <w:numId w:val="19"/>
        </w:numPr>
        <w:tabs>
          <w:tab w:val="left" w:pos="284"/>
        </w:tabs>
        <w:spacing w:line="235" w:lineRule="auto"/>
        <w:ind w:left="1" w:right="480" w:hanging="1"/>
        <w:jc w:val="both"/>
        <w:rPr>
          <w:rFonts w:ascii="Arial" w:eastAsia="Arial" w:hAnsi="Arial"/>
          <w:b/>
          <w:sz w:val="16"/>
        </w:rPr>
      </w:pPr>
      <w:r>
        <w:rPr>
          <w:rFonts w:ascii="Arial" w:eastAsia="Arial" w:hAnsi="Arial"/>
          <w:sz w:val="16"/>
        </w:rPr>
        <w:t>Pokud Zákazník trvale opustil OM a neukončil smluvní vztah s Obchodníkem, pak účinnost Smlouvy končí odebráním měřicího zařízení nebo zahájením dodávky plynu na základě smlouvy o dodávce plynu či smlouvy o sdružených službách dodávky plynu uzavřené s novým zákazníkem pro toto OM.</w:t>
      </w:r>
    </w:p>
    <w:p w:rsidR="000E6600" w:rsidRDefault="000E6600" w:rsidP="000E6600">
      <w:pPr>
        <w:spacing w:line="126" w:lineRule="exact"/>
        <w:rPr>
          <w:rFonts w:ascii="Arial" w:eastAsia="Arial" w:hAnsi="Arial"/>
          <w:b/>
          <w:sz w:val="16"/>
        </w:rPr>
      </w:pPr>
    </w:p>
    <w:p w:rsidR="000E6600" w:rsidRDefault="000E6600" w:rsidP="000E6600">
      <w:pPr>
        <w:numPr>
          <w:ilvl w:val="0"/>
          <w:numId w:val="19"/>
        </w:numPr>
        <w:tabs>
          <w:tab w:val="left" w:pos="284"/>
        </w:tabs>
        <w:spacing w:line="232" w:lineRule="auto"/>
        <w:ind w:left="1" w:right="280" w:hanging="1"/>
        <w:rPr>
          <w:rFonts w:ascii="Arial" w:eastAsia="Arial" w:hAnsi="Arial"/>
          <w:b/>
          <w:sz w:val="16"/>
        </w:rPr>
      </w:pPr>
      <w:r>
        <w:rPr>
          <w:rFonts w:ascii="Arial" w:eastAsia="Arial" w:hAnsi="Arial"/>
          <w:sz w:val="16"/>
        </w:rPr>
        <w:t>Zákazník je povinen poskytnout Obchodníkovi nebo příslušnému PDS potřebnou součinnost při ukončení dodávek plynu realizovaných podle Smlouvy.</w:t>
      </w:r>
    </w:p>
    <w:p w:rsidR="000E6600" w:rsidRDefault="000E6600" w:rsidP="000E6600">
      <w:pPr>
        <w:spacing w:line="126" w:lineRule="exact"/>
        <w:rPr>
          <w:rFonts w:ascii="Arial" w:eastAsia="Arial" w:hAnsi="Arial"/>
          <w:b/>
          <w:sz w:val="16"/>
        </w:rPr>
      </w:pPr>
    </w:p>
    <w:p w:rsidR="000E6600" w:rsidRDefault="000E6600" w:rsidP="000E6600">
      <w:pPr>
        <w:numPr>
          <w:ilvl w:val="0"/>
          <w:numId w:val="19"/>
        </w:numPr>
        <w:tabs>
          <w:tab w:val="left" w:pos="284"/>
        </w:tabs>
        <w:spacing w:line="232" w:lineRule="auto"/>
        <w:ind w:left="1" w:right="380" w:hanging="1"/>
        <w:rPr>
          <w:rFonts w:ascii="Arial" w:eastAsia="Arial" w:hAnsi="Arial"/>
          <w:b/>
          <w:sz w:val="16"/>
        </w:rPr>
      </w:pPr>
      <w:r>
        <w:rPr>
          <w:rFonts w:ascii="Arial" w:eastAsia="Arial" w:hAnsi="Arial"/>
          <w:sz w:val="16"/>
        </w:rPr>
        <w:t>Pro vyhodnocení dodávek plynu je rozhodující odečet měřicího zařízení v OM, příp. náhradní hodnoty stanovené podle podmínek příslušného PDS, k poslednímu dni dodávky plynu.</w:t>
      </w:r>
    </w:p>
    <w:p w:rsidR="000E6600" w:rsidRDefault="000E6600" w:rsidP="000E6600">
      <w:pPr>
        <w:spacing w:line="126" w:lineRule="exact"/>
        <w:rPr>
          <w:rFonts w:ascii="Arial" w:eastAsia="Arial" w:hAnsi="Arial"/>
          <w:b/>
          <w:sz w:val="16"/>
        </w:rPr>
      </w:pPr>
    </w:p>
    <w:p w:rsidR="000E6600" w:rsidRDefault="000E6600" w:rsidP="000E6600">
      <w:pPr>
        <w:numPr>
          <w:ilvl w:val="0"/>
          <w:numId w:val="19"/>
        </w:numPr>
        <w:tabs>
          <w:tab w:val="left" w:pos="284"/>
        </w:tabs>
        <w:spacing w:line="232" w:lineRule="auto"/>
        <w:ind w:left="1" w:right="520" w:hanging="1"/>
        <w:rPr>
          <w:rFonts w:ascii="Arial" w:eastAsia="Arial" w:hAnsi="Arial"/>
          <w:b/>
          <w:sz w:val="16"/>
        </w:rPr>
      </w:pPr>
      <w:r>
        <w:rPr>
          <w:rFonts w:ascii="Arial" w:eastAsia="Arial" w:hAnsi="Arial"/>
          <w:sz w:val="16"/>
        </w:rPr>
        <w:t xml:space="preserve">V případě ukončení dodávek ze strany Obchodníka má Zákazník právo využít dodávky plynu od dodavatele poslední instance postupem podle § </w:t>
      </w:r>
      <w:proofErr w:type="gramStart"/>
      <w:r>
        <w:rPr>
          <w:rFonts w:ascii="Arial" w:eastAsia="Arial" w:hAnsi="Arial"/>
          <w:sz w:val="16"/>
        </w:rPr>
        <w:t>12a</w:t>
      </w:r>
      <w:proofErr w:type="gramEnd"/>
      <w:r>
        <w:rPr>
          <w:rFonts w:ascii="Arial" w:eastAsia="Arial" w:hAnsi="Arial"/>
          <w:sz w:val="16"/>
        </w:rPr>
        <w:t xml:space="preserve"> Energetického zákona.</w:t>
      </w:r>
    </w:p>
    <w:p w:rsidR="000E6600" w:rsidRDefault="000E6600" w:rsidP="000E6600">
      <w:pPr>
        <w:spacing w:line="362" w:lineRule="exact"/>
        <w:rPr>
          <w:rFonts w:ascii="Times New Roman" w:eastAsia="Times New Roman" w:hAnsi="Times New Roman"/>
        </w:rPr>
      </w:pPr>
    </w:p>
    <w:p w:rsidR="000E6600" w:rsidRDefault="000E6600" w:rsidP="000E6600">
      <w:pPr>
        <w:spacing w:line="0" w:lineRule="atLeast"/>
        <w:ind w:right="19"/>
        <w:jc w:val="center"/>
        <w:rPr>
          <w:rFonts w:ascii="Arial" w:eastAsia="Arial" w:hAnsi="Arial"/>
          <w:b/>
          <w:sz w:val="16"/>
        </w:rPr>
      </w:pPr>
      <w:r>
        <w:rPr>
          <w:rFonts w:ascii="Arial" w:eastAsia="Arial" w:hAnsi="Arial"/>
          <w:b/>
          <w:sz w:val="16"/>
        </w:rPr>
        <w:t>IX. Předcházení škodám, náhrada škod</w:t>
      </w:r>
    </w:p>
    <w:p w:rsidR="000E6600" w:rsidRDefault="000E6600" w:rsidP="000E6600">
      <w:pPr>
        <w:spacing w:line="312" w:lineRule="exact"/>
        <w:rPr>
          <w:rFonts w:ascii="Times New Roman" w:eastAsia="Times New Roman" w:hAnsi="Times New Roman"/>
        </w:rPr>
      </w:pPr>
    </w:p>
    <w:p w:rsidR="000E6600" w:rsidRDefault="000E6600" w:rsidP="000E6600">
      <w:pPr>
        <w:numPr>
          <w:ilvl w:val="0"/>
          <w:numId w:val="20"/>
        </w:numPr>
        <w:tabs>
          <w:tab w:val="left" w:pos="284"/>
        </w:tabs>
        <w:spacing w:line="235" w:lineRule="auto"/>
        <w:ind w:left="1" w:right="160" w:hanging="1"/>
        <w:rPr>
          <w:rFonts w:ascii="Arial" w:eastAsia="Arial" w:hAnsi="Arial"/>
          <w:b/>
          <w:sz w:val="16"/>
        </w:rPr>
      </w:pPr>
      <w:r>
        <w:rPr>
          <w:rFonts w:ascii="Arial" w:eastAsia="Arial" w:hAnsi="Arial"/>
          <w:sz w:val="16"/>
        </w:rPr>
        <w:t xml:space="preserve">Každá smluvní strana odpovídá za škodu způsobenou druhé smluvní straně porušením povinnosti vyplývající ze Smlouvy. Smluvní strany jsou zbaveny odpovědnosti za částečné nebo úplné neplnění povinností daných </w:t>
      </w:r>
      <w:proofErr w:type="gramStart"/>
      <w:r>
        <w:rPr>
          <w:rFonts w:ascii="Arial" w:eastAsia="Arial" w:hAnsi="Arial"/>
          <w:sz w:val="16"/>
        </w:rPr>
        <w:t>Smlouvou</w:t>
      </w:r>
      <w:proofErr w:type="gramEnd"/>
      <w:r>
        <w:rPr>
          <w:rFonts w:ascii="Arial" w:eastAsia="Arial" w:hAnsi="Arial"/>
          <w:sz w:val="16"/>
        </w:rPr>
        <w:t xml:space="preserve"> a to v případech stanovených zákonem a dále v případech, kdy toto neplnění bylo výsledkem nějaké události nebo okolnosti způsobené vyšší mocí.</w:t>
      </w:r>
    </w:p>
    <w:p w:rsidR="000E6600" w:rsidRDefault="000E6600" w:rsidP="000E6600">
      <w:pPr>
        <w:spacing w:line="70" w:lineRule="exact"/>
        <w:rPr>
          <w:rFonts w:ascii="Arial" w:eastAsia="Arial" w:hAnsi="Arial"/>
          <w:b/>
          <w:sz w:val="16"/>
        </w:rPr>
      </w:pPr>
    </w:p>
    <w:p w:rsidR="000E6600" w:rsidRDefault="000E6600" w:rsidP="000E6600">
      <w:pPr>
        <w:numPr>
          <w:ilvl w:val="0"/>
          <w:numId w:val="20"/>
        </w:numPr>
        <w:tabs>
          <w:tab w:val="left" w:pos="284"/>
        </w:tabs>
        <w:spacing w:line="237" w:lineRule="auto"/>
        <w:ind w:left="1" w:right="240" w:hanging="1"/>
        <w:rPr>
          <w:rFonts w:ascii="Arial" w:eastAsia="Arial" w:hAnsi="Arial"/>
          <w:b/>
          <w:sz w:val="16"/>
        </w:rPr>
      </w:pPr>
      <w:r>
        <w:rPr>
          <w:rFonts w:ascii="Arial" w:eastAsia="Arial" w:hAnsi="Arial"/>
          <w:sz w:val="16"/>
        </w:rPr>
        <w:t>Pro účely Smlouvy rozumí smluvní strany pod pojmem „vyšší moc“ takovou mimořádnou a neodvratitelnou událost nebo okolnost, která nastala nezávisle na vůli Smluvní strany, která nemohla být při uzavření Smlouvy předvídána a jejíž následky brání smluvní straně v úplném či částečném plnění závazků podle Smlouvy, jako například válka, teroristické akce, blokáda, sabotáž, požár velkého rozsahu, živelná pohroma, rozhodnutí státních orgánů s dopadem na plnění dle této Smlouvy, změny zákonů a jiných právních předpisů s dopadem na plnění dle Smlouvy či stavy nouze dle energetického zákona.</w:t>
      </w:r>
    </w:p>
    <w:p w:rsidR="000E6600" w:rsidRDefault="000E6600" w:rsidP="000E6600">
      <w:pPr>
        <w:spacing w:line="66" w:lineRule="exact"/>
        <w:rPr>
          <w:rFonts w:ascii="Arial" w:eastAsia="Arial" w:hAnsi="Arial"/>
          <w:b/>
          <w:sz w:val="16"/>
        </w:rPr>
      </w:pPr>
    </w:p>
    <w:p w:rsidR="000E6600" w:rsidRDefault="000E6600" w:rsidP="000E6600">
      <w:pPr>
        <w:numPr>
          <w:ilvl w:val="0"/>
          <w:numId w:val="20"/>
        </w:numPr>
        <w:tabs>
          <w:tab w:val="left" w:pos="284"/>
        </w:tabs>
        <w:spacing w:line="235" w:lineRule="auto"/>
        <w:ind w:left="1" w:right="140" w:hanging="1"/>
        <w:rPr>
          <w:rFonts w:ascii="Arial" w:eastAsia="Arial" w:hAnsi="Arial"/>
          <w:b/>
          <w:sz w:val="16"/>
        </w:rPr>
      </w:pPr>
      <w:r>
        <w:rPr>
          <w:rFonts w:ascii="Arial" w:eastAsia="Arial" w:hAnsi="Arial"/>
          <w:sz w:val="16"/>
        </w:rPr>
        <w:t>O vzniku situace vyšší moci a jejích bližších okolnostech uvědomí smluvní strana odvolávající se na vyšší moc neprodleně druhou Smluvní stranu. Stejným způsobem bude druhá smluvní strana informována o pominutí situace vyšší moci, a pokud bude o to požádána, předloží důvěryhodný důkaz o existenci této skutečnosti.</w:t>
      </w:r>
    </w:p>
    <w:p w:rsidR="000E6600" w:rsidRDefault="000E6600" w:rsidP="000E6600">
      <w:pPr>
        <w:spacing w:line="361" w:lineRule="exact"/>
        <w:rPr>
          <w:rFonts w:ascii="Times New Roman" w:eastAsia="Times New Roman" w:hAnsi="Times New Roman"/>
        </w:rPr>
      </w:pPr>
    </w:p>
    <w:p w:rsidR="000E6600" w:rsidRDefault="000E6600" w:rsidP="000E6600">
      <w:pPr>
        <w:spacing w:line="0" w:lineRule="atLeast"/>
        <w:ind w:right="-280"/>
        <w:jc w:val="center"/>
        <w:rPr>
          <w:rFonts w:ascii="Arial" w:eastAsia="Arial" w:hAnsi="Arial"/>
          <w:b/>
          <w:sz w:val="16"/>
        </w:rPr>
      </w:pPr>
      <w:r>
        <w:rPr>
          <w:rFonts w:ascii="Arial" w:eastAsia="Arial" w:hAnsi="Arial"/>
          <w:b/>
          <w:sz w:val="16"/>
        </w:rPr>
        <w:t>X. Důvěrnost a registr smluv</w:t>
      </w:r>
    </w:p>
    <w:p w:rsidR="000E6600" w:rsidRDefault="000E6600" w:rsidP="000E6600">
      <w:pPr>
        <w:spacing w:line="129" w:lineRule="exact"/>
        <w:rPr>
          <w:rFonts w:ascii="Times New Roman" w:eastAsia="Times New Roman" w:hAnsi="Times New Roman"/>
        </w:rPr>
      </w:pPr>
    </w:p>
    <w:p w:rsidR="000E6600" w:rsidRDefault="000E6600" w:rsidP="000E6600">
      <w:pPr>
        <w:numPr>
          <w:ilvl w:val="0"/>
          <w:numId w:val="21"/>
        </w:numPr>
        <w:tabs>
          <w:tab w:val="left" w:pos="284"/>
        </w:tabs>
        <w:spacing w:line="235" w:lineRule="auto"/>
        <w:ind w:left="1" w:right="220" w:hanging="1"/>
        <w:rPr>
          <w:rFonts w:ascii="Arial" w:eastAsia="Arial" w:hAnsi="Arial"/>
          <w:b/>
          <w:sz w:val="16"/>
        </w:rPr>
      </w:pPr>
      <w:r>
        <w:rPr>
          <w:rFonts w:ascii="Arial" w:eastAsia="Arial" w:hAnsi="Arial"/>
          <w:sz w:val="16"/>
        </w:rPr>
        <w:t>Smluvní strany prohlašují, že veškeré ekonomické, finanční, technické, obchodní, právní, služební a společenské údaje a informace, které vyplynou ze Smlouvy nebo při činnostech zajišťujících naplnění Smlouvy, budou považovat za společné důvěrné informace.</w:t>
      </w:r>
    </w:p>
    <w:p w:rsidR="000E6600" w:rsidRDefault="000E6600" w:rsidP="000E6600">
      <w:pPr>
        <w:spacing w:line="69" w:lineRule="exact"/>
        <w:rPr>
          <w:rFonts w:ascii="Arial" w:eastAsia="Arial" w:hAnsi="Arial"/>
          <w:b/>
          <w:sz w:val="16"/>
        </w:rPr>
      </w:pPr>
    </w:p>
    <w:p w:rsidR="000E6600" w:rsidRDefault="000E6600" w:rsidP="000E6600">
      <w:pPr>
        <w:numPr>
          <w:ilvl w:val="0"/>
          <w:numId w:val="21"/>
        </w:numPr>
        <w:tabs>
          <w:tab w:val="left" w:pos="284"/>
        </w:tabs>
        <w:spacing w:line="237" w:lineRule="auto"/>
        <w:ind w:left="1" w:right="100" w:hanging="1"/>
        <w:rPr>
          <w:rFonts w:ascii="Arial" w:eastAsia="Arial" w:hAnsi="Arial"/>
          <w:b/>
          <w:sz w:val="16"/>
        </w:rPr>
      </w:pPr>
      <w:r>
        <w:rPr>
          <w:rFonts w:ascii="Arial" w:eastAsia="Arial" w:hAnsi="Arial"/>
          <w:sz w:val="16"/>
        </w:rPr>
        <w:t xml:space="preserve">Smluvní strany se vzájemně zavazují, že tyto důvěrné informace budou chránit a utajovat před třetími osobami. Žádná ze smluvních stran bez písemného souhlasu druhé smluvní strany neposkytne informace o obsahu této Smlouvy, s výjimkou veřejně publikovaných informací nebo poskytovaných na základě povinnosti ustanovené obecně závazným právním předpisem nebo smlouvy s </w:t>
      </w:r>
      <w:proofErr w:type="gramStart"/>
      <w:r>
        <w:rPr>
          <w:rFonts w:ascii="Arial" w:eastAsia="Arial" w:hAnsi="Arial"/>
          <w:sz w:val="16"/>
        </w:rPr>
        <w:t>OTE</w:t>
      </w:r>
      <w:proofErr w:type="gramEnd"/>
      <w:r>
        <w:rPr>
          <w:rFonts w:ascii="Arial" w:eastAsia="Arial" w:hAnsi="Arial"/>
          <w:sz w:val="16"/>
        </w:rPr>
        <w:t xml:space="preserve"> a to ani v dílčím rozsahu třetí straně. Stejným způsobem budou strany chránit důvěrné informace a skutečnosti tvořící obchodní tajemství třetí osoby, které byly touto třetí stranou některé ze smluvních stran poskytnuty se svolením jejich dalšího užití. Závazek ochrany utajení trvá po celou dobu trvání skutečností tvořících obchodní tajemství nebo trvání zájmu chránění důvěrných informací. Obchodník souhlasí s poskytováním informací Zákazníkem jemu podřízeným organizacím zúčastněným na veřejné zakázce v roli pověřujících zadavatelů ve smyslu </w:t>
      </w:r>
      <w:proofErr w:type="spellStart"/>
      <w:r>
        <w:rPr>
          <w:rFonts w:ascii="Arial" w:eastAsia="Arial" w:hAnsi="Arial"/>
          <w:sz w:val="16"/>
        </w:rPr>
        <w:t>ust</w:t>
      </w:r>
      <w:proofErr w:type="spellEnd"/>
      <w:r>
        <w:rPr>
          <w:rFonts w:ascii="Arial" w:eastAsia="Arial" w:hAnsi="Arial"/>
          <w:sz w:val="16"/>
        </w:rPr>
        <w:t>. § 9 zákona č. 134/2016 Sb., o zadávání veřejných zakázek.</w:t>
      </w:r>
    </w:p>
    <w:p w:rsidR="000E6600" w:rsidRDefault="000E6600" w:rsidP="000E6600">
      <w:pPr>
        <w:spacing w:line="73" w:lineRule="exact"/>
        <w:rPr>
          <w:rFonts w:ascii="Arial" w:eastAsia="Arial" w:hAnsi="Arial"/>
          <w:b/>
          <w:sz w:val="16"/>
        </w:rPr>
      </w:pPr>
    </w:p>
    <w:p w:rsidR="000E6600" w:rsidRDefault="000E6600" w:rsidP="000E6600">
      <w:pPr>
        <w:numPr>
          <w:ilvl w:val="0"/>
          <w:numId w:val="21"/>
        </w:numPr>
        <w:tabs>
          <w:tab w:val="left" w:pos="284"/>
        </w:tabs>
        <w:spacing w:line="235" w:lineRule="auto"/>
        <w:ind w:left="1" w:right="280" w:hanging="1"/>
        <w:rPr>
          <w:rFonts w:ascii="Arial" w:eastAsia="Arial" w:hAnsi="Arial"/>
          <w:b/>
          <w:sz w:val="16"/>
        </w:rPr>
      </w:pPr>
      <w:r>
        <w:rPr>
          <w:rFonts w:ascii="Arial" w:eastAsia="Arial" w:hAnsi="Arial"/>
          <w:sz w:val="16"/>
        </w:rPr>
        <w:t>Smluvní strany se zavazují chránit osobní údaje subjektu údajů v souladu se zákonem č. 110/2019 Sb., o zpracování osobních údajů, v platném znění, a nařízením Evropského parlamentu a Rady (EU) 2016/679 ze dne 27.4.2016 o ochraně fyzických osob v souvislosti se zpracováním osobních údajů a o volném pohybu těchto údajů a o zrušení směrnice 95/46/ES (obecné nařízení o ochraně osobních údajů).</w:t>
      </w:r>
    </w:p>
    <w:p w:rsidR="000E6600" w:rsidRDefault="000E6600" w:rsidP="000E6600">
      <w:pPr>
        <w:spacing w:line="67" w:lineRule="exact"/>
        <w:rPr>
          <w:rFonts w:ascii="Arial" w:eastAsia="Arial" w:hAnsi="Arial"/>
          <w:b/>
          <w:sz w:val="16"/>
        </w:rPr>
      </w:pPr>
    </w:p>
    <w:p w:rsidR="000E6600" w:rsidRDefault="000E6600" w:rsidP="000E6600">
      <w:pPr>
        <w:numPr>
          <w:ilvl w:val="0"/>
          <w:numId w:val="21"/>
        </w:numPr>
        <w:tabs>
          <w:tab w:val="left" w:pos="284"/>
        </w:tabs>
        <w:spacing w:line="261" w:lineRule="auto"/>
        <w:ind w:left="1" w:right="160" w:hanging="1"/>
        <w:jc w:val="both"/>
        <w:rPr>
          <w:rFonts w:ascii="Arial" w:eastAsia="Arial" w:hAnsi="Arial"/>
          <w:b/>
          <w:sz w:val="15"/>
        </w:rPr>
      </w:pPr>
      <w:r>
        <w:rPr>
          <w:rFonts w:ascii="Arial" w:eastAsia="Arial" w:hAnsi="Arial"/>
          <w:sz w:val="15"/>
        </w:rPr>
        <w:t>Zákazník je oprávněn poskytovat důvěrné informace ovládající osobě (dle zákona o obchodních korporacích) a dále třetím osobám, které Zákazník pověřil plněním kterýchkoli svých zákonných či smluvních povinností souvisejících s touto Smlouvou.</w:t>
      </w:r>
    </w:p>
    <w:p w:rsidR="000E6600" w:rsidRDefault="000E6600" w:rsidP="000E6600">
      <w:pPr>
        <w:spacing w:line="53" w:lineRule="exact"/>
        <w:rPr>
          <w:rFonts w:ascii="Arial" w:eastAsia="Arial" w:hAnsi="Arial"/>
          <w:b/>
          <w:sz w:val="15"/>
        </w:rPr>
      </w:pPr>
    </w:p>
    <w:p w:rsidR="000E6600" w:rsidRDefault="000E6600" w:rsidP="000E6600">
      <w:pPr>
        <w:numPr>
          <w:ilvl w:val="0"/>
          <w:numId w:val="21"/>
        </w:numPr>
        <w:tabs>
          <w:tab w:val="left" w:pos="284"/>
        </w:tabs>
        <w:spacing w:line="232" w:lineRule="auto"/>
        <w:ind w:left="1" w:right="280" w:hanging="1"/>
        <w:rPr>
          <w:rFonts w:ascii="Arial" w:eastAsia="Arial" w:hAnsi="Arial"/>
          <w:b/>
          <w:sz w:val="16"/>
        </w:rPr>
      </w:pPr>
      <w:r>
        <w:rPr>
          <w:rFonts w:ascii="Arial" w:eastAsia="Arial" w:hAnsi="Arial"/>
          <w:sz w:val="16"/>
        </w:rPr>
        <w:t>Povinnost mlčenlivosti dle ustanovení tohoto článku Smlouvy se rovněž nevztahuje na informační povinnost vyplývající z obecně platných právních předpisů.</w:t>
      </w:r>
    </w:p>
    <w:p w:rsidR="000E6600" w:rsidRDefault="000E6600" w:rsidP="000E6600">
      <w:pPr>
        <w:spacing w:line="66" w:lineRule="exact"/>
        <w:rPr>
          <w:rFonts w:ascii="Arial" w:eastAsia="Arial" w:hAnsi="Arial"/>
          <w:b/>
          <w:sz w:val="16"/>
        </w:rPr>
      </w:pPr>
    </w:p>
    <w:p w:rsidR="000E6600" w:rsidRDefault="000E6600" w:rsidP="000E6600">
      <w:pPr>
        <w:numPr>
          <w:ilvl w:val="0"/>
          <w:numId w:val="21"/>
        </w:numPr>
        <w:tabs>
          <w:tab w:val="left" w:pos="284"/>
        </w:tabs>
        <w:spacing w:line="237" w:lineRule="auto"/>
        <w:ind w:left="1" w:right="40" w:hanging="1"/>
        <w:rPr>
          <w:rFonts w:ascii="Arial" w:eastAsia="Arial" w:hAnsi="Arial"/>
          <w:b/>
          <w:sz w:val="16"/>
        </w:rPr>
      </w:pPr>
      <w:r>
        <w:rPr>
          <w:rFonts w:ascii="Arial" w:eastAsia="Arial" w:hAnsi="Arial"/>
          <w:sz w:val="16"/>
        </w:rPr>
        <w:t xml:space="preserve">V případě, že Smlouva podléhá uveřejnění v registru smluv dle zákona č. 340/2015 Sb., o registru smluv, smluvní strany se dohodly, že Smlouvu bez zbytečného odkladu, nejpozději do 30 dnů od uzavření smlouvy, uveřejní Zákazník. Při uveřejnění je Zákazník povinen postupovat tak, aby nebyla ohrožena doba zahájení plnění ze Smlouvy, pokud si ji Smluvní strany sjednaly, případně vyplývá-li z účelu Smlouvy. Pro uveřejnění opravy uveřejněné Smlouvy nebo </w:t>
      </w:r>
      <w:proofErr w:type="spellStart"/>
      <w:r>
        <w:rPr>
          <w:rFonts w:ascii="Arial" w:eastAsia="Arial" w:hAnsi="Arial"/>
          <w:sz w:val="16"/>
        </w:rPr>
        <w:t>metadat</w:t>
      </w:r>
      <w:proofErr w:type="spellEnd"/>
      <w:r>
        <w:rPr>
          <w:rFonts w:ascii="Arial" w:eastAsia="Arial" w:hAnsi="Arial"/>
          <w:sz w:val="16"/>
        </w:rPr>
        <w:t xml:space="preserve"> Smlouvy platí ustanovení tohoto článku o uveřejnění přiměřeně.</w:t>
      </w:r>
    </w:p>
    <w:p w:rsidR="000E6600" w:rsidRDefault="000E6600" w:rsidP="000E6600">
      <w:pPr>
        <w:spacing w:line="67" w:lineRule="exact"/>
        <w:rPr>
          <w:rFonts w:ascii="Arial" w:eastAsia="Arial" w:hAnsi="Arial"/>
          <w:b/>
          <w:sz w:val="16"/>
        </w:rPr>
      </w:pPr>
    </w:p>
    <w:p w:rsidR="000E6600" w:rsidRDefault="000E6600" w:rsidP="000E6600">
      <w:pPr>
        <w:numPr>
          <w:ilvl w:val="0"/>
          <w:numId w:val="21"/>
        </w:numPr>
        <w:tabs>
          <w:tab w:val="left" w:pos="284"/>
        </w:tabs>
        <w:spacing w:line="232" w:lineRule="auto"/>
        <w:ind w:left="1" w:right="60" w:hanging="1"/>
        <w:rPr>
          <w:rFonts w:ascii="Arial" w:eastAsia="Arial" w:hAnsi="Arial"/>
          <w:b/>
          <w:sz w:val="16"/>
        </w:rPr>
      </w:pPr>
      <w:r>
        <w:rPr>
          <w:rFonts w:ascii="Arial" w:eastAsia="Arial" w:hAnsi="Arial"/>
          <w:sz w:val="16"/>
        </w:rPr>
        <w:t>Smluvní strany se zavazují zajistit, aby ve smlouvě k uveřejnění v registru smluv byly chráněny formou znečitelnění podpisy osob zastupujících smluvní strany.</w:t>
      </w:r>
    </w:p>
    <w:p w:rsidR="000E6600" w:rsidRDefault="000E6600" w:rsidP="000E6600">
      <w:pPr>
        <w:spacing w:line="61" w:lineRule="exact"/>
        <w:rPr>
          <w:rFonts w:ascii="Arial" w:eastAsia="Arial" w:hAnsi="Arial"/>
          <w:b/>
          <w:sz w:val="16"/>
        </w:rPr>
      </w:pPr>
    </w:p>
    <w:p w:rsidR="000E6600" w:rsidRDefault="000E6600" w:rsidP="000E6600">
      <w:pPr>
        <w:numPr>
          <w:ilvl w:val="0"/>
          <w:numId w:val="21"/>
        </w:numPr>
        <w:tabs>
          <w:tab w:val="left" w:pos="281"/>
        </w:tabs>
        <w:spacing w:line="0" w:lineRule="atLeast"/>
        <w:ind w:left="281" w:hanging="281"/>
        <w:rPr>
          <w:rFonts w:ascii="Arial" w:eastAsia="Arial" w:hAnsi="Arial"/>
          <w:b/>
          <w:sz w:val="16"/>
        </w:rPr>
      </w:pPr>
      <w:r>
        <w:rPr>
          <w:rFonts w:ascii="Arial" w:eastAsia="Arial" w:hAnsi="Arial"/>
          <w:sz w:val="16"/>
        </w:rPr>
        <w:t>Pro případ porušení některé z povinností sjednaných v čl. X. OPD, smluvní strany sjednávají smluvní pokutu ve výši</w:t>
      </w:r>
    </w:p>
    <w:p w:rsidR="000E6600" w:rsidRDefault="000E6600" w:rsidP="000E6600">
      <w:pPr>
        <w:spacing w:line="6" w:lineRule="exact"/>
        <w:rPr>
          <w:rFonts w:ascii="Times New Roman" w:eastAsia="Times New Roman" w:hAnsi="Times New Roman"/>
        </w:rPr>
      </w:pPr>
    </w:p>
    <w:p w:rsidR="000E6600" w:rsidRDefault="000E6600" w:rsidP="000E6600">
      <w:pPr>
        <w:spacing w:line="235" w:lineRule="auto"/>
        <w:ind w:left="1" w:right="180"/>
        <w:rPr>
          <w:rFonts w:ascii="Arial" w:eastAsia="Arial" w:hAnsi="Arial"/>
          <w:sz w:val="16"/>
        </w:rPr>
      </w:pPr>
      <w:r>
        <w:rPr>
          <w:rFonts w:ascii="Arial" w:eastAsia="Arial" w:hAnsi="Arial"/>
          <w:sz w:val="16"/>
        </w:rPr>
        <w:t>10.000,- Kč za každé jednotlivé porušení, kterou bude Smluvní strana povinná povinna zaplatit druhé smluvní straně, pokud tato nárok na smluvní pokutu uplatní, a to v termínu shodném s ostatními platebními podmínkami. Zaplacením smluvní pokuty není dotčen nárok na náhradu škody převyšující smluvní pokutu.</w:t>
      </w: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14" w:lineRule="exact"/>
        <w:rPr>
          <w:rFonts w:ascii="Times New Roman" w:eastAsia="Times New Roman" w:hAnsi="Times New Roman"/>
        </w:rPr>
      </w:pPr>
    </w:p>
    <w:p w:rsidR="000E6600" w:rsidRDefault="000E6600" w:rsidP="000E6600">
      <w:pPr>
        <w:spacing w:line="0" w:lineRule="atLeast"/>
        <w:ind w:right="19"/>
        <w:jc w:val="center"/>
        <w:rPr>
          <w:rFonts w:ascii="Arial" w:eastAsia="Arial" w:hAnsi="Arial"/>
          <w:b/>
        </w:rPr>
      </w:pPr>
      <w:r>
        <w:rPr>
          <w:rFonts w:ascii="Arial" w:eastAsia="Arial" w:hAnsi="Arial"/>
        </w:rPr>
        <w:t xml:space="preserve">Stránka </w:t>
      </w:r>
      <w:r>
        <w:rPr>
          <w:rFonts w:ascii="Arial" w:eastAsia="Arial" w:hAnsi="Arial"/>
          <w:b/>
        </w:rPr>
        <w:t>7</w:t>
      </w:r>
      <w:r>
        <w:rPr>
          <w:rFonts w:ascii="Arial" w:eastAsia="Arial" w:hAnsi="Arial"/>
        </w:rPr>
        <w:t xml:space="preserve"> z </w:t>
      </w:r>
      <w:r>
        <w:rPr>
          <w:rFonts w:ascii="Arial" w:eastAsia="Arial" w:hAnsi="Arial"/>
          <w:b/>
        </w:rPr>
        <w:t>8</w:t>
      </w:r>
    </w:p>
    <w:p w:rsidR="000E6600" w:rsidRDefault="000E6600" w:rsidP="000E6600">
      <w:pPr>
        <w:rPr>
          <w:rFonts w:ascii="Arial" w:eastAsia="Arial" w:hAnsi="Arial"/>
          <w:b/>
        </w:rPr>
        <w:sectPr w:rsidR="000E6600">
          <w:pgSz w:w="11900" w:h="16838"/>
          <w:pgMar w:top="716" w:right="1406" w:bottom="375" w:left="1419" w:header="0" w:footer="0" w:gutter="0"/>
          <w:cols w:space="708"/>
        </w:sectPr>
      </w:pPr>
    </w:p>
    <w:p w:rsidR="000E6600" w:rsidRDefault="000E6600" w:rsidP="000E6600">
      <w:pPr>
        <w:tabs>
          <w:tab w:val="left" w:pos="7661"/>
        </w:tabs>
        <w:spacing w:line="0" w:lineRule="atLeast"/>
        <w:ind w:left="1"/>
        <w:rPr>
          <w:rFonts w:ascii="Arial" w:eastAsia="Arial" w:hAnsi="Arial"/>
          <w:sz w:val="15"/>
        </w:rPr>
      </w:pPr>
      <w:bookmarkStart w:id="6" w:name="page17"/>
      <w:bookmarkEnd w:id="6"/>
      <w:r>
        <w:rPr>
          <w:rFonts w:ascii="Arial" w:eastAsia="Arial" w:hAnsi="Arial"/>
          <w:sz w:val="16"/>
        </w:rPr>
        <w:lastRenderedPageBreak/>
        <w:t>ČÍSLO SMLOUVY OBCHODNÍKA:</w:t>
      </w:r>
      <w:r>
        <w:rPr>
          <w:sz w:val="19"/>
        </w:rPr>
        <w:t xml:space="preserve"> P001076</w:t>
      </w:r>
      <w:r>
        <w:rPr>
          <w:rFonts w:ascii="Times New Roman" w:eastAsia="Times New Roman" w:hAnsi="Times New Roman"/>
        </w:rPr>
        <w:tab/>
      </w:r>
      <w:r>
        <w:rPr>
          <w:rFonts w:ascii="Arial" w:eastAsia="Arial" w:hAnsi="Arial"/>
          <w:sz w:val="15"/>
        </w:rPr>
        <w:t>Příloha č. 2 ZD</w:t>
      </w:r>
    </w:p>
    <w:p w:rsidR="000E6600" w:rsidRDefault="000E6600" w:rsidP="000E6600">
      <w:pPr>
        <w:spacing w:line="124" w:lineRule="exact"/>
        <w:rPr>
          <w:rFonts w:ascii="Times New Roman" w:eastAsia="Times New Roman" w:hAnsi="Times New Roman"/>
        </w:rPr>
      </w:pPr>
    </w:p>
    <w:p w:rsidR="000E6600" w:rsidRDefault="000E6600" w:rsidP="000E6600">
      <w:pPr>
        <w:spacing w:line="0" w:lineRule="atLeast"/>
        <w:ind w:left="1"/>
        <w:rPr>
          <w:rFonts w:ascii="Arial" w:eastAsia="Arial" w:hAnsi="Arial"/>
          <w:sz w:val="16"/>
        </w:rPr>
      </w:pPr>
      <w:r>
        <w:rPr>
          <w:rFonts w:ascii="Arial" w:eastAsia="Arial" w:hAnsi="Arial"/>
          <w:sz w:val="16"/>
        </w:rPr>
        <w:t>ČÍSLO SMLOUVY ZÁKAZNÍKA:</w:t>
      </w:r>
    </w:p>
    <w:p w:rsidR="000E6600" w:rsidRDefault="000E6600" w:rsidP="000E6600">
      <w:pPr>
        <w:spacing w:line="200" w:lineRule="exact"/>
        <w:rPr>
          <w:rFonts w:ascii="Times New Roman" w:eastAsia="Times New Roman" w:hAnsi="Times New Roman"/>
        </w:rPr>
      </w:pPr>
    </w:p>
    <w:p w:rsidR="000E6600" w:rsidRDefault="000E6600" w:rsidP="000E6600">
      <w:pPr>
        <w:spacing w:line="217" w:lineRule="exact"/>
        <w:rPr>
          <w:rFonts w:ascii="Times New Roman" w:eastAsia="Times New Roman" w:hAnsi="Times New Roman"/>
        </w:rPr>
      </w:pPr>
    </w:p>
    <w:p w:rsidR="000E6600" w:rsidRDefault="000E6600" w:rsidP="000E6600">
      <w:pPr>
        <w:numPr>
          <w:ilvl w:val="0"/>
          <w:numId w:val="22"/>
        </w:numPr>
        <w:tabs>
          <w:tab w:val="left" w:pos="284"/>
        </w:tabs>
        <w:spacing w:line="237" w:lineRule="auto"/>
        <w:ind w:left="1" w:right="6" w:hanging="1"/>
        <w:rPr>
          <w:rFonts w:ascii="Arial" w:eastAsia="Arial" w:hAnsi="Arial"/>
          <w:b/>
          <w:sz w:val="16"/>
        </w:rPr>
      </w:pPr>
      <w:r>
        <w:rPr>
          <w:rFonts w:ascii="Arial" w:eastAsia="Arial" w:hAnsi="Arial"/>
          <w:sz w:val="16"/>
        </w:rPr>
        <w:t>V případě, že Smlouva nepodléhá uveřejnění podle zákona o registru smluv a smluvní strany se nad rámec toho dohodnou, že Smlouvu uveřejní, nebudou se na Smlouvu aplikovat ustanovení zákona o registru smluv, která se týkají účinnosti Smlouvy, případně následků spojených s neuveřejněním Smlouvy v registru smluv. Nad rámec uvedeného, se v případě uveřejnění Smlouvy bez dohody s Obchodníkem aplikují v plném rozsahu ustanovení tohoto článku.</w:t>
      </w:r>
    </w:p>
    <w:p w:rsidR="000E6600" w:rsidRDefault="000E6600" w:rsidP="000E6600">
      <w:pPr>
        <w:spacing w:line="360" w:lineRule="exact"/>
        <w:rPr>
          <w:rFonts w:ascii="Times New Roman" w:eastAsia="Times New Roman" w:hAnsi="Times New Roman"/>
        </w:rPr>
      </w:pPr>
    </w:p>
    <w:p w:rsidR="000E6600" w:rsidRDefault="000E6600" w:rsidP="000E6600">
      <w:pPr>
        <w:spacing w:line="0" w:lineRule="atLeast"/>
        <w:ind w:right="-34"/>
        <w:jc w:val="center"/>
        <w:rPr>
          <w:rFonts w:ascii="Arial" w:eastAsia="Arial" w:hAnsi="Arial"/>
          <w:b/>
          <w:sz w:val="16"/>
        </w:rPr>
      </w:pPr>
      <w:r>
        <w:rPr>
          <w:rFonts w:ascii="Arial" w:eastAsia="Arial" w:hAnsi="Arial"/>
          <w:b/>
          <w:sz w:val="16"/>
        </w:rPr>
        <w:t>XI. Řešení sporů</w:t>
      </w:r>
    </w:p>
    <w:p w:rsidR="000E6600" w:rsidRDefault="000E6600" w:rsidP="000E6600">
      <w:pPr>
        <w:spacing w:line="129" w:lineRule="exact"/>
        <w:rPr>
          <w:rFonts w:ascii="Times New Roman" w:eastAsia="Times New Roman" w:hAnsi="Times New Roman"/>
        </w:rPr>
      </w:pPr>
    </w:p>
    <w:p w:rsidR="000E6600" w:rsidRDefault="000E6600" w:rsidP="000E6600">
      <w:pPr>
        <w:numPr>
          <w:ilvl w:val="0"/>
          <w:numId w:val="23"/>
        </w:numPr>
        <w:tabs>
          <w:tab w:val="left" w:pos="284"/>
        </w:tabs>
        <w:spacing w:line="235" w:lineRule="auto"/>
        <w:ind w:left="1" w:right="446" w:hanging="1"/>
        <w:rPr>
          <w:rFonts w:ascii="Arial" w:eastAsia="Arial" w:hAnsi="Arial"/>
          <w:b/>
          <w:sz w:val="16"/>
        </w:rPr>
      </w:pPr>
      <w:r>
        <w:rPr>
          <w:rFonts w:ascii="Arial" w:eastAsia="Arial" w:hAnsi="Arial"/>
          <w:sz w:val="16"/>
        </w:rPr>
        <w:t>Smluvní strany vynaloží veškeré úsilí, aby případné spory vyplývající z této Smlouvy, byly urovnány smírnou cestou. Zavazují se postupovat tak, aby situace byla objektivně vyřešena, a k dosažení tohoto cíle si budou poskytovat potřebnou součinnost.</w:t>
      </w:r>
    </w:p>
    <w:p w:rsidR="000E6600" w:rsidRDefault="000E6600" w:rsidP="000E6600">
      <w:pPr>
        <w:spacing w:line="69" w:lineRule="exact"/>
        <w:rPr>
          <w:rFonts w:ascii="Arial" w:eastAsia="Arial" w:hAnsi="Arial"/>
          <w:b/>
          <w:sz w:val="16"/>
        </w:rPr>
      </w:pPr>
    </w:p>
    <w:p w:rsidR="000E6600" w:rsidRDefault="000E6600" w:rsidP="000E6600">
      <w:pPr>
        <w:numPr>
          <w:ilvl w:val="0"/>
          <w:numId w:val="23"/>
        </w:numPr>
        <w:tabs>
          <w:tab w:val="left" w:pos="284"/>
        </w:tabs>
        <w:spacing w:line="232" w:lineRule="auto"/>
        <w:ind w:left="1" w:right="406" w:hanging="1"/>
        <w:rPr>
          <w:rFonts w:ascii="Arial" w:eastAsia="Arial" w:hAnsi="Arial"/>
          <w:b/>
          <w:sz w:val="16"/>
        </w:rPr>
      </w:pPr>
      <w:r>
        <w:rPr>
          <w:rFonts w:ascii="Arial" w:eastAsia="Arial" w:hAnsi="Arial"/>
          <w:sz w:val="16"/>
        </w:rPr>
        <w:t>Kterákoliv strana je oprávněna předložit spor k rozhodnutí Energetickému regulačnímu úřadu v případech, kdy je dána příslušnost tohoto úřadu dle energetického zákona.</w:t>
      </w:r>
    </w:p>
    <w:p w:rsidR="000E6600" w:rsidRDefault="000E6600" w:rsidP="000E6600">
      <w:pPr>
        <w:spacing w:line="66" w:lineRule="exact"/>
        <w:rPr>
          <w:rFonts w:ascii="Arial" w:eastAsia="Arial" w:hAnsi="Arial"/>
          <w:b/>
          <w:sz w:val="16"/>
        </w:rPr>
      </w:pPr>
    </w:p>
    <w:p w:rsidR="000E6600" w:rsidRDefault="000E6600" w:rsidP="000E6600">
      <w:pPr>
        <w:numPr>
          <w:ilvl w:val="0"/>
          <w:numId w:val="23"/>
        </w:numPr>
        <w:tabs>
          <w:tab w:val="left" w:pos="284"/>
        </w:tabs>
        <w:spacing w:line="232" w:lineRule="auto"/>
        <w:ind w:left="1" w:right="286" w:hanging="1"/>
        <w:rPr>
          <w:rFonts w:ascii="Arial" w:eastAsia="Arial" w:hAnsi="Arial"/>
          <w:b/>
          <w:sz w:val="16"/>
        </w:rPr>
      </w:pPr>
      <w:r>
        <w:rPr>
          <w:rFonts w:ascii="Arial" w:eastAsia="Arial" w:hAnsi="Arial"/>
          <w:sz w:val="16"/>
        </w:rPr>
        <w:t xml:space="preserve">Ve smyslu ustanovení § </w:t>
      </w:r>
      <w:proofErr w:type="gramStart"/>
      <w:r>
        <w:rPr>
          <w:rFonts w:ascii="Arial" w:eastAsia="Arial" w:hAnsi="Arial"/>
          <w:sz w:val="16"/>
        </w:rPr>
        <w:t>89a</w:t>
      </w:r>
      <w:proofErr w:type="gramEnd"/>
      <w:r>
        <w:rPr>
          <w:rFonts w:ascii="Arial" w:eastAsia="Arial" w:hAnsi="Arial"/>
          <w:sz w:val="16"/>
        </w:rPr>
        <w:t xml:space="preserve"> OSŘ se obě smluvní strany dohodly, že v případě řešení sporů soudní cestou bude místně příslušným soudem Okresní soud v Ostravě, popř. Krajský soud v Ostravě.</w:t>
      </w:r>
    </w:p>
    <w:p w:rsidR="000E6600" w:rsidRDefault="000E6600" w:rsidP="000E6600">
      <w:pPr>
        <w:spacing w:line="362" w:lineRule="exact"/>
        <w:rPr>
          <w:rFonts w:ascii="Times New Roman" w:eastAsia="Times New Roman" w:hAnsi="Times New Roman"/>
        </w:rPr>
      </w:pPr>
    </w:p>
    <w:p w:rsidR="000E6600" w:rsidRDefault="000E6600" w:rsidP="000E6600">
      <w:pPr>
        <w:spacing w:line="0" w:lineRule="atLeast"/>
        <w:ind w:right="-34"/>
        <w:jc w:val="center"/>
        <w:rPr>
          <w:rFonts w:ascii="Arial" w:eastAsia="Arial" w:hAnsi="Arial"/>
          <w:b/>
          <w:sz w:val="16"/>
        </w:rPr>
      </w:pPr>
      <w:r>
        <w:rPr>
          <w:rFonts w:ascii="Arial" w:eastAsia="Arial" w:hAnsi="Arial"/>
          <w:b/>
          <w:sz w:val="16"/>
        </w:rPr>
        <w:t>XII. Doručování</w:t>
      </w:r>
    </w:p>
    <w:p w:rsidR="000E6600" w:rsidRDefault="000E6600" w:rsidP="000E6600">
      <w:pPr>
        <w:spacing w:line="126" w:lineRule="exact"/>
        <w:rPr>
          <w:rFonts w:ascii="Times New Roman" w:eastAsia="Times New Roman" w:hAnsi="Times New Roman"/>
        </w:rPr>
      </w:pPr>
    </w:p>
    <w:p w:rsidR="000E6600" w:rsidRDefault="000E6600" w:rsidP="000E6600">
      <w:pPr>
        <w:numPr>
          <w:ilvl w:val="0"/>
          <w:numId w:val="24"/>
        </w:numPr>
        <w:tabs>
          <w:tab w:val="left" w:pos="284"/>
        </w:tabs>
        <w:spacing w:line="232" w:lineRule="auto"/>
        <w:ind w:left="1" w:right="186" w:hanging="1"/>
        <w:rPr>
          <w:rFonts w:ascii="Arial" w:eastAsia="Arial" w:hAnsi="Arial"/>
          <w:b/>
          <w:sz w:val="16"/>
        </w:rPr>
      </w:pPr>
      <w:r>
        <w:rPr>
          <w:rFonts w:ascii="Arial" w:eastAsia="Arial" w:hAnsi="Arial"/>
          <w:sz w:val="16"/>
        </w:rPr>
        <w:t>Smluvní strany se dohodly na tomto vzájemném způsobu doručování písemností; není-li ve Smlouvě nebo OPD uvedeno jinak, lze jakékoliv sdělení či jiný dokument, jenž má nebo může být doručen podle této Smlouvy, doručit:</w:t>
      </w:r>
    </w:p>
    <w:p w:rsidR="000E6600" w:rsidRDefault="000E6600" w:rsidP="000E6600">
      <w:pPr>
        <w:spacing w:line="59" w:lineRule="exact"/>
        <w:rPr>
          <w:rFonts w:ascii="Arial" w:eastAsia="Arial" w:hAnsi="Arial"/>
          <w:b/>
          <w:sz w:val="16"/>
        </w:rPr>
      </w:pPr>
    </w:p>
    <w:p w:rsidR="000E6600" w:rsidRDefault="000E6600" w:rsidP="000E6600">
      <w:pPr>
        <w:numPr>
          <w:ilvl w:val="1"/>
          <w:numId w:val="24"/>
        </w:numPr>
        <w:tabs>
          <w:tab w:val="left" w:pos="721"/>
        </w:tabs>
        <w:spacing w:line="0" w:lineRule="atLeast"/>
        <w:ind w:left="721" w:hanging="361"/>
        <w:rPr>
          <w:rFonts w:ascii="Arial" w:eastAsia="Arial" w:hAnsi="Arial"/>
          <w:sz w:val="16"/>
        </w:rPr>
      </w:pPr>
      <w:r>
        <w:rPr>
          <w:rFonts w:ascii="Arial" w:eastAsia="Arial" w:hAnsi="Arial"/>
          <w:sz w:val="16"/>
        </w:rPr>
        <w:t>osobně;</w:t>
      </w:r>
    </w:p>
    <w:p w:rsidR="000E6600" w:rsidRDefault="000E6600" w:rsidP="000E6600">
      <w:pPr>
        <w:numPr>
          <w:ilvl w:val="1"/>
          <w:numId w:val="24"/>
        </w:numPr>
        <w:tabs>
          <w:tab w:val="left" w:pos="721"/>
        </w:tabs>
        <w:spacing w:line="0" w:lineRule="atLeast"/>
        <w:ind w:left="721" w:hanging="361"/>
        <w:rPr>
          <w:rFonts w:ascii="Arial" w:eastAsia="Arial" w:hAnsi="Arial"/>
          <w:sz w:val="16"/>
        </w:rPr>
      </w:pPr>
      <w:r>
        <w:rPr>
          <w:rFonts w:ascii="Arial" w:eastAsia="Arial" w:hAnsi="Arial"/>
          <w:sz w:val="16"/>
        </w:rPr>
        <w:t>doporučeným dopisem;</w:t>
      </w:r>
    </w:p>
    <w:p w:rsidR="000E6600" w:rsidRDefault="000E6600" w:rsidP="000E6600">
      <w:pPr>
        <w:numPr>
          <w:ilvl w:val="1"/>
          <w:numId w:val="24"/>
        </w:numPr>
        <w:tabs>
          <w:tab w:val="left" w:pos="721"/>
        </w:tabs>
        <w:spacing w:line="235" w:lineRule="auto"/>
        <w:ind w:left="721" w:hanging="361"/>
        <w:rPr>
          <w:rFonts w:ascii="Arial" w:eastAsia="Arial" w:hAnsi="Arial"/>
          <w:sz w:val="16"/>
        </w:rPr>
      </w:pPr>
      <w:r>
        <w:rPr>
          <w:rFonts w:ascii="Arial" w:eastAsia="Arial" w:hAnsi="Arial"/>
          <w:sz w:val="16"/>
        </w:rPr>
        <w:t>e-mailem;</w:t>
      </w:r>
    </w:p>
    <w:p w:rsidR="000E6600" w:rsidRDefault="000E6600" w:rsidP="000E6600">
      <w:pPr>
        <w:spacing w:line="1" w:lineRule="exact"/>
        <w:rPr>
          <w:rFonts w:ascii="Arial" w:eastAsia="Arial" w:hAnsi="Arial"/>
          <w:sz w:val="16"/>
        </w:rPr>
      </w:pPr>
    </w:p>
    <w:p w:rsidR="000E6600" w:rsidRDefault="000E6600" w:rsidP="000E6600">
      <w:pPr>
        <w:numPr>
          <w:ilvl w:val="1"/>
          <w:numId w:val="24"/>
        </w:numPr>
        <w:tabs>
          <w:tab w:val="left" w:pos="721"/>
        </w:tabs>
        <w:spacing w:line="0" w:lineRule="atLeast"/>
        <w:ind w:left="721" w:hanging="361"/>
        <w:rPr>
          <w:rFonts w:ascii="Arial" w:eastAsia="Arial" w:hAnsi="Arial"/>
          <w:sz w:val="16"/>
        </w:rPr>
      </w:pPr>
      <w:r>
        <w:rPr>
          <w:rFonts w:ascii="Arial" w:eastAsia="Arial" w:hAnsi="Arial"/>
          <w:sz w:val="16"/>
        </w:rPr>
        <w:t>datovou schránkou</w:t>
      </w:r>
    </w:p>
    <w:p w:rsidR="000E6600" w:rsidRDefault="000E6600" w:rsidP="000E6600">
      <w:pPr>
        <w:spacing w:line="311" w:lineRule="exact"/>
        <w:rPr>
          <w:rFonts w:ascii="Times New Roman" w:eastAsia="Times New Roman" w:hAnsi="Times New Roman"/>
        </w:rPr>
      </w:pPr>
    </w:p>
    <w:p w:rsidR="000E6600" w:rsidRDefault="000E6600" w:rsidP="000E6600">
      <w:pPr>
        <w:spacing w:line="235" w:lineRule="auto"/>
        <w:ind w:left="1" w:right="46"/>
        <w:rPr>
          <w:rFonts w:ascii="Arial" w:eastAsia="Arial" w:hAnsi="Arial"/>
          <w:sz w:val="16"/>
        </w:rPr>
      </w:pPr>
      <w:r>
        <w:rPr>
          <w:rFonts w:ascii="Arial" w:eastAsia="Arial" w:hAnsi="Arial"/>
          <w:sz w:val="16"/>
        </w:rPr>
        <w:t>na adresu té které smluvní strany uvedené v záhlaví této Smlouvy nebo jinou adresu, která bude po uzavření této Smlouvy písemně sdělena druhé smluvní straně; pokud jde o doručení faxem či e-mailem na faxové číslo nebo e-mailovou adresu, která bude po uzavření této Smlouvy písemně sdělena druhé smluvní straně.</w:t>
      </w:r>
    </w:p>
    <w:p w:rsidR="000E6600" w:rsidRDefault="000E6600" w:rsidP="000E6600">
      <w:pPr>
        <w:spacing w:line="122" w:lineRule="exact"/>
        <w:rPr>
          <w:rFonts w:ascii="Times New Roman" w:eastAsia="Times New Roman" w:hAnsi="Times New Roman"/>
        </w:rPr>
      </w:pPr>
    </w:p>
    <w:p w:rsidR="000E6600" w:rsidRDefault="000E6600" w:rsidP="000E6600">
      <w:pPr>
        <w:numPr>
          <w:ilvl w:val="0"/>
          <w:numId w:val="25"/>
        </w:numPr>
        <w:tabs>
          <w:tab w:val="left" w:pos="281"/>
        </w:tabs>
        <w:spacing w:line="0" w:lineRule="atLeast"/>
        <w:ind w:left="281" w:hanging="281"/>
        <w:rPr>
          <w:rFonts w:ascii="Arial" w:eastAsia="Arial" w:hAnsi="Arial"/>
          <w:b/>
          <w:sz w:val="16"/>
        </w:rPr>
      </w:pPr>
      <w:r>
        <w:rPr>
          <w:rFonts w:ascii="Arial" w:eastAsia="Arial" w:hAnsi="Arial"/>
          <w:sz w:val="16"/>
        </w:rPr>
        <w:t>Jakékoliv sdělení, oznámení či jiný dokument bude považován za doručený, pokud je doručováno:</w:t>
      </w:r>
    </w:p>
    <w:p w:rsidR="000E6600" w:rsidRDefault="000E6600" w:rsidP="000E6600">
      <w:pPr>
        <w:spacing w:line="58" w:lineRule="exact"/>
        <w:rPr>
          <w:rFonts w:ascii="Arial" w:eastAsia="Arial" w:hAnsi="Arial"/>
          <w:b/>
          <w:sz w:val="16"/>
        </w:rPr>
      </w:pPr>
    </w:p>
    <w:p w:rsidR="000E6600" w:rsidRDefault="000E6600" w:rsidP="000E6600">
      <w:pPr>
        <w:numPr>
          <w:ilvl w:val="1"/>
          <w:numId w:val="25"/>
        </w:numPr>
        <w:tabs>
          <w:tab w:val="left" w:pos="721"/>
        </w:tabs>
        <w:spacing w:line="0" w:lineRule="atLeast"/>
        <w:ind w:left="721" w:hanging="361"/>
        <w:rPr>
          <w:rFonts w:ascii="Arial" w:eastAsia="Arial" w:hAnsi="Arial"/>
          <w:sz w:val="16"/>
        </w:rPr>
      </w:pPr>
      <w:r>
        <w:rPr>
          <w:rFonts w:ascii="Arial" w:eastAsia="Arial" w:hAnsi="Arial"/>
          <w:sz w:val="16"/>
        </w:rPr>
        <w:t>osobně, v okamžiku doručení;</w:t>
      </w:r>
    </w:p>
    <w:p w:rsidR="000E6600" w:rsidRDefault="000E6600" w:rsidP="000E6600">
      <w:pPr>
        <w:spacing w:line="8" w:lineRule="exact"/>
        <w:rPr>
          <w:rFonts w:ascii="Arial" w:eastAsia="Arial" w:hAnsi="Arial"/>
          <w:sz w:val="16"/>
        </w:rPr>
      </w:pPr>
    </w:p>
    <w:p w:rsidR="000E6600" w:rsidRDefault="000E6600" w:rsidP="000E6600">
      <w:pPr>
        <w:numPr>
          <w:ilvl w:val="1"/>
          <w:numId w:val="25"/>
        </w:numPr>
        <w:tabs>
          <w:tab w:val="left" w:pos="721"/>
        </w:tabs>
        <w:spacing w:line="232" w:lineRule="auto"/>
        <w:ind w:left="721" w:right="106" w:hanging="361"/>
        <w:rPr>
          <w:rFonts w:ascii="Arial" w:eastAsia="Arial" w:hAnsi="Arial"/>
          <w:sz w:val="16"/>
        </w:rPr>
      </w:pPr>
      <w:r>
        <w:rPr>
          <w:rFonts w:ascii="Arial" w:eastAsia="Arial" w:hAnsi="Arial"/>
          <w:sz w:val="16"/>
        </w:rPr>
        <w:t>doporučenou poštou, den skutečného doručení a v případě pochybností pět pracovních dnů poté, co bylo poštovním úřadem vystaveno potvrzení o odeslání;</w:t>
      </w:r>
    </w:p>
    <w:p w:rsidR="000E6600" w:rsidRDefault="000E6600" w:rsidP="000E6600">
      <w:pPr>
        <w:spacing w:line="9" w:lineRule="exact"/>
        <w:rPr>
          <w:rFonts w:ascii="Arial" w:eastAsia="Arial" w:hAnsi="Arial"/>
          <w:sz w:val="16"/>
        </w:rPr>
      </w:pPr>
    </w:p>
    <w:p w:rsidR="000E6600" w:rsidRDefault="000E6600" w:rsidP="000E6600">
      <w:pPr>
        <w:numPr>
          <w:ilvl w:val="1"/>
          <w:numId w:val="25"/>
        </w:numPr>
        <w:tabs>
          <w:tab w:val="left" w:pos="721"/>
        </w:tabs>
        <w:spacing w:line="232" w:lineRule="auto"/>
        <w:ind w:left="721" w:right="26" w:hanging="361"/>
        <w:rPr>
          <w:rFonts w:ascii="Arial" w:eastAsia="Arial" w:hAnsi="Arial"/>
          <w:sz w:val="16"/>
        </w:rPr>
      </w:pPr>
      <w:r>
        <w:rPr>
          <w:rFonts w:ascii="Arial" w:eastAsia="Arial" w:hAnsi="Arial"/>
          <w:sz w:val="16"/>
        </w:rPr>
        <w:t>faxem nebo e-mailem, tři hodiny po odeslání, jestliže je doručováno do 12.00 hod. v pracovní den, event. v 10.00 hod následujícího pracovního dne, jestliže je doručováno po 12.00 hodině nebo v den, který není dnem pracovním.</w:t>
      </w:r>
    </w:p>
    <w:p w:rsidR="000E6600" w:rsidRDefault="000E6600" w:rsidP="000E6600">
      <w:pPr>
        <w:spacing w:line="362" w:lineRule="exact"/>
        <w:rPr>
          <w:rFonts w:ascii="Times New Roman" w:eastAsia="Times New Roman" w:hAnsi="Times New Roman"/>
        </w:rPr>
      </w:pPr>
    </w:p>
    <w:p w:rsidR="000E6600" w:rsidRDefault="000E6600" w:rsidP="000E6600">
      <w:pPr>
        <w:spacing w:line="0" w:lineRule="atLeast"/>
        <w:ind w:right="-34"/>
        <w:jc w:val="center"/>
        <w:rPr>
          <w:rFonts w:ascii="Arial" w:eastAsia="Arial" w:hAnsi="Arial"/>
          <w:b/>
          <w:sz w:val="16"/>
        </w:rPr>
      </w:pPr>
      <w:r>
        <w:rPr>
          <w:rFonts w:ascii="Arial" w:eastAsia="Arial" w:hAnsi="Arial"/>
          <w:b/>
          <w:sz w:val="16"/>
        </w:rPr>
        <w:t>XIII. Závěrečná ustanovení</w:t>
      </w:r>
    </w:p>
    <w:p w:rsidR="000E6600" w:rsidRDefault="000E6600" w:rsidP="000E6600">
      <w:pPr>
        <w:spacing w:line="126" w:lineRule="exact"/>
        <w:rPr>
          <w:rFonts w:ascii="Times New Roman" w:eastAsia="Times New Roman" w:hAnsi="Times New Roman"/>
        </w:rPr>
      </w:pPr>
    </w:p>
    <w:p w:rsidR="000E6600" w:rsidRDefault="000E6600" w:rsidP="000E6600">
      <w:pPr>
        <w:numPr>
          <w:ilvl w:val="0"/>
          <w:numId w:val="26"/>
        </w:numPr>
        <w:tabs>
          <w:tab w:val="left" w:pos="284"/>
        </w:tabs>
        <w:spacing w:line="232" w:lineRule="auto"/>
        <w:ind w:left="1" w:right="326" w:hanging="1"/>
        <w:rPr>
          <w:rFonts w:ascii="Arial" w:eastAsia="Arial" w:hAnsi="Arial"/>
          <w:b/>
          <w:sz w:val="16"/>
        </w:rPr>
      </w:pPr>
      <w:r>
        <w:rPr>
          <w:rFonts w:ascii="Arial" w:eastAsia="Arial" w:hAnsi="Arial"/>
          <w:sz w:val="16"/>
        </w:rPr>
        <w:t>Podmínky odchylující se od OPD sjednají obě smluvní strany ve Smlouvě. V případě rozporů mezi ujednáními v OPD a ujednáními ve Smlouvě mají přednost ujednání Smlouvy.</w:t>
      </w:r>
    </w:p>
    <w:p w:rsidR="000E6600" w:rsidRDefault="000E6600" w:rsidP="000E6600">
      <w:pPr>
        <w:spacing w:line="67" w:lineRule="exact"/>
        <w:rPr>
          <w:rFonts w:ascii="Arial" w:eastAsia="Arial" w:hAnsi="Arial"/>
          <w:b/>
          <w:sz w:val="16"/>
        </w:rPr>
      </w:pPr>
    </w:p>
    <w:p w:rsidR="000E6600" w:rsidRDefault="000E6600" w:rsidP="000E6600">
      <w:pPr>
        <w:numPr>
          <w:ilvl w:val="0"/>
          <w:numId w:val="26"/>
        </w:numPr>
        <w:tabs>
          <w:tab w:val="left" w:pos="284"/>
        </w:tabs>
        <w:spacing w:line="235" w:lineRule="auto"/>
        <w:ind w:left="1" w:right="86" w:hanging="1"/>
        <w:rPr>
          <w:rFonts w:ascii="Arial" w:eastAsia="Arial" w:hAnsi="Arial"/>
          <w:b/>
          <w:sz w:val="16"/>
        </w:rPr>
      </w:pPr>
      <w:r>
        <w:rPr>
          <w:rFonts w:ascii="Arial" w:eastAsia="Arial" w:hAnsi="Arial"/>
          <w:sz w:val="16"/>
        </w:rPr>
        <w:t>Ve věcech neupravených OPD a Smlouvou se postupuje dle příslušných právních předpisů. Ukáže-li se nebo stane-li se některé ustanovení Smlouvy nebo OPD neplatným nebo neúčinným, zůstávají ostatní ustanovení Smlouvy a OPD v platnosti a zbývající obsah smlouvy a OPD bude nahrazen příslušnými ustanoveními platných právních předpisů.</w:t>
      </w: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200" w:lineRule="exact"/>
        <w:rPr>
          <w:rFonts w:ascii="Times New Roman" w:eastAsia="Times New Roman" w:hAnsi="Times New Roman"/>
        </w:rPr>
      </w:pPr>
    </w:p>
    <w:p w:rsidR="000E6600" w:rsidRDefault="000E6600" w:rsidP="000E6600">
      <w:pPr>
        <w:spacing w:line="383" w:lineRule="exact"/>
        <w:rPr>
          <w:rFonts w:ascii="Times New Roman" w:eastAsia="Times New Roman" w:hAnsi="Times New Roman"/>
        </w:rPr>
      </w:pPr>
    </w:p>
    <w:p w:rsidR="000E6600" w:rsidRDefault="000E6600" w:rsidP="000E6600">
      <w:pPr>
        <w:spacing w:line="0" w:lineRule="atLeast"/>
        <w:ind w:right="-34"/>
        <w:jc w:val="center"/>
        <w:rPr>
          <w:rFonts w:ascii="Arial" w:eastAsia="Arial" w:hAnsi="Arial"/>
          <w:b/>
        </w:rPr>
      </w:pPr>
      <w:r>
        <w:rPr>
          <w:rFonts w:ascii="Arial" w:eastAsia="Arial" w:hAnsi="Arial"/>
        </w:rPr>
        <w:t xml:space="preserve">Stránka </w:t>
      </w:r>
      <w:r>
        <w:rPr>
          <w:rFonts w:ascii="Arial" w:eastAsia="Arial" w:hAnsi="Arial"/>
          <w:b/>
        </w:rPr>
        <w:t>8</w:t>
      </w:r>
      <w:r>
        <w:rPr>
          <w:rFonts w:ascii="Arial" w:eastAsia="Arial" w:hAnsi="Arial"/>
        </w:rPr>
        <w:t xml:space="preserve"> z </w:t>
      </w:r>
      <w:r>
        <w:rPr>
          <w:rFonts w:ascii="Arial" w:eastAsia="Arial" w:hAnsi="Arial"/>
          <w:b/>
        </w:rPr>
        <w:t>8</w:t>
      </w:r>
    </w:p>
    <w:p w:rsidR="00B86A6E" w:rsidRDefault="00B86A6E">
      <w:bookmarkStart w:id="7" w:name="_GoBack"/>
      <w:bookmarkEnd w:id="7"/>
    </w:p>
    <w:sectPr w:rsidR="00B86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hybridMultilevel"/>
    <w:tmpl w:val="08EDBDA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79838CB2"/>
    <w:lvl w:ilvl="0" w:tplc="FFFFFFFF">
      <w:start w:val="1"/>
      <w:numFmt w:val="decimal"/>
      <w:lvlText w:val="%1"/>
      <w:lvlJc w:val="left"/>
      <w:pPr>
        <w:ind w:left="0" w:firstLine="0"/>
      </w:pPr>
    </w:lvl>
    <w:lvl w:ilvl="1" w:tplc="FFFFFFFF">
      <w:start w:val="35"/>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4353D0CC"/>
    <w:lvl w:ilvl="0" w:tplc="FFFFFFFF">
      <w:start w:val="1"/>
      <w:numFmt w:val="decimal"/>
      <w:lvlText w:val="%1."/>
      <w:lvlJc w:val="left"/>
      <w:pPr>
        <w:ind w:left="0" w:firstLine="0"/>
      </w:p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F"/>
    <w:multiLevelType w:val="hybridMultilevel"/>
    <w:tmpl w:val="0B03E0C6"/>
    <w:lvl w:ilvl="0" w:tplc="FFFFFFFF">
      <w:start w:val="11"/>
      <w:numFmt w:val="decimal"/>
      <w:lvlText w:val="%1."/>
      <w:lvlJc w:val="left"/>
      <w:pPr>
        <w:ind w:left="0" w:firstLine="0"/>
      </w:pPr>
    </w:lvl>
    <w:lvl w:ilvl="1" w:tplc="FFFFFFFF">
      <w:start w:val="1"/>
      <w:numFmt w:val="bullet"/>
      <w:lvlText w:val="•"/>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10"/>
    <w:multiLevelType w:val="hybridMultilevel"/>
    <w:tmpl w:val="189A769A"/>
    <w:lvl w:ilvl="0" w:tplc="FFFFFFFF">
      <w:start w:val="1"/>
      <w:numFmt w:val="lowerLetter"/>
      <w:lvlText w:val="%1"/>
      <w:lvlJc w:val="left"/>
      <w:pPr>
        <w:ind w:left="0" w:firstLine="0"/>
      </w:pPr>
    </w:lvl>
    <w:lvl w:ilvl="1" w:tplc="FFFFFFFF">
      <w:start w:val="27"/>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11"/>
    <w:multiLevelType w:val="hybridMultilevel"/>
    <w:tmpl w:val="54E49EB4"/>
    <w:lvl w:ilvl="0" w:tplc="FFFFFFFF">
      <w:start w:val="2"/>
      <w:numFmt w:val="lowerLetter"/>
      <w:lvlText w:val="%1)"/>
      <w:lvlJc w:val="left"/>
      <w:pPr>
        <w:ind w:left="0" w:firstLine="0"/>
      </w:pPr>
    </w:lvl>
    <w:lvl w:ilvl="1" w:tplc="FFFFFFFF">
      <w:start w:val="28"/>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12"/>
    <w:multiLevelType w:val="hybridMultilevel"/>
    <w:tmpl w:val="71F3245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lowerLetter"/>
      <w:lvlText w:val="%3"/>
      <w:lvlJc w:val="left"/>
      <w:pPr>
        <w:ind w:left="0" w:firstLine="0"/>
      </w:pPr>
    </w:lvl>
    <w:lvl w:ilvl="3" w:tplc="FFFFFFFF">
      <w:start w:val="3"/>
      <w:numFmt w:val="lowerLetter"/>
      <w:lvlText w:val="%4)"/>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13"/>
    <w:multiLevelType w:val="hybridMultilevel"/>
    <w:tmpl w:val="2CA88610"/>
    <w:lvl w:ilvl="0" w:tplc="FFFFFFFF">
      <w:start w:val="12"/>
      <w:numFmt w:val="decimal"/>
      <w:lvlText w:val="%1."/>
      <w:lvlJc w:val="left"/>
      <w:pPr>
        <w:ind w:left="0" w:firstLine="0"/>
      </w:pPr>
    </w:lvl>
    <w:lvl w:ilvl="1" w:tplc="FFFFFFFF">
      <w:start w:val="1"/>
      <w:numFmt w:val="bullet"/>
      <w:lvlText w:val="•"/>
      <w:lvlJc w:val="left"/>
      <w:pPr>
        <w:ind w:left="0" w:firstLine="0"/>
      </w:pPr>
    </w:lvl>
    <w:lvl w:ilvl="2" w:tplc="FFFFFFFF">
      <w:start w:val="1"/>
      <w:numFmt w:val="lowerLetter"/>
      <w:lvlText w:val="%3)"/>
      <w:lvlJc w:val="left"/>
      <w:pPr>
        <w:ind w:left="0" w:firstLine="0"/>
      </w:pPr>
    </w:lvl>
    <w:lvl w:ilvl="3" w:tplc="FFFFFFFF">
      <w:start w:val="1"/>
      <w:numFmt w:val="lowerLetter"/>
      <w:lvlText w:val="%4"/>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14"/>
    <w:multiLevelType w:val="hybridMultilevel"/>
    <w:tmpl w:val="0836C40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2"/>
      <w:numFmt w:val="lowerLetter"/>
      <w:lvlText w:val="%3)"/>
      <w:lvlJc w:val="left"/>
      <w:pPr>
        <w:ind w:left="0" w:firstLine="0"/>
      </w:pPr>
    </w:lvl>
    <w:lvl w:ilvl="3" w:tplc="FFFFFFFF">
      <w:start w:val="61"/>
      <w:numFmt w:val="upperLetter"/>
      <w:lvlText w:val="%4."/>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15"/>
    <w:multiLevelType w:val="hybridMultilevel"/>
    <w:tmpl w:val="02901D8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lowerLetter"/>
      <w:lvlText w:val="%3"/>
      <w:lvlJc w:val="left"/>
      <w:pPr>
        <w:ind w:left="0" w:firstLine="0"/>
      </w:pPr>
    </w:lvl>
    <w:lvl w:ilvl="3" w:tplc="FFFFFFFF">
      <w:start w:val="1"/>
      <w:numFmt w:val="upperLetter"/>
      <w:lvlText w:val="%4"/>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16"/>
    <w:multiLevelType w:val="hybridMultilevel"/>
    <w:tmpl w:val="3A95F87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17"/>
    <w:multiLevelType w:val="hybridMultilevel"/>
    <w:tmpl w:val="08138640"/>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18"/>
    <w:multiLevelType w:val="hybridMultilevel"/>
    <w:tmpl w:val="1E7FF520"/>
    <w:lvl w:ilvl="0" w:tplc="FFFFFFFF">
      <w:start w:val="4"/>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0000019"/>
    <w:multiLevelType w:val="hybridMultilevel"/>
    <w:tmpl w:val="7C3DBD3C"/>
    <w:lvl w:ilvl="0" w:tplc="FFFFFFFF">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15:restartNumberingAfterBreak="0">
    <w:nsid w:val="0000001A"/>
    <w:multiLevelType w:val="hybridMultilevel"/>
    <w:tmpl w:val="737B8DDC"/>
    <w:lvl w:ilvl="0" w:tplc="FFFFFFFF">
      <w:start w:val="1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15:restartNumberingAfterBreak="0">
    <w:nsid w:val="0000001B"/>
    <w:multiLevelType w:val="hybridMultilevel"/>
    <w:tmpl w:val="6CEAF08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15:restartNumberingAfterBreak="0">
    <w:nsid w:val="0000001C"/>
    <w:multiLevelType w:val="hybridMultilevel"/>
    <w:tmpl w:val="22221A70"/>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15:restartNumberingAfterBreak="0">
    <w:nsid w:val="0000001D"/>
    <w:multiLevelType w:val="hybridMultilevel"/>
    <w:tmpl w:val="4516DDE8"/>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15:restartNumberingAfterBreak="0">
    <w:nsid w:val="0000001E"/>
    <w:multiLevelType w:val="hybridMultilevel"/>
    <w:tmpl w:val="3006C83E"/>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15:restartNumberingAfterBreak="0">
    <w:nsid w:val="0000001F"/>
    <w:multiLevelType w:val="hybridMultilevel"/>
    <w:tmpl w:val="614FD4A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15:restartNumberingAfterBreak="0">
    <w:nsid w:val="00000020"/>
    <w:multiLevelType w:val="hybridMultilevel"/>
    <w:tmpl w:val="419AC24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15:restartNumberingAfterBreak="0">
    <w:nsid w:val="00000021"/>
    <w:multiLevelType w:val="hybridMultilevel"/>
    <w:tmpl w:val="5577F8E0"/>
    <w:lvl w:ilvl="0" w:tplc="FFFFFFFF">
      <w:start w:val="9"/>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15:restartNumberingAfterBreak="0">
    <w:nsid w:val="00000022"/>
    <w:multiLevelType w:val="hybridMultilevel"/>
    <w:tmpl w:val="440BADF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15:restartNumberingAfterBreak="0">
    <w:nsid w:val="00000023"/>
    <w:multiLevelType w:val="hybridMultilevel"/>
    <w:tmpl w:val="05072366"/>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15:restartNumberingAfterBreak="0">
    <w:nsid w:val="00000024"/>
    <w:multiLevelType w:val="hybridMultilevel"/>
    <w:tmpl w:val="3804823E"/>
    <w:lvl w:ilvl="0" w:tplc="FFFFFFFF">
      <w:start w:val="2"/>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5" w15:restartNumberingAfterBreak="0">
    <w:nsid w:val="00000025"/>
    <w:multiLevelType w:val="hybridMultilevel"/>
    <w:tmpl w:val="77465F0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35"/>
    </w:lvlOverride>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
    <w:lvlOverride w:ilvl="0">
      <w:startOverride w:val="11"/>
    </w:lvlOverride>
    <w:lvlOverride w:ilvl="1"/>
    <w:lvlOverride w:ilvl="2">
      <w:startOverride w:val="1"/>
    </w:lvlOverride>
    <w:lvlOverride w:ilvl="3"/>
    <w:lvlOverride w:ilvl="4"/>
    <w:lvlOverride w:ilvl="5"/>
    <w:lvlOverride w:ilvl="6"/>
    <w:lvlOverride w:ilvl="7"/>
    <w:lvlOverride w:ilvl="8"/>
  </w:num>
  <w:num w:numId="5">
    <w:abstractNumId w:val="4"/>
    <w:lvlOverride w:ilvl="0">
      <w:startOverride w:val="1"/>
    </w:lvlOverride>
    <w:lvlOverride w:ilvl="1">
      <w:startOverride w:val="27"/>
    </w:lvlOverride>
    <w:lvlOverride w:ilvl="2"/>
    <w:lvlOverride w:ilvl="3"/>
    <w:lvlOverride w:ilvl="4"/>
    <w:lvlOverride w:ilvl="5"/>
    <w:lvlOverride w:ilvl="6"/>
    <w:lvlOverride w:ilvl="7"/>
    <w:lvlOverride w:ilvl="8"/>
  </w:num>
  <w:num w:numId="6">
    <w:abstractNumId w:val="5"/>
    <w:lvlOverride w:ilvl="0">
      <w:startOverride w:val="2"/>
    </w:lvlOverride>
    <w:lvlOverride w:ilvl="1">
      <w:startOverride w:val="28"/>
    </w:lvlOverride>
    <w:lvlOverride w:ilvl="2"/>
    <w:lvlOverride w:ilvl="3"/>
    <w:lvlOverride w:ilvl="4"/>
    <w:lvlOverride w:ilvl="5"/>
    <w:lvlOverride w:ilvl="6"/>
    <w:lvlOverride w:ilvl="7"/>
    <w:lvlOverride w:ilvl="8"/>
  </w:num>
  <w:num w:numId="7">
    <w:abstractNumId w:val="6"/>
    <w:lvlOverride w:ilvl="0">
      <w:startOverride w:val="1"/>
    </w:lvlOverride>
    <w:lvlOverride w:ilvl="1"/>
    <w:lvlOverride w:ilvl="2">
      <w:startOverride w:val="1"/>
    </w:lvlOverride>
    <w:lvlOverride w:ilvl="3">
      <w:startOverride w:val="3"/>
    </w:lvlOverride>
    <w:lvlOverride w:ilvl="4"/>
    <w:lvlOverride w:ilvl="5"/>
    <w:lvlOverride w:ilvl="6"/>
    <w:lvlOverride w:ilvl="7"/>
    <w:lvlOverride w:ilvl="8"/>
  </w:num>
  <w:num w:numId="8">
    <w:abstractNumId w:val="7"/>
    <w:lvlOverride w:ilvl="0">
      <w:startOverride w:val="12"/>
    </w:lvlOverride>
    <w:lvlOverride w:ilvl="1"/>
    <w:lvlOverride w:ilvl="2">
      <w:startOverride w:val="1"/>
    </w:lvlOverride>
    <w:lvlOverride w:ilvl="3">
      <w:startOverride w:val="1"/>
    </w:lvlOverride>
    <w:lvlOverride w:ilvl="4"/>
    <w:lvlOverride w:ilvl="5"/>
    <w:lvlOverride w:ilvl="6"/>
    <w:lvlOverride w:ilvl="7"/>
    <w:lvlOverride w:ilvl="8"/>
  </w:num>
  <w:num w:numId="9">
    <w:abstractNumId w:val="8"/>
    <w:lvlOverride w:ilvl="0">
      <w:startOverride w:val="1"/>
    </w:lvlOverride>
    <w:lvlOverride w:ilvl="1"/>
    <w:lvlOverride w:ilvl="2">
      <w:startOverride w:val="2"/>
    </w:lvlOverride>
    <w:lvlOverride w:ilvl="3">
      <w:startOverride w:val="61"/>
    </w:lvlOverride>
    <w:lvlOverride w:ilvl="4"/>
    <w:lvlOverride w:ilvl="5"/>
    <w:lvlOverride w:ilvl="6"/>
    <w:lvlOverride w:ilvl="7"/>
    <w:lvlOverride w:ilvl="8"/>
  </w:num>
  <w:num w:numId="10">
    <w:abstractNumId w:val="9"/>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2"/>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13"/>
    <w:lvlOverride w:ilvl="0">
      <w:startOverride w:val="6"/>
    </w:lvlOverride>
    <w:lvlOverride w:ilvl="1"/>
    <w:lvlOverride w:ilvl="2"/>
    <w:lvlOverride w:ilvl="3"/>
    <w:lvlOverride w:ilvl="4"/>
    <w:lvlOverride w:ilvl="5"/>
    <w:lvlOverride w:ilvl="6"/>
    <w:lvlOverride w:ilvl="7"/>
    <w:lvlOverride w:ilvl="8"/>
  </w:num>
  <w:num w:numId="15">
    <w:abstractNumId w:val="14"/>
    <w:lvlOverride w:ilvl="0">
      <w:startOverride w:val="11"/>
    </w:lvlOverride>
    <w:lvlOverride w:ilvl="1"/>
    <w:lvlOverride w:ilvl="2"/>
    <w:lvlOverride w:ilvl="3"/>
    <w:lvlOverride w:ilvl="4"/>
    <w:lvlOverride w:ilvl="5"/>
    <w:lvlOverride w:ilvl="6"/>
    <w:lvlOverride w:ilvl="7"/>
    <w:lvlOverride w:ilvl="8"/>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8"/>
    <w:lvlOverride w:ilvl="0">
      <w:startOverride w:val="4"/>
    </w:lvlOverride>
    <w:lvlOverride w:ilvl="1"/>
    <w:lvlOverride w:ilvl="2"/>
    <w:lvlOverride w:ilvl="3"/>
    <w:lvlOverride w:ilvl="4"/>
    <w:lvlOverride w:ilvl="5"/>
    <w:lvlOverride w:ilvl="6"/>
    <w:lvlOverride w:ilvl="7"/>
    <w:lvlOverride w:ilvl="8"/>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21"/>
    <w:lvlOverride w:ilvl="0">
      <w:startOverride w:val="9"/>
    </w:lvlOverride>
    <w:lvlOverride w:ilvl="1"/>
    <w:lvlOverride w:ilvl="2"/>
    <w:lvlOverride w:ilvl="3"/>
    <w:lvlOverride w:ilvl="4"/>
    <w:lvlOverride w:ilvl="5"/>
    <w:lvlOverride w:ilvl="6"/>
    <w:lvlOverride w:ilvl="7"/>
    <w:lvlOverride w:ilvl="8"/>
  </w:num>
  <w:num w:numId="23">
    <w:abstractNumId w:val="22"/>
    <w:lvlOverride w:ilvl="0">
      <w:startOverride w:val="1"/>
    </w:lvlOverride>
    <w:lvlOverride w:ilvl="1"/>
    <w:lvlOverride w:ilvl="2"/>
    <w:lvlOverride w:ilvl="3"/>
    <w:lvlOverride w:ilvl="4"/>
    <w:lvlOverride w:ilvl="5"/>
    <w:lvlOverride w:ilvl="6"/>
    <w:lvlOverride w:ilvl="7"/>
    <w:lvlOverride w:ilvl="8"/>
  </w:num>
  <w:num w:numId="24">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24"/>
    <w:lvlOverride w:ilvl="0">
      <w:startOverride w:val="2"/>
    </w:lvlOverride>
    <w:lvlOverride w:ilvl="1">
      <w:startOverride w:val="1"/>
    </w:lvlOverride>
    <w:lvlOverride w:ilvl="2"/>
    <w:lvlOverride w:ilvl="3"/>
    <w:lvlOverride w:ilvl="4"/>
    <w:lvlOverride w:ilvl="5"/>
    <w:lvlOverride w:ilvl="6"/>
    <w:lvlOverride w:ilvl="7"/>
    <w:lvlOverride w:ilvl="8"/>
  </w:num>
  <w:num w:numId="26">
    <w:abstractNumId w:val="2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00"/>
    <w:rsid w:val="000E6600"/>
    <w:rsid w:val="00B86A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3EB34-70C4-43FB-B501-C301602F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E6600"/>
    <w:pPr>
      <w:spacing w:after="0" w:line="240" w:lineRule="auto"/>
    </w:pPr>
    <w:rPr>
      <w:rFonts w:ascii="Calibri" w:eastAsia="Calibri" w:hAnsi="Calibri"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4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6152</Words>
  <Characters>36303</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cp:revision>
  <dcterms:created xsi:type="dcterms:W3CDTF">2024-09-19T06:50:00Z</dcterms:created>
  <dcterms:modified xsi:type="dcterms:W3CDTF">2024-09-19T06:51:00Z</dcterms:modified>
</cp:coreProperties>
</file>