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CD5F" w14:textId="354D7D4B" w:rsidR="009C5502" w:rsidRDefault="009C5502" w:rsidP="00BA1743">
      <w:pPr>
        <w:pStyle w:val="CZNzevlnku"/>
        <w:rPr>
          <w:rFonts w:asciiTheme="minorHAnsi" w:hAnsiTheme="minorHAnsi"/>
          <w:sz w:val="24"/>
        </w:rPr>
      </w:pPr>
      <w:r w:rsidRPr="009C5502">
        <w:rPr>
          <w:rFonts w:asciiTheme="minorHAnsi" w:hAnsiTheme="minorHAnsi"/>
          <w:sz w:val="24"/>
        </w:rPr>
        <w:t xml:space="preserve">Smlouva o dodávce software </w:t>
      </w:r>
      <w:r>
        <w:rPr>
          <w:rFonts w:asciiTheme="minorHAnsi" w:hAnsiTheme="minorHAnsi" w:cs="Calibri"/>
          <w:sz w:val="24"/>
        </w:rPr>
        <w:t>na pořízení produktů Microsoft</w:t>
      </w:r>
    </w:p>
    <w:p w14:paraId="60624E0A" w14:textId="77777777" w:rsidR="00BA1743" w:rsidRDefault="00BA1743" w:rsidP="00BA1743">
      <w:pPr>
        <w:rPr>
          <w:rFonts w:asciiTheme="minorHAnsi" w:hAnsiTheme="minorHAnsi" w:cs="Calibri"/>
          <w:sz w:val="24"/>
        </w:rPr>
      </w:pPr>
      <w:r>
        <w:rPr>
          <w:rFonts w:asciiTheme="minorHAnsi" w:hAnsiTheme="minorHAnsi" w:cs="Calibri"/>
          <w:sz w:val="24"/>
        </w:rPr>
        <w:t xml:space="preserve">Níže uvedeného dne, měsíce a roku smluvní strany </w:t>
      </w:r>
    </w:p>
    <w:p w14:paraId="3658D217" w14:textId="77777777" w:rsidR="00BA1743" w:rsidRDefault="00BA1743" w:rsidP="00BA1743">
      <w:pPr>
        <w:rPr>
          <w:rFonts w:asciiTheme="minorHAnsi" w:hAnsiTheme="minorHAnsi" w:cs="Calibri"/>
          <w:sz w:val="24"/>
        </w:rPr>
      </w:pPr>
    </w:p>
    <w:p w14:paraId="30C1C485" w14:textId="77777777" w:rsidR="00EA2DFA" w:rsidRPr="00EA2DFA" w:rsidRDefault="00EA2DFA" w:rsidP="00EA2DFA">
      <w:pPr>
        <w:tabs>
          <w:tab w:val="left" w:pos="3148"/>
        </w:tabs>
        <w:rPr>
          <w:rFonts w:asciiTheme="minorHAnsi" w:hAnsiTheme="minorHAnsi" w:cstheme="minorHAnsi"/>
          <w:b/>
          <w:sz w:val="24"/>
        </w:rPr>
      </w:pPr>
      <w:r w:rsidRPr="00EA2DFA">
        <w:rPr>
          <w:rFonts w:asciiTheme="minorHAnsi" w:hAnsiTheme="minorHAnsi" w:cstheme="minorHAnsi"/>
          <w:b/>
          <w:sz w:val="24"/>
        </w:rPr>
        <w:t>Objednatel:</w:t>
      </w:r>
      <w:r w:rsidRPr="00EA2DFA">
        <w:rPr>
          <w:rFonts w:asciiTheme="minorHAnsi" w:hAnsiTheme="minorHAnsi" w:cstheme="minorHAnsi"/>
          <w:b/>
          <w:sz w:val="24"/>
        </w:rPr>
        <w:tab/>
        <w:t>Česká informační agentura životního prostředí</w:t>
      </w:r>
    </w:p>
    <w:p w14:paraId="149CE24F" w14:textId="77777777" w:rsidR="00EA2DFA" w:rsidRPr="00EA2DFA" w:rsidRDefault="00EA2DFA" w:rsidP="00EA2DFA">
      <w:pPr>
        <w:tabs>
          <w:tab w:val="left" w:pos="3148"/>
        </w:tabs>
        <w:ind w:left="316"/>
        <w:rPr>
          <w:rFonts w:asciiTheme="minorHAnsi" w:hAnsiTheme="minorHAnsi" w:cstheme="minorHAnsi"/>
          <w:bCs/>
          <w:sz w:val="24"/>
        </w:rPr>
      </w:pPr>
      <w:r w:rsidRPr="00EA2DFA">
        <w:rPr>
          <w:rFonts w:asciiTheme="minorHAnsi" w:hAnsiTheme="minorHAnsi" w:cstheme="minorHAnsi"/>
          <w:b/>
          <w:sz w:val="24"/>
        </w:rPr>
        <w:tab/>
      </w:r>
      <w:r w:rsidRPr="00EA2DFA">
        <w:rPr>
          <w:rFonts w:asciiTheme="minorHAnsi" w:hAnsiTheme="minorHAnsi" w:cstheme="minorHAnsi"/>
          <w:bCs/>
          <w:sz w:val="24"/>
        </w:rPr>
        <w:t>státní příspěvková organizace</w:t>
      </w:r>
    </w:p>
    <w:p w14:paraId="61A2A8D2" w14:textId="77777777"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se</w:t>
      </w:r>
      <w:r w:rsidRPr="00EA2DFA">
        <w:rPr>
          <w:rFonts w:asciiTheme="minorHAnsi" w:hAnsiTheme="minorHAnsi" w:cstheme="minorHAnsi"/>
          <w:spacing w:val="-2"/>
          <w:sz w:val="24"/>
          <w:szCs w:val="24"/>
        </w:rPr>
        <w:t xml:space="preserve"> </w:t>
      </w:r>
      <w:r w:rsidRPr="00EA2DFA">
        <w:rPr>
          <w:rFonts w:asciiTheme="minorHAnsi" w:hAnsiTheme="minorHAnsi" w:cstheme="minorHAnsi"/>
          <w:sz w:val="24"/>
          <w:szCs w:val="24"/>
        </w:rPr>
        <w:t>sídlem:</w:t>
      </w:r>
      <w:r w:rsidRPr="00EA2DFA">
        <w:rPr>
          <w:rFonts w:asciiTheme="minorHAnsi" w:hAnsiTheme="minorHAnsi" w:cstheme="minorHAnsi"/>
          <w:sz w:val="24"/>
          <w:szCs w:val="24"/>
        </w:rPr>
        <w:tab/>
        <w:t>Moskevská 1523/63, 101 00 Praha</w:t>
      </w:r>
      <w:r w:rsidRPr="00EA2DFA">
        <w:rPr>
          <w:rFonts w:asciiTheme="minorHAnsi" w:hAnsiTheme="minorHAnsi" w:cstheme="minorHAnsi"/>
          <w:spacing w:val="-6"/>
          <w:sz w:val="24"/>
          <w:szCs w:val="24"/>
        </w:rPr>
        <w:t xml:space="preserve"> </w:t>
      </w:r>
      <w:r w:rsidRPr="00EA2DFA">
        <w:rPr>
          <w:rFonts w:asciiTheme="minorHAnsi" w:hAnsiTheme="minorHAnsi" w:cstheme="minorHAnsi"/>
          <w:sz w:val="24"/>
          <w:szCs w:val="24"/>
        </w:rPr>
        <w:t>10</w:t>
      </w:r>
    </w:p>
    <w:p w14:paraId="38335C01" w14:textId="565EFAB8" w:rsidR="00EA2DFA" w:rsidRPr="00EA2DFA" w:rsidRDefault="00EA2DFA" w:rsidP="00EA2DFA">
      <w:pPr>
        <w:pStyle w:val="Zkladntext"/>
        <w:tabs>
          <w:tab w:val="left" w:pos="3148"/>
        </w:tabs>
        <w:spacing w:before="37"/>
        <w:ind w:left="0"/>
        <w:rPr>
          <w:rFonts w:asciiTheme="minorHAnsi" w:hAnsiTheme="minorHAnsi" w:cstheme="minorHAnsi"/>
          <w:sz w:val="24"/>
          <w:szCs w:val="24"/>
        </w:rPr>
      </w:pPr>
      <w:r w:rsidRPr="00EA2DFA">
        <w:rPr>
          <w:rFonts w:asciiTheme="minorHAnsi" w:hAnsiTheme="minorHAnsi" w:cstheme="minorHAnsi"/>
          <w:sz w:val="24"/>
          <w:szCs w:val="24"/>
        </w:rPr>
        <w:t>zastoupená:</w:t>
      </w:r>
      <w:r w:rsidRPr="00EA2DFA">
        <w:rPr>
          <w:rFonts w:asciiTheme="minorHAnsi" w:hAnsiTheme="minorHAnsi" w:cstheme="minorHAnsi"/>
          <w:sz w:val="24"/>
          <w:szCs w:val="24"/>
        </w:rPr>
        <w:tab/>
      </w:r>
      <w:r w:rsidR="006850C2">
        <w:rPr>
          <w:rFonts w:asciiTheme="minorHAnsi" w:hAnsiTheme="minorHAnsi" w:cstheme="minorHAnsi"/>
          <w:sz w:val="24"/>
          <w:szCs w:val="24"/>
        </w:rPr>
        <w:t>Ing. Jiřím Valtou</w:t>
      </w:r>
      <w:r w:rsidRPr="00EA2DFA">
        <w:rPr>
          <w:rFonts w:asciiTheme="minorHAnsi" w:hAnsiTheme="minorHAnsi" w:cstheme="minorHAnsi"/>
          <w:sz w:val="24"/>
          <w:szCs w:val="24"/>
        </w:rPr>
        <w:t>, ředitelem</w:t>
      </w:r>
    </w:p>
    <w:p w14:paraId="255D526E" w14:textId="77777777"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IČO:</w:t>
      </w:r>
      <w:r w:rsidRPr="00EA2DFA">
        <w:rPr>
          <w:rFonts w:asciiTheme="minorHAnsi" w:hAnsiTheme="minorHAnsi" w:cstheme="minorHAnsi"/>
          <w:sz w:val="24"/>
          <w:szCs w:val="24"/>
        </w:rPr>
        <w:tab/>
        <w:t>45249130</w:t>
      </w:r>
    </w:p>
    <w:p w14:paraId="0830050E" w14:textId="77777777"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DIČ:</w:t>
      </w:r>
      <w:r w:rsidRPr="00EA2DFA">
        <w:rPr>
          <w:rFonts w:asciiTheme="minorHAnsi" w:hAnsiTheme="minorHAnsi" w:cstheme="minorHAnsi"/>
          <w:sz w:val="24"/>
          <w:szCs w:val="24"/>
        </w:rPr>
        <w:tab/>
        <w:t>CZ45249130</w:t>
      </w:r>
    </w:p>
    <w:p w14:paraId="353E9B51" w14:textId="77777777"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(není plátce DPH)</w:t>
      </w:r>
    </w:p>
    <w:p w14:paraId="3DD932DD" w14:textId="7C45F8DE"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bankovní</w:t>
      </w:r>
      <w:r w:rsidRPr="00EA2DFA">
        <w:rPr>
          <w:rFonts w:asciiTheme="minorHAnsi" w:hAnsiTheme="minorHAnsi" w:cstheme="minorHAnsi"/>
          <w:spacing w:val="-5"/>
          <w:sz w:val="24"/>
          <w:szCs w:val="24"/>
        </w:rPr>
        <w:t xml:space="preserve"> </w:t>
      </w:r>
      <w:r w:rsidRPr="00EA2DFA">
        <w:rPr>
          <w:rFonts w:asciiTheme="minorHAnsi" w:hAnsiTheme="minorHAnsi" w:cstheme="minorHAnsi"/>
          <w:sz w:val="24"/>
          <w:szCs w:val="24"/>
        </w:rPr>
        <w:t>spojení:</w:t>
      </w:r>
      <w:r w:rsidRPr="00EA2DFA">
        <w:rPr>
          <w:rFonts w:asciiTheme="minorHAnsi" w:hAnsiTheme="minorHAnsi" w:cstheme="minorHAnsi"/>
          <w:sz w:val="24"/>
          <w:szCs w:val="24"/>
        </w:rPr>
        <w:tab/>
        <w:t>ČNB, Praha 1</w:t>
      </w:r>
    </w:p>
    <w:p w14:paraId="50812A37" w14:textId="772A3BE7" w:rsidR="00EA2DFA" w:rsidRPr="00EA2DFA" w:rsidRDefault="00EA2DFA" w:rsidP="00EA2DFA">
      <w:pPr>
        <w:pStyle w:val="Zkladntext"/>
        <w:tabs>
          <w:tab w:val="left" w:pos="3148"/>
        </w:tabs>
        <w:spacing w:before="40"/>
        <w:ind w:left="0"/>
        <w:rPr>
          <w:rFonts w:asciiTheme="minorHAnsi" w:hAnsiTheme="minorHAnsi" w:cstheme="minorHAnsi"/>
          <w:sz w:val="24"/>
          <w:szCs w:val="24"/>
        </w:rPr>
      </w:pPr>
      <w:r w:rsidRPr="00EA2DFA">
        <w:rPr>
          <w:rFonts w:asciiTheme="minorHAnsi" w:hAnsiTheme="minorHAnsi" w:cstheme="minorHAnsi"/>
          <w:sz w:val="24"/>
          <w:szCs w:val="24"/>
        </w:rPr>
        <w:t>číslo</w:t>
      </w:r>
      <w:r w:rsidRPr="00EA2DFA">
        <w:rPr>
          <w:rFonts w:asciiTheme="minorHAnsi" w:hAnsiTheme="minorHAnsi" w:cstheme="minorHAnsi"/>
          <w:spacing w:val="-1"/>
          <w:sz w:val="24"/>
          <w:szCs w:val="24"/>
        </w:rPr>
        <w:t xml:space="preserve"> bankovního </w:t>
      </w:r>
      <w:r w:rsidRPr="00EA2DFA">
        <w:rPr>
          <w:rFonts w:asciiTheme="minorHAnsi" w:hAnsiTheme="minorHAnsi" w:cstheme="minorHAnsi"/>
          <w:sz w:val="24"/>
          <w:szCs w:val="24"/>
        </w:rPr>
        <w:t>účtu:</w:t>
      </w:r>
      <w:r w:rsidRPr="00EA2DFA">
        <w:rPr>
          <w:rFonts w:asciiTheme="minorHAnsi" w:hAnsiTheme="minorHAnsi" w:cstheme="minorHAnsi"/>
          <w:sz w:val="24"/>
          <w:szCs w:val="24"/>
        </w:rPr>
        <w:tab/>
        <w:t>1837101/0710</w:t>
      </w:r>
    </w:p>
    <w:p w14:paraId="063D6955" w14:textId="4D3ECA64" w:rsidR="00EA2DFA" w:rsidRPr="00EA2DFA" w:rsidRDefault="00EA2DFA" w:rsidP="00EA2DFA">
      <w:pPr>
        <w:pStyle w:val="paragraph"/>
        <w:spacing w:before="0" w:beforeAutospacing="0" w:after="0" w:afterAutospacing="0"/>
        <w:textAlignment w:val="baseline"/>
        <w:rPr>
          <w:rFonts w:asciiTheme="minorHAnsi" w:hAnsiTheme="minorHAnsi" w:cstheme="minorHAnsi"/>
          <w:sz w:val="24"/>
          <w:szCs w:val="24"/>
        </w:rPr>
      </w:pPr>
      <w:r w:rsidRPr="00EA2DFA">
        <w:rPr>
          <w:rStyle w:val="normaltextrun"/>
          <w:rFonts w:asciiTheme="minorHAnsi" w:hAnsiTheme="minorHAnsi" w:cstheme="minorHAnsi"/>
          <w:sz w:val="24"/>
          <w:szCs w:val="24"/>
        </w:rPr>
        <w:t>datová schránka pro zasílání písemností: </w:t>
      </w:r>
      <w:proofErr w:type="spellStart"/>
      <w:r w:rsidRPr="00EA2DFA">
        <w:rPr>
          <w:rStyle w:val="spellingerror"/>
          <w:rFonts w:asciiTheme="minorHAnsi" w:hAnsiTheme="minorHAnsi" w:cstheme="minorHAnsi"/>
          <w:sz w:val="24"/>
          <w:szCs w:val="24"/>
        </w:rPr>
        <w:t>wjxibvp</w:t>
      </w:r>
      <w:proofErr w:type="spellEnd"/>
      <w:r w:rsidRPr="00EA2DFA">
        <w:rPr>
          <w:rStyle w:val="normaltextrun"/>
          <w:rFonts w:asciiTheme="minorHAnsi" w:hAnsiTheme="minorHAnsi" w:cstheme="minorHAnsi"/>
          <w:sz w:val="24"/>
          <w:szCs w:val="24"/>
        </w:rPr>
        <w:t xml:space="preserve"> nebo emailová </w:t>
      </w:r>
      <w:r>
        <w:rPr>
          <w:rStyle w:val="normaltextrun"/>
          <w:rFonts w:asciiTheme="minorHAnsi" w:hAnsiTheme="minorHAnsi" w:cstheme="minorHAnsi"/>
          <w:sz w:val="24"/>
          <w:szCs w:val="24"/>
        </w:rPr>
        <w:t>a</w:t>
      </w:r>
      <w:r w:rsidRPr="00EA2DFA">
        <w:rPr>
          <w:rStyle w:val="normaltextrun"/>
          <w:rFonts w:asciiTheme="minorHAnsi" w:hAnsiTheme="minorHAnsi" w:cstheme="minorHAnsi"/>
          <w:sz w:val="24"/>
          <w:szCs w:val="24"/>
        </w:rPr>
        <w:t>dresa </w:t>
      </w:r>
      <w:hyperlink r:id="rId7" w:tgtFrame="_blank" w:history="1">
        <w:r w:rsidRPr="00EA2DFA">
          <w:rPr>
            <w:rStyle w:val="normaltextrun"/>
            <w:rFonts w:asciiTheme="minorHAnsi" w:hAnsiTheme="minorHAnsi" w:cstheme="minorHAnsi"/>
            <w:color w:val="0000FF"/>
            <w:sz w:val="24"/>
            <w:szCs w:val="24"/>
            <w:u w:val="single"/>
          </w:rPr>
          <w:t>sekretariat@cenia.cz</w:t>
        </w:r>
      </w:hyperlink>
      <w:r w:rsidRPr="00EA2DFA">
        <w:rPr>
          <w:rStyle w:val="eop"/>
          <w:rFonts w:asciiTheme="minorHAnsi" w:hAnsiTheme="minorHAnsi" w:cstheme="minorHAnsi"/>
          <w:sz w:val="24"/>
          <w:szCs w:val="24"/>
        </w:rPr>
        <w:t> </w:t>
      </w:r>
    </w:p>
    <w:p w14:paraId="7CFEA430" w14:textId="77777777" w:rsidR="00EA2DFA" w:rsidRPr="00EA2DFA" w:rsidRDefault="00EA2DFA" w:rsidP="00EA2DFA">
      <w:pPr>
        <w:pStyle w:val="paragraph"/>
        <w:spacing w:before="0" w:beforeAutospacing="0" w:after="0" w:afterAutospacing="0"/>
        <w:textAlignment w:val="baseline"/>
        <w:rPr>
          <w:rFonts w:asciiTheme="minorHAnsi" w:hAnsiTheme="minorHAnsi" w:cstheme="minorHAnsi"/>
          <w:sz w:val="24"/>
          <w:szCs w:val="24"/>
        </w:rPr>
      </w:pPr>
      <w:r w:rsidRPr="00EA2DFA">
        <w:rPr>
          <w:rStyle w:val="normaltextrun"/>
          <w:rFonts w:asciiTheme="minorHAnsi" w:hAnsiTheme="minorHAnsi" w:cstheme="minorHAnsi"/>
          <w:sz w:val="24"/>
          <w:szCs w:val="24"/>
        </w:rPr>
        <w:t>emailová adresa pro zasílání faktur: </w:t>
      </w:r>
      <w:hyperlink r:id="rId8" w:tgtFrame="_blank" w:history="1">
        <w:r w:rsidRPr="00EA2DFA">
          <w:rPr>
            <w:rStyle w:val="normaltextrun"/>
            <w:rFonts w:asciiTheme="minorHAnsi" w:hAnsiTheme="minorHAnsi" w:cstheme="minorHAnsi"/>
            <w:color w:val="0000FF"/>
            <w:sz w:val="24"/>
            <w:szCs w:val="24"/>
            <w:u w:val="single"/>
          </w:rPr>
          <w:t>podatelna@cenia.cz</w:t>
        </w:r>
      </w:hyperlink>
      <w:r w:rsidRPr="00EA2DFA">
        <w:rPr>
          <w:rStyle w:val="normaltextrun"/>
          <w:rFonts w:asciiTheme="minorHAnsi" w:hAnsiTheme="minorHAnsi" w:cstheme="minorHAnsi"/>
          <w:sz w:val="24"/>
          <w:szCs w:val="24"/>
        </w:rPr>
        <w:t> </w:t>
      </w:r>
      <w:r w:rsidRPr="00EA2DFA">
        <w:rPr>
          <w:rStyle w:val="eop"/>
          <w:rFonts w:asciiTheme="minorHAnsi" w:hAnsiTheme="minorHAnsi" w:cstheme="minorHAnsi"/>
          <w:sz w:val="24"/>
          <w:szCs w:val="24"/>
        </w:rPr>
        <w:t> </w:t>
      </w:r>
    </w:p>
    <w:p w14:paraId="4FEDBC20" w14:textId="77777777" w:rsidR="00EA2DFA" w:rsidRPr="00346F54" w:rsidRDefault="00EA2DFA" w:rsidP="00EA2DFA">
      <w:pPr>
        <w:pStyle w:val="Zkladntext"/>
        <w:tabs>
          <w:tab w:val="right" w:pos="4248"/>
        </w:tabs>
        <w:spacing w:before="0"/>
        <w:ind w:left="316"/>
      </w:pPr>
    </w:p>
    <w:p w14:paraId="1CC701FE" w14:textId="77777777" w:rsidR="00BA1743" w:rsidRDefault="00BA1743" w:rsidP="00BA1743">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19A43429" w14:textId="77777777" w:rsidR="00BA1743" w:rsidRDefault="00BA1743" w:rsidP="00BA1743">
      <w:pPr>
        <w:pStyle w:val="CZZkladntexttun"/>
        <w:rPr>
          <w:rFonts w:asciiTheme="minorHAnsi" w:hAnsiTheme="minorHAnsi" w:cs="Calibri"/>
          <w:sz w:val="24"/>
        </w:rPr>
      </w:pPr>
      <w:r>
        <w:rPr>
          <w:rFonts w:asciiTheme="minorHAnsi" w:hAnsiTheme="minorHAnsi" w:cs="Calibri"/>
          <w:sz w:val="24"/>
        </w:rPr>
        <w:t>na straně jedné</w:t>
      </w:r>
    </w:p>
    <w:p w14:paraId="4B71B5ED" w14:textId="77777777" w:rsidR="00BA1743" w:rsidRDefault="00BA1743" w:rsidP="00BA1743">
      <w:pPr>
        <w:pStyle w:val="CZZkladntexttun"/>
        <w:rPr>
          <w:rFonts w:asciiTheme="minorHAnsi" w:hAnsiTheme="minorHAnsi" w:cs="Calibri"/>
          <w:sz w:val="24"/>
        </w:rPr>
      </w:pPr>
    </w:p>
    <w:p w14:paraId="645D254E" w14:textId="77777777" w:rsidR="00BA1743" w:rsidRDefault="00BA1743" w:rsidP="00BA1743">
      <w:pPr>
        <w:pStyle w:val="CZZkladntexttun"/>
        <w:rPr>
          <w:rFonts w:asciiTheme="minorHAnsi" w:hAnsiTheme="minorHAnsi" w:cs="Calibri"/>
          <w:sz w:val="24"/>
        </w:rPr>
      </w:pPr>
      <w:r>
        <w:rPr>
          <w:rFonts w:asciiTheme="minorHAnsi" w:hAnsiTheme="minorHAnsi" w:cs="Calibri"/>
          <w:sz w:val="24"/>
        </w:rPr>
        <w:t>a</w:t>
      </w:r>
    </w:p>
    <w:p w14:paraId="646D03DD" w14:textId="6CDA9EA5" w:rsidR="00BA1743" w:rsidRDefault="00BA1743" w:rsidP="00BA1743">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28092E" w:rsidRPr="0028092E">
        <w:rPr>
          <w:rFonts w:asciiTheme="minorHAnsi" w:hAnsiTheme="minorHAnsi" w:cs="Calibri"/>
          <w:sz w:val="24"/>
        </w:rPr>
        <w:t>Hi</w:t>
      </w:r>
      <w:proofErr w:type="spellEnd"/>
      <w:r w:rsidR="0028092E" w:rsidRPr="0028092E">
        <w:rPr>
          <w:rFonts w:asciiTheme="minorHAnsi" w:hAnsiTheme="minorHAnsi" w:cs="Calibri"/>
          <w:sz w:val="24"/>
        </w:rPr>
        <w:t xml:space="preserve">-Tech </w:t>
      </w:r>
      <w:proofErr w:type="spellStart"/>
      <w:r w:rsidR="0028092E" w:rsidRPr="0028092E">
        <w:rPr>
          <w:rFonts w:asciiTheme="minorHAnsi" w:hAnsiTheme="minorHAnsi" w:cs="Calibri"/>
          <w:sz w:val="24"/>
        </w:rPr>
        <w:t>Services</w:t>
      </w:r>
      <w:proofErr w:type="spellEnd"/>
      <w:r w:rsidR="0028092E" w:rsidRPr="0028092E">
        <w:rPr>
          <w:rFonts w:asciiTheme="minorHAnsi" w:hAnsiTheme="minorHAnsi" w:cs="Calibri"/>
          <w:sz w:val="24"/>
        </w:rPr>
        <w:t>, spol. s.r.o.</w:t>
      </w:r>
      <w:r>
        <w:rPr>
          <w:rFonts w:asciiTheme="minorHAnsi" w:hAnsiTheme="minorHAnsi" w:cs="Calibri"/>
          <w:sz w:val="24"/>
        </w:rPr>
        <w:t xml:space="preserve"> </w:t>
      </w:r>
    </w:p>
    <w:p w14:paraId="4B9D46C9" w14:textId="0A0E09D0"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se sídlem: </w:t>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Hlinky 138/24, 603 00 Brno </w:t>
      </w:r>
    </w:p>
    <w:p w14:paraId="6BB17AB6" w14:textId="0EB99905"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IČO: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25507605 </w:t>
      </w:r>
    </w:p>
    <w:p w14:paraId="12BD9553" w14:textId="4BBAB934"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DIČ: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CZ25507605 </w:t>
      </w:r>
    </w:p>
    <w:p w14:paraId="0E1658B6" w14:textId="1BA42D1F"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ID DS: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fy2acq2 </w:t>
      </w:r>
    </w:p>
    <w:p w14:paraId="0A560381" w14:textId="77777777"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zapsaná v obchodním rejstříku vedeném Krajským soudem v Brně Spisová značka C 28805 </w:t>
      </w:r>
    </w:p>
    <w:p w14:paraId="20D126FC" w14:textId="0463BCE8"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za něhož jedná </w:t>
      </w:r>
      <w:r>
        <w:rPr>
          <w:rFonts w:asciiTheme="minorHAnsi" w:hAnsiTheme="minorHAnsi" w:cs="Calibri"/>
          <w:sz w:val="24"/>
        </w:rPr>
        <w:tab/>
      </w:r>
      <w:r w:rsidRPr="006009DB">
        <w:rPr>
          <w:rFonts w:asciiTheme="minorHAnsi" w:hAnsiTheme="minorHAnsi" w:cs="Calibri"/>
          <w:sz w:val="24"/>
        </w:rPr>
        <w:t xml:space="preserve">Libor Novotný, jednatel </w:t>
      </w:r>
    </w:p>
    <w:p w14:paraId="12D15117" w14:textId="5E5244FA"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e-mail: </w:t>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novotny@hts.cz </w:t>
      </w:r>
    </w:p>
    <w:p w14:paraId="03209409" w14:textId="152D0A82"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bankovní spojení: </w:t>
      </w:r>
      <w:r>
        <w:rPr>
          <w:rFonts w:asciiTheme="minorHAnsi" w:hAnsiTheme="minorHAnsi" w:cs="Calibri"/>
          <w:sz w:val="24"/>
        </w:rPr>
        <w:tab/>
      </w:r>
      <w:r w:rsidRPr="006009DB">
        <w:rPr>
          <w:rFonts w:asciiTheme="minorHAnsi" w:hAnsiTheme="minorHAnsi" w:cs="Calibri"/>
          <w:sz w:val="24"/>
        </w:rPr>
        <w:t xml:space="preserve">Raiffeisenbank a.s. </w:t>
      </w:r>
    </w:p>
    <w:p w14:paraId="13DBC4FC" w14:textId="14E10A41"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č. účtu: </w:t>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5586497001/5500 </w:t>
      </w:r>
    </w:p>
    <w:p w14:paraId="7120B55D" w14:textId="185313FE"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kontaktní osoba: </w:t>
      </w:r>
      <w:r>
        <w:rPr>
          <w:rFonts w:asciiTheme="minorHAnsi" w:hAnsiTheme="minorHAnsi" w:cs="Calibri"/>
          <w:sz w:val="24"/>
        </w:rPr>
        <w:tab/>
      </w:r>
      <w:r w:rsidRPr="006009DB">
        <w:rPr>
          <w:rFonts w:asciiTheme="minorHAnsi" w:hAnsiTheme="minorHAnsi" w:cs="Calibri"/>
          <w:sz w:val="24"/>
        </w:rPr>
        <w:t xml:space="preserve">Libor Novotný </w:t>
      </w:r>
    </w:p>
    <w:p w14:paraId="0EDA9C03" w14:textId="209C7B9F" w:rsidR="006009DB" w:rsidRPr="006009DB" w:rsidRDefault="006009DB" w:rsidP="006009DB">
      <w:pPr>
        <w:rPr>
          <w:rFonts w:asciiTheme="minorHAnsi" w:hAnsiTheme="minorHAnsi" w:cs="Calibri"/>
          <w:sz w:val="24"/>
        </w:rPr>
      </w:pPr>
      <w:r w:rsidRPr="006009DB">
        <w:rPr>
          <w:rFonts w:asciiTheme="minorHAnsi" w:hAnsiTheme="minorHAnsi" w:cs="Calibri"/>
          <w:sz w:val="24"/>
        </w:rPr>
        <w:t xml:space="preserve">e-mail: </w:t>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 xml:space="preserve">novotny@hts.cz </w:t>
      </w:r>
    </w:p>
    <w:p w14:paraId="33409542" w14:textId="19B6A82D" w:rsidR="00BA1743" w:rsidRDefault="006009DB" w:rsidP="006009DB">
      <w:pPr>
        <w:rPr>
          <w:rFonts w:ascii="Times New Roman" w:hAnsi="Times New Roman"/>
          <w:sz w:val="24"/>
        </w:rPr>
      </w:pPr>
      <w:r w:rsidRPr="006009DB">
        <w:rPr>
          <w:rFonts w:asciiTheme="minorHAnsi" w:hAnsiTheme="minorHAnsi" w:cs="Calibri"/>
          <w:sz w:val="24"/>
        </w:rPr>
        <w:t xml:space="preserve">tel: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6009DB">
        <w:rPr>
          <w:rFonts w:asciiTheme="minorHAnsi" w:hAnsiTheme="minorHAnsi" w:cs="Calibri"/>
          <w:sz w:val="24"/>
        </w:rPr>
        <w:t>+420 543 234 017</w:t>
      </w:r>
    </w:p>
    <w:p w14:paraId="4FAAD1ED" w14:textId="77777777" w:rsidR="00BA1743" w:rsidRDefault="00BA1743" w:rsidP="00BA1743">
      <w:pPr>
        <w:rPr>
          <w:rFonts w:asciiTheme="minorHAnsi" w:hAnsiTheme="minorHAnsi" w:cs="Calibri"/>
          <w:sz w:val="24"/>
        </w:rPr>
      </w:pPr>
    </w:p>
    <w:p w14:paraId="67445FD7" w14:textId="77777777" w:rsidR="00BA1743" w:rsidRDefault="00BA1743" w:rsidP="00BA1743">
      <w:pPr>
        <w:rPr>
          <w:rFonts w:asciiTheme="minorHAnsi" w:hAnsiTheme="minorHAnsi" w:cs="Calibri"/>
          <w:sz w:val="24"/>
        </w:rPr>
      </w:pPr>
    </w:p>
    <w:p w14:paraId="451DA6C7" w14:textId="77777777" w:rsidR="00BA1743" w:rsidRDefault="00BA1743" w:rsidP="00BA1743">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1D93FACF" w14:textId="77777777" w:rsidR="00BA1743" w:rsidRDefault="00BA1743" w:rsidP="00BA1743">
      <w:pPr>
        <w:pStyle w:val="CZZkladntexttun"/>
        <w:rPr>
          <w:rFonts w:asciiTheme="minorHAnsi" w:hAnsiTheme="minorHAnsi" w:cs="Calibri"/>
          <w:sz w:val="24"/>
        </w:rPr>
      </w:pPr>
      <w:r>
        <w:rPr>
          <w:rFonts w:asciiTheme="minorHAnsi" w:hAnsiTheme="minorHAnsi" w:cs="Calibri"/>
          <w:sz w:val="24"/>
        </w:rPr>
        <w:t>na straně druhé</w:t>
      </w:r>
    </w:p>
    <w:p w14:paraId="51099ADC" w14:textId="77777777" w:rsidR="00BA1743" w:rsidRDefault="00BA1743" w:rsidP="00BA1743">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7886C495" w14:textId="77777777" w:rsidR="00BA1743" w:rsidRDefault="00BA1743" w:rsidP="00BA1743">
      <w:pPr>
        <w:rPr>
          <w:rFonts w:asciiTheme="minorHAnsi" w:hAnsiTheme="minorHAnsi" w:cs="Calibri"/>
          <w:sz w:val="24"/>
        </w:rPr>
      </w:pPr>
    </w:p>
    <w:p w14:paraId="10AEC4DB" w14:textId="010A6542" w:rsidR="00BA1743" w:rsidRDefault="00BA1743" w:rsidP="00912F30">
      <w:pPr>
        <w:rPr>
          <w:rFonts w:asciiTheme="minorHAnsi" w:hAnsiTheme="minorHAnsi" w:cs="Calibri"/>
          <w:sz w:val="24"/>
        </w:rPr>
      </w:pPr>
      <w:r>
        <w:rPr>
          <w:rFonts w:asciiTheme="minorHAnsi" w:hAnsiTheme="minorHAnsi" w:cs="Calibri"/>
          <w:sz w:val="24"/>
        </w:rPr>
        <w:lastRenderedPageBreak/>
        <w:t xml:space="preserve">uzavřely tuto </w:t>
      </w:r>
      <w:r w:rsidR="00EA2DFA">
        <w:rPr>
          <w:rFonts w:asciiTheme="minorHAnsi" w:hAnsiTheme="minorHAnsi" w:cs="Calibri"/>
          <w:sz w:val="24"/>
        </w:rPr>
        <w:t>s</w:t>
      </w:r>
      <w:r w:rsidR="00EA2DFA" w:rsidRPr="00EA2DFA">
        <w:rPr>
          <w:rFonts w:asciiTheme="minorHAnsi" w:hAnsiTheme="minorHAnsi" w:cs="Calibri"/>
          <w:sz w:val="24"/>
        </w:rPr>
        <w:t>mlouv</w:t>
      </w:r>
      <w:r w:rsidR="00EA2DFA">
        <w:rPr>
          <w:rFonts w:asciiTheme="minorHAnsi" w:hAnsiTheme="minorHAnsi" w:cs="Calibri"/>
          <w:sz w:val="24"/>
        </w:rPr>
        <w:t>u</w:t>
      </w:r>
      <w:r w:rsidR="00EA2DFA" w:rsidRPr="00EA2DFA">
        <w:rPr>
          <w:rFonts w:asciiTheme="minorHAnsi" w:hAnsiTheme="minorHAnsi" w:cs="Calibri"/>
          <w:sz w:val="24"/>
        </w:rPr>
        <w:t xml:space="preserve"> o dodávce software na pořízení produktů Microsoft</w:t>
      </w:r>
      <w:r>
        <w:rPr>
          <w:rFonts w:asciiTheme="minorHAnsi" w:hAnsiTheme="minorHAnsi" w:cs="Calibri"/>
          <w:sz w:val="24"/>
        </w:rPr>
        <w:t xml:space="preserve"> (dále jen „</w:t>
      </w:r>
      <w:r>
        <w:rPr>
          <w:rFonts w:asciiTheme="minorHAnsi" w:hAnsiTheme="minorHAnsi" w:cs="Calibri"/>
          <w:b/>
          <w:sz w:val="24"/>
        </w:rPr>
        <w:t>smlouva</w:t>
      </w:r>
      <w:r>
        <w:rPr>
          <w:rFonts w:asciiTheme="minorHAnsi" w:hAnsiTheme="minorHAnsi" w:cs="Calibri"/>
          <w:sz w:val="24"/>
        </w:rPr>
        <w:t xml:space="preserve">“) </w:t>
      </w:r>
      <w:r w:rsidR="00912F30" w:rsidRPr="00912F30">
        <w:rPr>
          <w:rFonts w:asciiTheme="minorHAnsi" w:hAnsiTheme="minorHAnsi" w:cs="Calibri"/>
          <w:sz w:val="24"/>
        </w:rPr>
        <w:t xml:space="preserve">na </w:t>
      </w:r>
      <w:r w:rsidR="00912F30">
        <w:rPr>
          <w:rFonts w:asciiTheme="minorHAnsi" w:hAnsiTheme="minorHAnsi" w:cs="Calibri"/>
          <w:sz w:val="24"/>
        </w:rPr>
        <w:t xml:space="preserve">základě </w:t>
      </w:r>
      <w:r w:rsidR="00912F30" w:rsidRPr="00912F30">
        <w:rPr>
          <w:rFonts w:asciiTheme="minorHAnsi" w:hAnsiTheme="minorHAnsi" w:cs="Calibri"/>
          <w:sz w:val="24"/>
        </w:rPr>
        <w:t>veřejn</w:t>
      </w:r>
      <w:r w:rsidR="00912F30">
        <w:rPr>
          <w:rFonts w:asciiTheme="minorHAnsi" w:hAnsiTheme="minorHAnsi" w:cs="Calibri"/>
          <w:sz w:val="24"/>
        </w:rPr>
        <w:t>é</w:t>
      </w:r>
      <w:r w:rsidR="00912F30" w:rsidRPr="00912F30">
        <w:rPr>
          <w:rFonts w:asciiTheme="minorHAnsi" w:hAnsiTheme="minorHAnsi" w:cs="Calibri"/>
          <w:sz w:val="24"/>
        </w:rPr>
        <w:t xml:space="preserve"> zakázk</w:t>
      </w:r>
      <w:r w:rsidR="00912F30">
        <w:rPr>
          <w:rFonts w:asciiTheme="minorHAnsi" w:hAnsiTheme="minorHAnsi" w:cs="Calibri"/>
          <w:sz w:val="24"/>
        </w:rPr>
        <w:t>y</w:t>
      </w:r>
      <w:r w:rsidR="00912F30" w:rsidRPr="00912F30">
        <w:rPr>
          <w:rFonts w:asciiTheme="minorHAnsi" w:hAnsiTheme="minorHAnsi" w:cs="Calibri"/>
          <w:sz w:val="24"/>
        </w:rPr>
        <w:t xml:space="preserve"> malého rozsahu s</w:t>
      </w:r>
      <w:r w:rsidR="00912F30">
        <w:rPr>
          <w:rFonts w:asciiTheme="minorHAnsi" w:hAnsiTheme="minorHAnsi" w:cs="Calibri"/>
          <w:sz w:val="24"/>
        </w:rPr>
        <w:t> </w:t>
      </w:r>
      <w:r w:rsidR="00912F30" w:rsidRPr="00912F30">
        <w:rPr>
          <w:rFonts w:asciiTheme="minorHAnsi" w:hAnsiTheme="minorHAnsi" w:cs="Calibri"/>
          <w:sz w:val="24"/>
        </w:rPr>
        <w:t>názvem</w:t>
      </w:r>
      <w:r w:rsidR="00912F30">
        <w:rPr>
          <w:rFonts w:asciiTheme="minorHAnsi" w:hAnsiTheme="minorHAnsi" w:cs="Calibri"/>
          <w:sz w:val="24"/>
        </w:rPr>
        <w:t xml:space="preserve"> </w:t>
      </w:r>
      <w:r w:rsidR="00912F30" w:rsidRPr="00912F30">
        <w:rPr>
          <w:rFonts w:asciiTheme="minorHAnsi" w:hAnsiTheme="minorHAnsi" w:cs="Calibri"/>
          <w:sz w:val="24"/>
        </w:rPr>
        <w:t>„</w:t>
      </w:r>
      <w:r w:rsidR="00D873BE" w:rsidRPr="00D873BE">
        <w:rPr>
          <w:rFonts w:asciiTheme="minorHAnsi" w:hAnsiTheme="minorHAnsi" w:cs="Calibri"/>
          <w:sz w:val="24"/>
        </w:rPr>
        <w:t>Pořízení licencí Microsoft Office 365</w:t>
      </w:r>
      <w:r w:rsidR="00912F30" w:rsidRPr="00912F30">
        <w:rPr>
          <w:rFonts w:asciiTheme="minorHAnsi" w:hAnsiTheme="minorHAnsi" w:cs="Calibri"/>
          <w:sz w:val="24"/>
        </w:rPr>
        <w:t>“</w:t>
      </w:r>
      <w:r>
        <w:rPr>
          <w:rFonts w:asciiTheme="minorHAnsi" w:hAnsiTheme="minorHAnsi" w:cs="Calibri"/>
          <w:sz w:val="24"/>
        </w:rPr>
        <w:t>.</w:t>
      </w:r>
    </w:p>
    <w:p w14:paraId="1BC2B883" w14:textId="77777777" w:rsidR="00BA1743" w:rsidRDefault="00BA1743" w:rsidP="00BA1743">
      <w:pPr>
        <w:jc w:val="center"/>
        <w:rPr>
          <w:rFonts w:asciiTheme="minorHAnsi" w:hAnsiTheme="minorHAnsi" w:cs="Calibri"/>
          <w:sz w:val="24"/>
        </w:rPr>
      </w:pPr>
    </w:p>
    <w:p w14:paraId="182D40D9" w14:textId="12F9C01A" w:rsidR="00BA1743" w:rsidRDefault="00BA1743" w:rsidP="00D873BE">
      <w:pPr>
        <w:rPr>
          <w:rFonts w:asciiTheme="minorHAnsi" w:hAnsiTheme="minorHAnsi" w:cs="Calibri"/>
          <w:sz w:val="24"/>
        </w:rPr>
      </w:pPr>
      <w:r>
        <w:rPr>
          <w:rFonts w:asciiTheme="minorHAnsi" w:hAnsiTheme="minorHAnsi" w:cs="Calibri"/>
          <w:sz w:val="24"/>
        </w:rPr>
        <w:t>Smluvní strany vědomy si svých závazků v této smlouvě obsažených a v úmyslu být touto smlouvou vázány, se dohodly na následujícím znění smlouvy.</w:t>
      </w:r>
    </w:p>
    <w:p w14:paraId="03800DD7" w14:textId="77777777" w:rsidR="00BA1743" w:rsidRDefault="00BA1743" w:rsidP="00BA1743">
      <w:pPr>
        <w:pStyle w:val="CZslolnku"/>
        <w:numPr>
          <w:ilvl w:val="0"/>
          <w:numId w:val="3"/>
        </w:numPr>
        <w:ind w:left="0" w:firstLine="0"/>
        <w:rPr>
          <w:rFonts w:asciiTheme="minorHAnsi" w:hAnsiTheme="minorHAnsi" w:cs="Calibri"/>
          <w:sz w:val="24"/>
        </w:rPr>
      </w:pPr>
    </w:p>
    <w:p w14:paraId="629FA7CD" w14:textId="6CCC5A94" w:rsidR="00BA1743" w:rsidRDefault="00BA1743" w:rsidP="00BA1743">
      <w:pPr>
        <w:pStyle w:val="CZNzevlnku"/>
        <w:rPr>
          <w:rFonts w:asciiTheme="minorHAnsi" w:hAnsiTheme="minorHAnsi" w:cs="Calibri"/>
          <w:sz w:val="24"/>
        </w:rPr>
      </w:pPr>
      <w:r>
        <w:rPr>
          <w:rFonts w:asciiTheme="minorHAnsi" w:hAnsiTheme="minorHAnsi" w:cs="Calibri"/>
          <w:sz w:val="24"/>
        </w:rPr>
        <w:t>Předmět smlouvy</w:t>
      </w:r>
    </w:p>
    <w:p w14:paraId="21F5543E" w14:textId="3E074423" w:rsidR="00BA1743" w:rsidRDefault="00BA1743" w:rsidP="00BA1743">
      <w:pPr>
        <w:pStyle w:val="CZodstavec"/>
        <w:numPr>
          <w:ilvl w:val="0"/>
          <w:numId w:val="4"/>
        </w:numPr>
        <w:ind w:left="426" w:hanging="426"/>
        <w:rPr>
          <w:rFonts w:asciiTheme="minorHAnsi" w:hAnsiTheme="minorHAnsi" w:cs="Calibri"/>
          <w:sz w:val="24"/>
        </w:rPr>
      </w:pPr>
      <w:r>
        <w:rPr>
          <w:rFonts w:asciiTheme="minorHAnsi" w:hAnsiTheme="minorHAnsi" w:cs="Calibri"/>
          <w:sz w:val="24"/>
        </w:rPr>
        <w:t>Dodavatel se touto smlouvou zavazuje dodat Objednateli plnění specifikované v Příloze č.</w:t>
      </w:r>
      <w:r w:rsidR="002F2835">
        <w:rPr>
          <w:rFonts w:asciiTheme="minorHAnsi" w:hAnsiTheme="minorHAnsi" w:cs="Calibri"/>
          <w:sz w:val="24"/>
        </w:rPr>
        <w:t> </w:t>
      </w:r>
      <w:r>
        <w:rPr>
          <w:rFonts w:asciiTheme="minorHAnsi" w:hAnsiTheme="minorHAnsi" w:cs="Calibri"/>
          <w:sz w:val="24"/>
        </w:rPr>
        <w:t>1 této smlouvy.</w:t>
      </w:r>
    </w:p>
    <w:p w14:paraId="37CDBCBF" w14:textId="6947DEE5" w:rsidR="00012E85" w:rsidRDefault="00012E85" w:rsidP="6191B7D2">
      <w:pPr>
        <w:pStyle w:val="CZodstavec"/>
        <w:numPr>
          <w:ilvl w:val="0"/>
          <w:numId w:val="4"/>
        </w:numPr>
        <w:ind w:left="426" w:hanging="426"/>
        <w:rPr>
          <w:rFonts w:asciiTheme="minorHAnsi" w:hAnsiTheme="minorHAnsi" w:cs="Calibri"/>
          <w:sz w:val="24"/>
        </w:rPr>
      </w:pPr>
      <w:r w:rsidRPr="6191B7D2">
        <w:rPr>
          <w:rFonts w:asciiTheme="minorHAnsi" w:hAnsiTheme="minorHAnsi" w:cs="Calibri"/>
          <w:sz w:val="24"/>
        </w:rPr>
        <w:t>Dodavatel se zavazuje poskytnout Objednateli veškeré návody (manuály) k použití, doklady a dokumenty, které se k poskytovanému plnění vztahují a jež jsou obvyklé, nutné či vhodné k převzetí a k užívání dodaného plnění. Tyto dokumenty budou v českém jazyce, existují-li. Pokud neexistuje česká mutace těchto dokumentů, tedy není česká mutace uvedených dokumentů zv</w:t>
      </w:r>
      <w:r w:rsidR="186A4380" w:rsidRPr="6191B7D2">
        <w:rPr>
          <w:rFonts w:asciiTheme="minorHAnsi" w:hAnsiTheme="minorHAnsi" w:cs="Calibri"/>
          <w:sz w:val="24"/>
        </w:rPr>
        <w:t>e</w:t>
      </w:r>
      <w:r w:rsidRPr="6191B7D2">
        <w:rPr>
          <w:rFonts w:asciiTheme="minorHAnsi" w:hAnsiTheme="minorHAnsi" w:cs="Calibri"/>
          <w:sz w:val="24"/>
        </w:rPr>
        <w:t>řejněna na příslušné internetové adrese společnosti Microsoft, zajistí Dodavatel jejich úředně neověřený překlad, nedohodne-li se s Objednatelem jinak.</w:t>
      </w:r>
    </w:p>
    <w:p w14:paraId="204E012E" w14:textId="3C1B64E1" w:rsidR="004F3ACF" w:rsidRDefault="004F3ACF" w:rsidP="00BA1743">
      <w:pPr>
        <w:pStyle w:val="CZodstavec"/>
        <w:numPr>
          <w:ilvl w:val="0"/>
          <w:numId w:val="4"/>
        </w:numPr>
        <w:ind w:left="426" w:hanging="426"/>
        <w:rPr>
          <w:rFonts w:asciiTheme="minorHAnsi" w:hAnsiTheme="minorHAnsi" w:cs="Calibri"/>
          <w:sz w:val="24"/>
        </w:rPr>
      </w:pPr>
      <w:r>
        <w:rPr>
          <w:rFonts w:asciiTheme="minorHAnsi" w:hAnsiTheme="minorHAnsi" w:cs="Calibri"/>
          <w:sz w:val="24"/>
        </w:rPr>
        <w:t>Objednatel</w:t>
      </w:r>
      <w:r w:rsidRPr="004F3ACF">
        <w:rPr>
          <w:rFonts w:asciiTheme="minorHAnsi" w:hAnsiTheme="minorHAnsi" w:cs="Calibri"/>
          <w:sz w:val="24"/>
        </w:rPr>
        <w:t xml:space="preserve"> </w:t>
      </w:r>
      <w:r>
        <w:rPr>
          <w:rFonts w:asciiTheme="minorHAnsi" w:hAnsiTheme="minorHAnsi" w:cs="Calibri"/>
          <w:sz w:val="24"/>
        </w:rPr>
        <w:t>ne</w:t>
      </w:r>
      <w:r w:rsidRPr="004F3ACF">
        <w:rPr>
          <w:rFonts w:asciiTheme="minorHAnsi" w:hAnsiTheme="minorHAnsi" w:cs="Calibri"/>
          <w:sz w:val="24"/>
        </w:rPr>
        <w:t>připouští dílčí (postupné) plnění.</w:t>
      </w:r>
    </w:p>
    <w:p w14:paraId="5BAD9029" w14:textId="77777777" w:rsidR="00BA1743" w:rsidRDefault="00BA1743" w:rsidP="00BA1743">
      <w:pPr>
        <w:pStyle w:val="CZslolnku"/>
        <w:numPr>
          <w:ilvl w:val="0"/>
          <w:numId w:val="3"/>
        </w:numPr>
        <w:ind w:left="0" w:firstLine="0"/>
        <w:rPr>
          <w:rFonts w:asciiTheme="minorHAnsi" w:hAnsiTheme="minorHAnsi" w:cs="Calibri"/>
          <w:sz w:val="24"/>
        </w:rPr>
      </w:pPr>
    </w:p>
    <w:p w14:paraId="2C80533B" w14:textId="77777777" w:rsidR="00BA1743" w:rsidRDefault="00BA1743" w:rsidP="00BA1743">
      <w:pPr>
        <w:pStyle w:val="CZNzevlnku"/>
        <w:rPr>
          <w:rFonts w:asciiTheme="minorHAnsi" w:hAnsiTheme="minorHAnsi" w:cs="Calibri"/>
          <w:sz w:val="24"/>
        </w:rPr>
      </w:pPr>
      <w:r>
        <w:rPr>
          <w:rFonts w:asciiTheme="minorHAnsi" w:hAnsiTheme="minorHAnsi" w:cs="Calibri"/>
          <w:sz w:val="24"/>
        </w:rPr>
        <w:t>Cena za plnění</w:t>
      </w:r>
    </w:p>
    <w:p w14:paraId="5205CC35" w14:textId="459D23FA" w:rsidR="00BA1743" w:rsidRDefault="00BA1743" w:rsidP="00BA1743">
      <w:pPr>
        <w:pStyle w:val="CZodstavec"/>
        <w:numPr>
          <w:ilvl w:val="0"/>
          <w:numId w:val="5"/>
        </w:numPr>
        <w:tabs>
          <w:tab w:val="clear" w:pos="360"/>
          <w:tab w:val="num" w:pos="9072"/>
        </w:tabs>
        <w:ind w:left="426" w:hanging="426"/>
        <w:rPr>
          <w:rFonts w:asciiTheme="minorHAnsi" w:hAnsiTheme="minorHAnsi" w:cs="Times New Roman"/>
          <w:sz w:val="24"/>
        </w:rPr>
      </w:pPr>
      <w:r>
        <w:rPr>
          <w:rFonts w:asciiTheme="minorHAnsi" w:hAnsiTheme="minorHAnsi"/>
          <w:sz w:val="24"/>
        </w:rPr>
        <w:t>Objednatel se zavazuje zaplatit Dodavateli cenu poskytnutého plnění, a to v rozsahu a způsobem stanoveným dále v této smlouvě, zejména potom v její Příloze č. 1.</w:t>
      </w:r>
    </w:p>
    <w:p w14:paraId="182FE7D8" w14:textId="77777777" w:rsidR="00E3177F" w:rsidRPr="00E3177F" w:rsidRDefault="00BA1743" w:rsidP="00E3177F">
      <w:pPr>
        <w:pStyle w:val="CZodstavec"/>
        <w:numPr>
          <w:ilvl w:val="0"/>
          <w:numId w:val="5"/>
        </w:numPr>
        <w:tabs>
          <w:tab w:val="clear" w:pos="360"/>
        </w:tabs>
        <w:rPr>
          <w:rFonts w:asciiTheme="minorHAnsi" w:hAnsiTheme="minorHAnsi"/>
          <w:b/>
          <w:sz w:val="24"/>
        </w:rPr>
      </w:pPr>
      <w:r>
        <w:rPr>
          <w:rFonts w:asciiTheme="minorHAnsi" w:hAnsiTheme="minorHAnsi"/>
          <w:sz w:val="24"/>
        </w:rPr>
        <w:t xml:space="preserve">Smluvní strany se dohodly, že </w:t>
      </w:r>
      <w:r w:rsidR="00557461">
        <w:rPr>
          <w:rFonts w:asciiTheme="minorHAnsi" w:hAnsiTheme="minorHAnsi"/>
          <w:sz w:val="24"/>
        </w:rPr>
        <w:t xml:space="preserve">celková </w:t>
      </w:r>
      <w:r>
        <w:rPr>
          <w:rFonts w:asciiTheme="minorHAnsi" w:hAnsiTheme="minorHAnsi"/>
          <w:sz w:val="24"/>
        </w:rPr>
        <w:t xml:space="preserve">cena za poskytnutí plnění Dodavatelem dle této smlouvy </w:t>
      </w:r>
      <w:proofErr w:type="gramStart"/>
      <w:r>
        <w:rPr>
          <w:rFonts w:asciiTheme="minorHAnsi" w:hAnsiTheme="minorHAnsi"/>
          <w:sz w:val="24"/>
        </w:rPr>
        <w:t xml:space="preserve">činí </w:t>
      </w:r>
      <w:r w:rsidR="00E3177F" w:rsidRPr="00E3177F">
        <w:rPr>
          <w:rFonts w:asciiTheme="minorHAnsi" w:hAnsiTheme="minorHAnsi"/>
          <w:b/>
          <w:sz w:val="24"/>
        </w:rPr>
        <w:t xml:space="preserve"> 582.</w:t>
      </w:r>
      <w:proofErr w:type="gramEnd"/>
      <w:r w:rsidR="00E3177F" w:rsidRPr="00E3177F">
        <w:rPr>
          <w:rFonts w:asciiTheme="minorHAnsi" w:hAnsiTheme="minorHAnsi"/>
          <w:b/>
          <w:sz w:val="24"/>
        </w:rPr>
        <w:t>626,93</w:t>
      </w:r>
      <w:r>
        <w:rPr>
          <w:rFonts w:asciiTheme="minorHAnsi" w:hAnsiTheme="minorHAnsi"/>
          <w:sz w:val="24"/>
        </w:rPr>
        <w:t xml:space="preserve">,- (slovy: </w:t>
      </w:r>
      <w:proofErr w:type="spellStart"/>
      <w:r w:rsidR="00E3177F" w:rsidRPr="00E3177F">
        <w:rPr>
          <w:rFonts w:asciiTheme="minorHAnsi" w:hAnsiTheme="minorHAnsi"/>
          <w:b/>
          <w:sz w:val="24"/>
        </w:rPr>
        <w:t>pětsetosmdesátdvatisícešestsetdvacetšest</w:t>
      </w:r>
      <w:proofErr w:type="spellEnd"/>
      <w:r w:rsidR="00E3177F" w:rsidRPr="00E3177F">
        <w:rPr>
          <w:rFonts w:asciiTheme="minorHAnsi" w:hAnsiTheme="minorHAnsi"/>
          <w:b/>
          <w:sz w:val="24"/>
        </w:rPr>
        <w:t xml:space="preserve"> korun </w:t>
      </w:r>
    </w:p>
    <w:p w14:paraId="4377FBEC" w14:textId="17897C3E" w:rsidR="00BA1743" w:rsidRDefault="00E3177F" w:rsidP="00E3177F">
      <w:pPr>
        <w:pStyle w:val="CZodstavec"/>
        <w:numPr>
          <w:ilvl w:val="0"/>
          <w:numId w:val="5"/>
        </w:numPr>
        <w:rPr>
          <w:rFonts w:asciiTheme="minorHAnsi" w:hAnsiTheme="minorHAnsi"/>
          <w:sz w:val="24"/>
        </w:rPr>
      </w:pPr>
      <w:r w:rsidRPr="00E3177F">
        <w:rPr>
          <w:rFonts w:asciiTheme="minorHAnsi" w:hAnsiTheme="minorHAnsi"/>
          <w:b/>
          <w:sz w:val="24"/>
        </w:rPr>
        <w:t xml:space="preserve">českých </w:t>
      </w:r>
      <w:proofErr w:type="spellStart"/>
      <w:r w:rsidRPr="00E3177F">
        <w:rPr>
          <w:rFonts w:asciiTheme="minorHAnsi" w:hAnsiTheme="minorHAnsi"/>
          <w:b/>
          <w:sz w:val="24"/>
        </w:rPr>
        <w:t>devadesáttřihaléře</w:t>
      </w:r>
      <w:proofErr w:type="spellEnd"/>
      <w:r w:rsidR="00BA1743">
        <w:rPr>
          <w:rFonts w:asciiTheme="minorHAnsi" w:hAnsiTheme="minorHAnsi"/>
          <w:sz w:val="24"/>
        </w:rPr>
        <w:t xml:space="preserve">) bez DPH, tj. </w:t>
      </w:r>
      <w:r w:rsidRPr="00E3177F">
        <w:rPr>
          <w:rFonts w:asciiTheme="minorHAnsi" w:hAnsiTheme="minorHAnsi"/>
          <w:sz w:val="24"/>
        </w:rPr>
        <w:t>704.978,58</w:t>
      </w:r>
      <w:r w:rsidR="00BA1743">
        <w:rPr>
          <w:rFonts w:asciiTheme="minorHAnsi" w:hAnsiTheme="minorHAnsi"/>
          <w:sz w:val="24"/>
        </w:rPr>
        <w:t xml:space="preserve"> Kč (slovy: </w:t>
      </w:r>
      <w:proofErr w:type="spellStart"/>
      <w:r w:rsidR="00A07855" w:rsidRPr="00A07855">
        <w:rPr>
          <w:rFonts w:asciiTheme="minorHAnsi" w:hAnsiTheme="minorHAnsi"/>
          <w:sz w:val="24"/>
        </w:rPr>
        <w:t>sedmsetčtyřitisícedevětsetsedmdesátosm</w:t>
      </w:r>
      <w:proofErr w:type="spellEnd"/>
      <w:r w:rsidR="00A07855" w:rsidRPr="00A07855">
        <w:rPr>
          <w:rFonts w:asciiTheme="minorHAnsi" w:hAnsiTheme="minorHAnsi"/>
          <w:sz w:val="24"/>
        </w:rPr>
        <w:t xml:space="preserve"> korun českých </w:t>
      </w:r>
      <w:proofErr w:type="spellStart"/>
      <w:r w:rsidR="00A07855" w:rsidRPr="00A07855">
        <w:rPr>
          <w:rFonts w:asciiTheme="minorHAnsi" w:hAnsiTheme="minorHAnsi"/>
          <w:sz w:val="24"/>
        </w:rPr>
        <w:t>padesátosmhaléřů</w:t>
      </w:r>
      <w:proofErr w:type="spellEnd"/>
      <w:r w:rsidR="00BA1743">
        <w:rPr>
          <w:rFonts w:asciiTheme="minorHAnsi" w:hAnsiTheme="minorHAnsi"/>
          <w:sz w:val="24"/>
        </w:rPr>
        <w:t>) včetně DPH.</w:t>
      </w:r>
    </w:p>
    <w:p w14:paraId="6D087170" w14:textId="4F1A8777" w:rsidR="00BA1743" w:rsidRDefault="00BA1743" w:rsidP="00BA1743">
      <w:pPr>
        <w:pStyle w:val="CZodstavec"/>
        <w:numPr>
          <w:ilvl w:val="0"/>
          <w:numId w:val="5"/>
        </w:numPr>
        <w:tabs>
          <w:tab w:val="clear" w:pos="360"/>
          <w:tab w:val="num" w:pos="9072"/>
        </w:tabs>
        <w:ind w:left="426" w:hanging="426"/>
        <w:rPr>
          <w:rFonts w:asciiTheme="minorHAnsi" w:hAnsiTheme="minorHAnsi"/>
          <w:sz w:val="24"/>
        </w:rPr>
      </w:pPr>
      <w:r>
        <w:rPr>
          <w:rFonts w:asciiTheme="minorHAnsi" w:hAnsiTheme="minorHAnsi"/>
          <w:sz w:val="24"/>
        </w:rPr>
        <w:t>Podrobné vymezení celkové ceny za poskytnutí plnění dle předchozího odstavce tohoto článku smlouvy je uvedeno v Příloze č. 1 této smlouvy.</w:t>
      </w:r>
    </w:p>
    <w:p w14:paraId="1B345754" w14:textId="77777777" w:rsidR="00CF01C7" w:rsidRDefault="00CF01C7" w:rsidP="00CF01C7">
      <w:pPr>
        <w:pStyle w:val="CZodstavec"/>
        <w:numPr>
          <w:ilvl w:val="0"/>
          <w:numId w:val="5"/>
        </w:numPr>
        <w:rPr>
          <w:rFonts w:asciiTheme="minorHAnsi" w:hAnsiTheme="minorHAnsi" w:cstheme="minorHAnsi"/>
          <w:sz w:val="24"/>
        </w:rPr>
      </w:pPr>
      <w:r w:rsidRPr="007610D0">
        <w:rPr>
          <w:rFonts w:asciiTheme="minorHAnsi" w:hAnsiTheme="minorHAnsi" w:cstheme="minorHAnsi"/>
          <w:sz w:val="24"/>
        </w:rPr>
        <w:t>Dodavatel výslovně prohlašuj</w:t>
      </w:r>
      <w:r>
        <w:rPr>
          <w:rFonts w:asciiTheme="minorHAnsi" w:hAnsiTheme="minorHAnsi" w:cstheme="minorHAnsi"/>
          <w:sz w:val="24"/>
        </w:rPr>
        <w:t>e</w:t>
      </w:r>
      <w:r w:rsidRPr="007610D0">
        <w:rPr>
          <w:rFonts w:asciiTheme="minorHAnsi" w:hAnsiTheme="minorHAnsi" w:cstheme="minorHAnsi"/>
          <w:sz w:val="24"/>
        </w:rPr>
        <w:t xml:space="preserve"> a ujišťuj</w:t>
      </w:r>
      <w:r>
        <w:rPr>
          <w:rFonts w:asciiTheme="minorHAnsi" w:hAnsiTheme="minorHAnsi" w:cstheme="minorHAnsi"/>
          <w:sz w:val="24"/>
        </w:rPr>
        <w:t>e</w:t>
      </w:r>
      <w:r w:rsidRPr="007610D0">
        <w:rPr>
          <w:rFonts w:asciiTheme="minorHAnsi" w:hAnsiTheme="minorHAnsi" w:cstheme="minorHAnsi"/>
          <w:sz w:val="24"/>
        </w:rPr>
        <w:t xml:space="preserve"> Objednatele, že cena za dodávku plnění dle této </w:t>
      </w:r>
      <w:r>
        <w:rPr>
          <w:rFonts w:asciiTheme="minorHAnsi" w:hAnsiTheme="minorHAnsi" w:cstheme="minorHAnsi"/>
          <w:sz w:val="24"/>
        </w:rPr>
        <w:t>smlouvy</w:t>
      </w:r>
      <w:r w:rsidRPr="007610D0">
        <w:rPr>
          <w:rFonts w:asciiTheme="minorHAnsi" w:hAnsiTheme="minorHAnsi" w:cstheme="minorHAnsi"/>
          <w:sz w:val="24"/>
        </w:rPr>
        <w:t xml:space="preserve"> v sobě bude zahrnovat veškeré režijní náklady Dodavatel</w:t>
      </w:r>
      <w:r>
        <w:rPr>
          <w:rFonts w:asciiTheme="minorHAnsi" w:hAnsiTheme="minorHAnsi" w:cstheme="minorHAnsi"/>
          <w:sz w:val="24"/>
        </w:rPr>
        <w:t>e</w:t>
      </w:r>
      <w:r w:rsidRPr="007610D0">
        <w:rPr>
          <w:rFonts w:asciiTheme="minorHAnsi" w:hAnsiTheme="minorHAnsi" w:cstheme="minorHAnsi"/>
          <w:sz w:val="24"/>
        </w:rPr>
        <w:t xml:space="preserve"> spojené s plněním dle této </w:t>
      </w:r>
      <w:r>
        <w:rPr>
          <w:rFonts w:asciiTheme="minorHAnsi" w:hAnsiTheme="minorHAnsi" w:cstheme="minorHAnsi"/>
          <w:sz w:val="24"/>
        </w:rPr>
        <w:t>smlouvy</w:t>
      </w:r>
      <w:r w:rsidRPr="007610D0">
        <w:rPr>
          <w:rFonts w:asciiTheme="minorHAnsi" w:hAnsiTheme="minorHAnsi" w:cstheme="minorHAnsi"/>
          <w:sz w:val="24"/>
        </w:rPr>
        <w:t>.</w:t>
      </w:r>
    </w:p>
    <w:p w14:paraId="4206E8E3" w14:textId="77777777" w:rsidR="00CF01C7" w:rsidRPr="000123C8" w:rsidRDefault="00CF01C7" w:rsidP="00CF01C7">
      <w:pPr>
        <w:pStyle w:val="CZodstavec"/>
        <w:numPr>
          <w:ilvl w:val="0"/>
          <w:numId w:val="5"/>
        </w:numPr>
        <w:rPr>
          <w:rFonts w:asciiTheme="minorHAnsi" w:hAnsiTheme="minorHAnsi" w:cstheme="minorHAnsi"/>
          <w:sz w:val="24"/>
        </w:rPr>
      </w:pPr>
      <w:r w:rsidRPr="000123C8">
        <w:rPr>
          <w:rFonts w:asciiTheme="minorHAnsi" w:hAnsiTheme="minorHAnsi" w:cstheme="minorHAnsi"/>
          <w:sz w:val="24"/>
        </w:rPr>
        <w:t xml:space="preserve">Není-li v této </w:t>
      </w:r>
      <w:r>
        <w:rPr>
          <w:rFonts w:asciiTheme="minorHAnsi" w:hAnsiTheme="minorHAnsi" w:cstheme="minorHAnsi"/>
          <w:sz w:val="24"/>
        </w:rPr>
        <w:t>smlouvě</w:t>
      </w:r>
      <w:r w:rsidRPr="000123C8">
        <w:rPr>
          <w:rFonts w:asciiTheme="minorHAnsi" w:hAnsiTheme="minorHAnsi" w:cstheme="minorHAnsi"/>
          <w:sz w:val="24"/>
        </w:rPr>
        <w:t xml:space="preserve"> stanoveno jinak, je cena za poskytnutí plnění dle této </w:t>
      </w:r>
      <w:r>
        <w:rPr>
          <w:rFonts w:asciiTheme="minorHAnsi" w:hAnsiTheme="minorHAnsi" w:cstheme="minorHAnsi"/>
          <w:sz w:val="24"/>
        </w:rPr>
        <w:t>smlouvy</w:t>
      </w:r>
      <w:r w:rsidRPr="000123C8">
        <w:rPr>
          <w:rFonts w:asciiTheme="minorHAnsi" w:hAnsiTheme="minorHAnsi" w:cstheme="minorHAnsi"/>
          <w:sz w:val="24"/>
        </w:rPr>
        <w:t xml:space="preserve"> cenou konečnou, nejvýše přípustnou a nemůže být změněna. </w:t>
      </w:r>
    </w:p>
    <w:p w14:paraId="1E212F39" w14:textId="515A783E" w:rsidR="00CF01C7" w:rsidRDefault="00CF01C7" w:rsidP="00CF01C7">
      <w:pPr>
        <w:pStyle w:val="CZodstavec"/>
        <w:numPr>
          <w:ilvl w:val="0"/>
          <w:numId w:val="5"/>
        </w:numPr>
        <w:rPr>
          <w:rFonts w:asciiTheme="minorHAnsi" w:hAnsiTheme="minorHAnsi" w:cstheme="minorHAnsi"/>
          <w:sz w:val="24"/>
        </w:rPr>
      </w:pPr>
      <w:r w:rsidRPr="00A971B0">
        <w:rPr>
          <w:rFonts w:asciiTheme="minorHAnsi" w:hAnsiTheme="minorHAnsi" w:cstheme="minorHAnsi"/>
          <w:sz w:val="24"/>
        </w:rPr>
        <w:lastRenderedPageBreak/>
        <w:t xml:space="preserve">Pro vyloučení všech pochybností se Smluvní strany dohodly, že cena za poskytnutí plnění dle této </w:t>
      </w:r>
      <w:r>
        <w:rPr>
          <w:rFonts w:asciiTheme="minorHAnsi" w:hAnsiTheme="minorHAnsi" w:cstheme="minorHAnsi"/>
          <w:sz w:val="24"/>
        </w:rPr>
        <w:t>smlouvy</w:t>
      </w:r>
      <w:r w:rsidRPr="00A971B0">
        <w:rPr>
          <w:rFonts w:asciiTheme="minorHAnsi" w:hAnsiTheme="minorHAnsi" w:cstheme="minorHAnsi"/>
          <w:sz w:val="24"/>
        </w:rPr>
        <w:t xml:space="preserve"> bude upravena o případnou zákonnou procentní změnu DPH, a to ode dne účinnosti změny.</w:t>
      </w:r>
    </w:p>
    <w:p w14:paraId="6F827D6B" w14:textId="1EF0946E" w:rsidR="00CF01C7" w:rsidRDefault="00CF01C7" w:rsidP="00CF01C7">
      <w:pPr>
        <w:pStyle w:val="CZodstavec"/>
        <w:numPr>
          <w:ilvl w:val="0"/>
          <w:numId w:val="5"/>
        </w:numPr>
        <w:ind w:left="426" w:hanging="426"/>
        <w:rPr>
          <w:rFonts w:asciiTheme="minorHAnsi" w:hAnsiTheme="minorHAnsi"/>
          <w:sz w:val="24"/>
        </w:rPr>
      </w:pPr>
      <w:r>
        <w:rPr>
          <w:rFonts w:asciiTheme="minorHAnsi" w:hAnsiTheme="minorHAnsi"/>
          <w:sz w:val="24"/>
        </w:rPr>
        <w:t xml:space="preserve">Ostatní podmínky vztahující se k platbě ceny za plnění poskytnuté Dodavatelem dle této smlouvy, jakož i lhůta splatnosti, </w:t>
      </w:r>
      <w:r w:rsidRPr="000F50AB">
        <w:rPr>
          <w:rFonts w:asciiTheme="minorHAnsi" w:hAnsiTheme="minorHAnsi"/>
          <w:sz w:val="24"/>
        </w:rPr>
        <w:t xml:space="preserve">jsou </w:t>
      </w:r>
      <w:r>
        <w:rPr>
          <w:rFonts w:asciiTheme="minorHAnsi" w:hAnsiTheme="minorHAnsi"/>
          <w:sz w:val="24"/>
        </w:rPr>
        <w:t xml:space="preserve">případně </w:t>
      </w:r>
      <w:r w:rsidRPr="000F50AB">
        <w:rPr>
          <w:rFonts w:asciiTheme="minorHAnsi" w:hAnsiTheme="minorHAnsi"/>
          <w:sz w:val="24"/>
        </w:rPr>
        <w:t>uvedeny v Příloze č. 1 této smlouvy</w:t>
      </w:r>
      <w:r>
        <w:rPr>
          <w:rFonts w:asciiTheme="minorHAnsi" w:hAnsiTheme="minorHAnsi"/>
          <w:sz w:val="24"/>
        </w:rPr>
        <w:t>.</w:t>
      </w:r>
    </w:p>
    <w:p w14:paraId="01B69784" w14:textId="77777777" w:rsidR="00BA1743" w:rsidRDefault="00BA1743" w:rsidP="00BA1743">
      <w:pPr>
        <w:pStyle w:val="CZslolnku"/>
        <w:numPr>
          <w:ilvl w:val="0"/>
          <w:numId w:val="3"/>
        </w:numPr>
        <w:ind w:left="0" w:firstLine="0"/>
        <w:rPr>
          <w:rFonts w:asciiTheme="minorHAnsi" w:hAnsiTheme="minorHAnsi" w:cs="Calibri"/>
          <w:sz w:val="24"/>
        </w:rPr>
      </w:pPr>
    </w:p>
    <w:p w14:paraId="54DF61D1" w14:textId="77777777" w:rsidR="00BA1743" w:rsidRDefault="00BA1743" w:rsidP="00BA1743">
      <w:pPr>
        <w:pStyle w:val="CZNzevlnku"/>
        <w:rPr>
          <w:rFonts w:asciiTheme="minorHAnsi" w:hAnsiTheme="minorHAnsi" w:cs="Calibri"/>
          <w:sz w:val="24"/>
        </w:rPr>
      </w:pPr>
      <w:r>
        <w:rPr>
          <w:rFonts w:asciiTheme="minorHAnsi" w:hAnsiTheme="minorHAnsi" w:cs="Calibri"/>
          <w:sz w:val="24"/>
        </w:rPr>
        <w:t>Doba a místo plnění</w:t>
      </w:r>
    </w:p>
    <w:p w14:paraId="577BF2DD" w14:textId="6EF63889" w:rsidR="00BA1743" w:rsidRPr="007A5907" w:rsidRDefault="00BA1743" w:rsidP="007A5907">
      <w:pPr>
        <w:pStyle w:val="CZodstavec"/>
        <w:numPr>
          <w:ilvl w:val="0"/>
          <w:numId w:val="6"/>
        </w:numPr>
        <w:tabs>
          <w:tab w:val="left" w:pos="426"/>
        </w:tabs>
        <w:ind w:left="426" w:hanging="426"/>
        <w:rPr>
          <w:rFonts w:asciiTheme="minorHAnsi" w:hAnsiTheme="minorHAnsi"/>
          <w:sz w:val="24"/>
        </w:rPr>
      </w:pPr>
      <w:r w:rsidRPr="007A5907">
        <w:rPr>
          <w:rFonts w:asciiTheme="minorHAnsi" w:hAnsiTheme="minorHAnsi"/>
          <w:sz w:val="24"/>
        </w:rPr>
        <w:t>Smluvní strany se dohodly, že Dodavatel je povinen poskyt</w:t>
      </w:r>
      <w:r w:rsidR="00DB0800">
        <w:rPr>
          <w:rFonts w:asciiTheme="minorHAnsi" w:hAnsiTheme="minorHAnsi"/>
          <w:sz w:val="24"/>
        </w:rPr>
        <w:t>nou</w:t>
      </w:r>
      <w:r w:rsidRPr="007A5907">
        <w:rPr>
          <w:rFonts w:asciiTheme="minorHAnsi" w:hAnsiTheme="minorHAnsi"/>
          <w:sz w:val="24"/>
        </w:rPr>
        <w:t xml:space="preserve">t Objednateli plnění dle této smlouvy v období od </w:t>
      </w:r>
      <w:r w:rsidR="00AB0A10" w:rsidRPr="00AB0A10">
        <w:rPr>
          <w:rFonts w:asciiTheme="minorHAnsi" w:hAnsiTheme="minorHAnsi"/>
          <w:sz w:val="24"/>
        </w:rPr>
        <w:t>28.9.202</w:t>
      </w:r>
      <w:r w:rsidR="001F603A">
        <w:rPr>
          <w:rFonts w:asciiTheme="minorHAnsi" w:hAnsiTheme="minorHAnsi"/>
          <w:sz w:val="24"/>
        </w:rPr>
        <w:t>4</w:t>
      </w:r>
      <w:r w:rsidRPr="007A5907">
        <w:rPr>
          <w:rFonts w:asciiTheme="minorHAnsi" w:hAnsiTheme="minorHAnsi"/>
          <w:sz w:val="24"/>
        </w:rPr>
        <w:t xml:space="preserve"> do </w:t>
      </w:r>
      <w:r w:rsidR="0089351B" w:rsidRPr="0089351B">
        <w:rPr>
          <w:rFonts w:asciiTheme="minorHAnsi" w:hAnsiTheme="minorHAnsi"/>
          <w:sz w:val="24"/>
        </w:rPr>
        <w:t>2</w:t>
      </w:r>
      <w:r w:rsidR="006D0BB7">
        <w:rPr>
          <w:rFonts w:asciiTheme="minorHAnsi" w:hAnsiTheme="minorHAnsi"/>
          <w:sz w:val="24"/>
        </w:rPr>
        <w:t>8</w:t>
      </w:r>
      <w:r w:rsidR="0089351B" w:rsidRPr="0089351B">
        <w:rPr>
          <w:rFonts w:asciiTheme="minorHAnsi" w:hAnsiTheme="minorHAnsi"/>
          <w:sz w:val="24"/>
        </w:rPr>
        <w:t>.9.202</w:t>
      </w:r>
      <w:r w:rsidR="001F603A">
        <w:rPr>
          <w:rFonts w:asciiTheme="minorHAnsi" w:hAnsiTheme="minorHAnsi"/>
          <w:sz w:val="24"/>
        </w:rPr>
        <w:t>5</w:t>
      </w:r>
      <w:r w:rsidRPr="007A5907">
        <w:rPr>
          <w:rFonts w:asciiTheme="minorHAnsi" w:hAnsiTheme="minorHAnsi"/>
          <w:sz w:val="24"/>
        </w:rPr>
        <w:t>.</w:t>
      </w:r>
      <w:r w:rsidR="00076D6F">
        <w:rPr>
          <w:rFonts w:asciiTheme="minorHAnsi" w:hAnsiTheme="minorHAnsi"/>
          <w:sz w:val="24"/>
        </w:rPr>
        <w:t xml:space="preserve"> </w:t>
      </w:r>
    </w:p>
    <w:p w14:paraId="4920FD19" w14:textId="139009FB" w:rsidR="00BA1743" w:rsidRDefault="00BA1743" w:rsidP="00BA1743">
      <w:pPr>
        <w:pStyle w:val="CZodstavec"/>
        <w:numPr>
          <w:ilvl w:val="0"/>
          <w:numId w:val="6"/>
        </w:numPr>
        <w:ind w:left="426" w:hanging="426"/>
        <w:rPr>
          <w:rFonts w:asciiTheme="minorHAnsi" w:hAnsiTheme="minorHAnsi"/>
          <w:sz w:val="24"/>
        </w:rPr>
      </w:pPr>
      <w:r>
        <w:rPr>
          <w:rFonts w:asciiTheme="minorHAnsi" w:hAnsiTheme="minorHAnsi"/>
          <w:sz w:val="24"/>
        </w:rPr>
        <w:t xml:space="preserve">Místem dodání plnění Dodavatele dle této smlouvy je </w:t>
      </w:r>
      <w:r w:rsidRPr="0089351B">
        <w:rPr>
          <w:rFonts w:asciiTheme="minorHAnsi" w:hAnsiTheme="minorHAnsi"/>
          <w:sz w:val="24"/>
        </w:rPr>
        <w:t>sídlo Objednatele uvedené na titulní straně této smlouvy</w:t>
      </w:r>
      <w:r w:rsidR="0089351B">
        <w:rPr>
          <w:rFonts w:asciiTheme="minorHAnsi" w:hAnsiTheme="minorHAnsi"/>
          <w:sz w:val="24"/>
        </w:rPr>
        <w:t>.</w:t>
      </w:r>
    </w:p>
    <w:p w14:paraId="119A88BE" w14:textId="77777777" w:rsidR="00BA1743" w:rsidRDefault="00BA1743" w:rsidP="00E15067">
      <w:pPr>
        <w:pStyle w:val="CZslolnku"/>
        <w:numPr>
          <w:ilvl w:val="0"/>
          <w:numId w:val="3"/>
        </w:numPr>
        <w:ind w:left="0" w:firstLine="0"/>
        <w:rPr>
          <w:rFonts w:asciiTheme="minorHAnsi" w:hAnsiTheme="minorHAnsi" w:cstheme="minorHAnsi"/>
          <w:b w:val="0"/>
          <w:sz w:val="24"/>
        </w:rPr>
      </w:pPr>
    </w:p>
    <w:p w14:paraId="707CA0A3" w14:textId="77777777" w:rsidR="00BA1743" w:rsidRDefault="00BA1743" w:rsidP="00BA1743">
      <w:pPr>
        <w:tabs>
          <w:tab w:val="left" w:pos="2835"/>
        </w:tabs>
        <w:spacing w:line="240" w:lineRule="auto"/>
        <w:jc w:val="center"/>
        <w:rPr>
          <w:rFonts w:asciiTheme="minorHAnsi" w:hAnsiTheme="minorHAnsi" w:cstheme="minorHAnsi"/>
          <w:b/>
          <w:sz w:val="24"/>
        </w:rPr>
      </w:pPr>
      <w:r>
        <w:rPr>
          <w:rFonts w:asciiTheme="minorHAnsi" w:hAnsiTheme="minorHAnsi" w:cstheme="minorHAnsi"/>
          <w:b/>
          <w:sz w:val="24"/>
        </w:rPr>
        <w:t>Platební podmínky</w:t>
      </w:r>
    </w:p>
    <w:p w14:paraId="782B6F38" w14:textId="77777777" w:rsidR="00BA1743" w:rsidRDefault="00BA1743" w:rsidP="00BA1743">
      <w:pPr>
        <w:tabs>
          <w:tab w:val="left" w:pos="2835"/>
        </w:tabs>
        <w:spacing w:line="240" w:lineRule="auto"/>
        <w:jc w:val="center"/>
        <w:rPr>
          <w:rFonts w:asciiTheme="minorHAnsi" w:hAnsiTheme="minorHAnsi" w:cstheme="minorHAnsi"/>
          <w:b/>
          <w:sz w:val="24"/>
        </w:rPr>
      </w:pPr>
    </w:p>
    <w:p w14:paraId="3556A7AA" w14:textId="7889F787" w:rsidR="00BA1743" w:rsidRPr="00FF34B9" w:rsidRDefault="00BA1743" w:rsidP="6191B7D2">
      <w:pPr>
        <w:pStyle w:val="CZodstavec"/>
        <w:numPr>
          <w:ilvl w:val="0"/>
          <w:numId w:val="8"/>
        </w:numPr>
        <w:ind w:left="426" w:hanging="426"/>
        <w:rPr>
          <w:rFonts w:asciiTheme="minorHAnsi" w:hAnsiTheme="minorHAnsi"/>
          <w:sz w:val="24"/>
        </w:rPr>
      </w:pPr>
      <w:r w:rsidRPr="6191B7D2">
        <w:rPr>
          <w:rFonts w:asciiTheme="minorHAnsi" w:hAnsiTheme="minorHAnsi"/>
          <w:sz w:val="24"/>
        </w:rPr>
        <w:t>Smluvní strany se dohodly, že cena za plnění poskytnuté Dodavatelem na základě této smlouvy bude splatná na základě faktur</w:t>
      </w:r>
      <w:r w:rsidR="36FA15AE" w:rsidRPr="6191B7D2">
        <w:rPr>
          <w:rFonts w:asciiTheme="minorHAnsi" w:hAnsiTheme="minorHAnsi"/>
          <w:sz w:val="24"/>
        </w:rPr>
        <w:t>y</w:t>
      </w:r>
      <w:r w:rsidRPr="6191B7D2">
        <w:rPr>
          <w:rFonts w:asciiTheme="minorHAnsi" w:hAnsiTheme="minorHAnsi"/>
          <w:sz w:val="24"/>
        </w:rPr>
        <w:t xml:space="preserve"> – daňov</w:t>
      </w:r>
      <w:r w:rsidR="7C47714E" w:rsidRPr="6191B7D2">
        <w:rPr>
          <w:rFonts w:asciiTheme="minorHAnsi" w:hAnsiTheme="minorHAnsi"/>
          <w:sz w:val="24"/>
        </w:rPr>
        <w:t>ého</w:t>
      </w:r>
      <w:r w:rsidRPr="6191B7D2">
        <w:rPr>
          <w:rFonts w:asciiTheme="minorHAnsi" w:hAnsiTheme="minorHAnsi"/>
          <w:sz w:val="24"/>
        </w:rPr>
        <w:t xml:space="preserve"> doklad</w:t>
      </w:r>
      <w:r w:rsidR="22F373D6" w:rsidRPr="6191B7D2">
        <w:rPr>
          <w:rFonts w:asciiTheme="minorHAnsi" w:hAnsiTheme="minorHAnsi"/>
          <w:sz w:val="24"/>
        </w:rPr>
        <w:t>u</w:t>
      </w:r>
      <w:r w:rsidRPr="6191B7D2">
        <w:rPr>
          <w:rFonts w:asciiTheme="minorHAnsi" w:hAnsiTheme="minorHAnsi"/>
          <w:sz w:val="24"/>
        </w:rPr>
        <w:t xml:space="preserve"> vystaven</w:t>
      </w:r>
      <w:r w:rsidR="3462D819" w:rsidRPr="6191B7D2">
        <w:rPr>
          <w:rFonts w:asciiTheme="minorHAnsi" w:hAnsiTheme="minorHAnsi"/>
          <w:sz w:val="24"/>
        </w:rPr>
        <w:t>ého</w:t>
      </w:r>
      <w:r w:rsidRPr="6191B7D2">
        <w:rPr>
          <w:rFonts w:asciiTheme="minorHAnsi" w:hAnsiTheme="minorHAnsi"/>
          <w:sz w:val="24"/>
        </w:rPr>
        <w:t xml:space="preserve"> </w:t>
      </w:r>
      <w:r w:rsidR="00CF01C7" w:rsidRPr="6191B7D2">
        <w:rPr>
          <w:rFonts w:asciiTheme="minorHAnsi" w:hAnsiTheme="minorHAnsi"/>
          <w:sz w:val="24"/>
        </w:rPr>
        <w:t xml:space="preserve">Dodavatelem. </w:t>
      </w:r>
      <w:r w:rsidR="00424C1F" w:rsidRPr="6191B7D2">
        <w:rPr>
          <w:rFonts w:asciiTheme="minorHAnsi" w:hAnsiTheme="minorHAnsi"/>
          <w:sz w:val="24"/>
        </w:rPr>
        <w:t xml:space="preserve">Dodavatel vystaví fakturu do 30 dnů po předání a převzetí </w:t>
      </w:r>
      <w:r w:rsidR="00424C1F" w:rsidRPr="16E3FC0F">
        <w:rPr>
          <w:rFonts w:asciiTheme="minorHAnsi" w:hAnsiTheme="minorHAnsi"/>
          <w:sz w:val="24"/>
        </w:rPr>
        <w:t>Plnění.</w:t>
      </w:r>
      <w:r w:rsidR="00424C1F" w:rsidRPr="6191B7D2">
        <w:rPr>
          <w:rFonts w:asciiTheme="minorHAnsi" w:hAnsiTheme="minorHAnsi"/>
          <w:sz w:val="24"/>
        </w:rPr>
        <w:t xml:space="preserve"> Faktura je splatná do 21 kalendářních dnů ode dne </w:t>
      </w:r>
      <w:r w:rsidR="363B5B63" w:rsidRPr="46D9296F">
        <w:rPr>
          <w:rFonts w:asciiTheme="minorHAnsi" w:hAnsiTheme="minorHAnsi"/>
          <w:sz w:val="24"/>
        </w:rPr>
        <w:t xml:space="preserve">jejího </w:t>
      </w:r>
      <w:r w:rsidR="00424C1F" w:rsidRPr="46D9296F">
        <w:rPr>
          <w:rFonts w:asciiTheme="minorHAnsi" w:hAnsiTheme="minorHAnsi"/>
          <w:sz w:val="24"/>
        </w:rPr>
        <w:t>doručení</w:t>
      </w:r>
      <w:r w:rsidR="00424C1F" w:rsidRPr="6191B7D2">
        <w:rPr>
          <w:rFonts w:asciiTheme="minorHAnsi" w:hAnsiTheme="minorHAnsi"/>
          <w:sz w:val="24"/>
        </w:rPr>
        <w:t xml:space="preserve"> Objednateli.</w:t>
      </w:r>
    </w:p>
    <w:p w14:paraId="7B46DEF6" w14:textId="6E5C368E" w:rsidR="00424C1F" w:rsidRPr="00FF34B9" w:rsidRDefault="00175D64">
      <w:pPr>
        <w:pStyle w:val="CZodstavec"/>
        <w:numPr>
          <w:ilvl w:val="0"/>
          <w:numId w:val="8"/>
        </w:numPr>
        <w:ind w:left="426" w:hanging="426"/>
        <w:rPr>
          <w:rFonts w:asciiTheme="minorHAnsi" w:hAnsiTheme="minorHAnsi" w:cstheme="minorHAnsi"/>
          <w:sz w:val="24"/>
        </w:rPr>
      </w:pPr>
      <w:r w:rsidRPr="00FF34B9">
        <w:rPr>
          <w:rFonts w:asciiTheme="minorHAnsi" w:hAnsiTheme="minorHAnsi" w:cstheme="minorHAnsi"/>
          <w:sz w:val="24"/>
        </w:rPr>
        <w:t xml:space="preserve">Faktura vystavená Dodavatelem musí obsahovat veškeré stanovené obsahové i formální náležitosti faktury v souladu s příslušnými právními předpisy a musí obsahovat označení faktury a její číslo, název a sídlo Objednatele a Dodavatele, bankovní spojení, předmět Plnění dle </w:t>
      </w:r>
      <w:r w:rsidR="00DB0800">
        <w:rPr>
          <w:rFonts w:asciiTheme="minorHAnsi" w:hAnsiTheme="minorHAnsi" w:cstheme="minorHAnsi"/>
          <w:sz w:val="24"/>
        </w:rPr>
        <w:t>smlouvy</w:t>
      </w:r>
      <w:r w:rsidRPr="00FF34B9">
        <w:rPr>
          <w:rFonts w:asciiTheme="minorHAnsi" w:hAnsiTheme="minorHAnsi" w:cstheme="minorHAnsi"/>
          <w:sz w:val="24"/>
        </w:rPr>
        <w:t xml:space="preserve"> a fakturovanou částku bez i včetně DPH. Faktura bude zaslána na adresu sídla Objednatele (nebo na e-mailovou adresu Objednatele: podatelna@cenia.cz a zároveň na e-mailovou adresu kontaktní osoby Objednatele: </w:t>
      </w:r>
      <w:hyperlink r:id="rId9" w:history="1">
        <w:r w:rsidR="00FE3819" w:rsidRPr="00FF34B9">
          <w:rPr>
            <w:rStyle w:val="Hypertextovodkaz"/>
            <w:rFonts w:asciiTheme="minorHAnsi" w:hAnsiTheme="minorHAnsi" w:cstheme="minorHAnsi"/>
            <w:sz w:val="24"/>
          </w:rPr>
          <w:t>tomas.kotrc@cenia.cz</w:t>
        </w:r>
      </w:hyperlink>
      <w:r w:rsidRPr="00FF34B9">
        <w:rPr>
          <w:rFonts w:asciiTheme="minorHAnsi" w:hAnsiTheme="minorHAnsi" w:cstheme="minorHAnsi"/>
          <w:sz w:val="24"/>
        </w:rPr>
        <w:t>).</w:t>
      </w:r>
    </w:p>
    <w:p w14:paraId="695B1F6A" w14:textId="77777777" w:rsidR="004C75D1" w:rsidRPr="004C75D1" w:rsidRDefault="004C75D1" w:rsidP="004C75D1">
      <w:pPr>
        <w:pStyle w:val="CZodstavec"/>
        <w:numPr>
          <w:ilvl w:val="0"/>
          <w:numId w:val="8"/>
        </w:numPr>
        <w:ind w:left="426" w:hanging="426"/>
        <w:rPr>
          <w:rFonts w:asciiTheme="minorHAnsi" w:hAnsiTheme="minorHAnsi" w:cstheme="minorHAnsi"/>
          <w:sz w:val="24"/>
        </w:rPr>
      </w:pPr>
      <w:r w:rsidRPr="00FF34B9">
        <w:rPr>
          <w:rFonts w:asciiTheme="minorHAnsi" w:hAnsiTheme="minorHAnsi" w:cstheme="minorHAnsi"/>
          <w:sz w:val="24"/>
        </w:rPr>
        <w:t>V případě, že faktura nebude mít odpovídající náležitosti, je Objednatel oprávněn ji vrátit ve lhůtě splatnosti zpět Dodavateli k doplnění, aniž se tak dostane do prodlení se splatností</w:t>
      </w:r>
      <w:r w:rsidRPr="004C75D1">
        <w:rPr>
          <w:rFonts w:asciiTheme="minorHAnsi" w:hAnsiTheme="minorHAnsi" w:cstheme="minorHAnsi"/>
          <w:sz w:val="24"/>
        </w:rPr>
        <w:t>. Lhůta splatnosti počíná běžet znovu od opětovného doručení náležitě doplněné či opravené faktury Objednateli.</w:t>
      </w:r>
    </w:p>
    <w:p w14:paraId="7DF87B4C" w14:textId="67D1240F" w:rsidR="00175D64" w:rsidRPr="004C75D1" w:rsidRDefault="004C75D1" w:rsidP="004C75D1">
      <w:pPr>
        <w:pStyle w:val="CZodstavec"/>
        <w:numPr>
          <w:ilvl w:val="0"/>
          <w:numId w:val="8"/>
        </w:numPr>
        <w:ind w:left="426" w:hanging="426"/>
        <w:rPr>
          <w:rFonts w:asciiTheme="minorHAnsi" w:hAnsiTheme="minorHAnsi" w:cstheme="minorHAnsi"/>
          <w:sz w:val="24"/>
        </w:rPr>
      </w:pPr>
      <w:r w:rsidRPr="004C75D1">
        <w:rPr>
          <w:rFonts w:asciiTheme="minorHAnsi" w:hAnsiTheme="minorHAnsi" w:cstheme="minorHAnsi"/>
          <w:sz w:val="24"/>
        </w:rPr>
        <w:t>Objednatel neposkytuje zálohové platby. Platba bude provedena bezhotovostním převodem na účet Dodavatele uvedený na dané faktuře. Povinnost Objednatele je splněna odepsáním příslušné částky dle dané faktury z účtu Objednatele.</w:t>
      </w:r>
    </w:p>
    <w:p w14:paraId="0E1D2D3C" w14:textId="0D190003" w:rsidR="00EF747B" w:rsidRPr="00DB0800" w:rsidRDefault="00B50EFB" w:rsidP="00A971B0">
      <w:pPr>
        <w:pStyle w:val="CZodstavec"/>
        <w:numPr>
          <w:ilvl w:val="0"/>
          <w:numId w:val="8"/>
        </w:numPr>
        <w:ind w:left="426" w:hanging="426"/>
        <w:rPr>
          <w:rFonts w:asciiTheme="minorHAnsi" w:hAnsiTheme="minorHAnsi"/>
          <w:sz w:val="24"/>
        </w:rPr>
      </w:pPr>
      <w:r w:rsidRPr="00DB0800">
        <w:rPr>
          <w:rFonts w:asciiTheme="minorHAnsi" w:hAnsiTheme="minorHAnsi"/>
          <w:sz w:val="24"/>
        </w:rPr>
        <w:t xml:space="preserve">Nedílnou součástí </w:t>
      </w:r>
      <w:r w:rsidR="004C75D1" w:rsidRPr="00DB0800">
        <w:rPr>
          <w:rFonts w:asciiTheme="minorHAnsi" w:hAnsiTheme="minorHAnsi"/>
          <w:sz w:val="24"/>
        </w:rPr>
        <w:t>faktury</w:t>
      </w:r>
      <w:r w:rsidRPr="00DB0800">
        <w:rPr>
          <w:rFonts w:asciiTheme="minorHAnsi" w:hAnsiTheme="minorHAnsi"/>
          <w:sz w:val="24"/>
        </w:rPr>
        <w:t xml:space="preserve"> bude protokol o předání a převzetí poskytnutého plnění podepsan</w:t>
      </w:r>
      <w:r w:rsidR="66094C9B" w:rsidRPr="00DB0800">
        <w:rPr>
          <w:rFonts w:asciiTheme="minorHAnsi" w:hAnsiTheme="minorHAnsi"/>
          <w:sz w:val="24"/>
        </w:rPr>
        <w:t>ý</w:t>
      </w:r>
      <w:r w:rsidRPr="00DB0800">
        <w:rPr>
          <w:rFonts w:asciiTheme="minorHAnsi" w:hAnsiTheme="minorHAnsi"/>
          <w:sz w:val="24"/>
        </w:rPr>
        <w:t xml:space="preserve"> Dodavatelem a Objednatelem.</w:t>
      </w:r>
    </w:p>
    <w:p w14:paraId="1E4AD31E" w14:textId="0A9C13CE" w:rsidR="003F6DEE" w:rsidRPr="00DB0800" w:rsidRDefault="00296576" w:rsidP="00DB0800">
      <w:pPr>
        <w:pStyle w:val="CZodstavec"/>
        <w:numPr>
          <w:ilvl w:val="0"/>
          <w:numId w:val="8"/>
        </w:numPr>
        <w:ind w:left="426" w:hanging="426"/>
        <w:rPr>
          <w:rFonts w:asciiTheme="minorHAnsi" w:hAnsiTheme="minorHAnsi" w:cstheme="minorHAnsi"/>
          <w:sz w:val="24"/>
        </w:rPr>
      </w:pPr>
      <w:r w:rsidRPr="00DB0800">
        <w:rPr>
          <w:rFonts w:asciiTheme="minorHAnsi" w:hAnsiTheme="minorHAnsi" w:cstheme="minorHAnsi"/>
          <w:sz w:val="24"/>
        </w:rPr>
        <w:lastRenderedPageBreak/>
        <w:t xml:space="preserve">Plnění poskytnuté Dodavateli dle této smlouvy, se považuje za řádně uhrazené okamžikem poukázání finanční částky odpovídající hodnotě poskytnutého plnění z účtu Objednatele ve prospěch účtu Dodavatele uvedeného ve smlouvě. </w:t>
      </w:r>
    </w:p>
    <w:p w14:paraId="6BF37EC4" w14:textId="15BCAE3D" w:rsidR="00D60A53" w:rsidRDefault="00D60A53" w:rsidP="00D60A53">
      <w:pPr>
        <w:pStyle w:val="CZslolnku"/>
        <w:numPr>
          <w:ilvl w:val="0"/>
          <w:numId w:val="3"/>
        </w:numPr>
        <w:ind w:left="0" w:firstLine="0"/>
        <w:rPr>
          <w:rFonts w:asciiTheme="minorHAnsi" w:hAnsiTheme="minorHAnsi" w:cstheme="minorHAnsi"/>
          <w:b w:val="0"/>
          <w:sz w:val="24"/>
        </w:rPr>
      </w:pPr>
    </w:p>
    <w:p w14:paraId="3791DAF3" w14:textId="6E87D496" w:rsidR="003F6DEE" w:rsidRDefault="003F6DEE" w:rsidP="003F6DEE">
      <w:pPr>
        <w:tabs>
          <w:tab w:val="left" w:pos="2835"/>
        </w:tabs>
        <w:spacing w:line="240" w:lineRule="auto"/>
        <w:jc w:val="center"/>
        <w:rPr>
          <w:rFonts w:asciiTheme="minorHAnsi" w:hAnsiTheme="minorHAnsi" w:cstheme="minorHAnsi"/>
          <w:b/>
          <w:sz w:val="24"/>
        </w:rPr>
      </w:pPr>
      <w:r w:rsidRPr="00B477EF">
        <w:rPr>
          <w:rFonts w:asciiTheme="minorHAnsi" w:hAnsiTheme="minorHAnsi" w:cstheme="minorHAnsi"/>
          <w:b/>
          <w:sz w:val="24"/>
        </w:rPr>
        <w:t>Práva a povinnosti Smluvních stran</w:t>
      </w:r>
    </w:p>
    <w:p w14:paraId="6419C489" w14:textId="77777777" w:rsidR="00557461" w:rsidRPr="00B477EF" w:rsidRDefault="00557461" w:rsidP="003F6DEE">
      <w:pPr>
        <w:tabs>
          <w:tab w:val="left" w:pos="2835"/>
        </w:tabs>
        <w:spacing w:line="240" w:lineRule="auto"/>
        <w:jc w:val="center"/>
        <w:rPr>
          <w:rFonts w:asciiTheme="minorHAnsi" w:hAnsiTheme="minorHAnsi" w:cstheme="minorHAnsi"/>
          <w:b/>
          <w:sz w:val="24"/>
        </w:rPr>
      </w:pPr>
    </w:p>
    <w:p w14:paraId="3BEE8835" w14:textId="69DE0657" w:rsidR="000C74DC" w:rsidRPr="007670F8" w:rsidRDefault="000C74DC" w:rsidP="000C74DC">
      <w:pPr>
        <w:pStyle w:val="CZodstavec"/>
        <w:numPr>
          <w:ilvl w:val="0"/>
          <w:numId w:val="23"/>
        </w:numPr>
        <w:rPr>
          <w:rFonts w:asciiTheme="minorHAnsi" w:hAnsiTheme="minorHAnsi" w:cstheme="minorHAnsi"/>
          <w:sz w:val="24"/>
        </w:rPr>
      </w:pPr>
      <w:r w:rsidRPr="007670F8">
        <w:rPr>
          <w:rFonts w:asciiTheme="minorHAnsi" w:hAnsiTheme="minorHAnsi" w:cstheme="minorHAnsi"/>
          <w:sz w:val="24"/>
        </w:rPr>
        <w:t xml:space="preserve">Dodavatel tímto prohlašuje, že ke dni uzavření </w:t>
      </w:r>
      <w:r>
        <w:rPr>
          <w:rFonts w:asciiTheme="minorHAnsi" w:hAnsiTheme="minorHAnsi" w:cstheme="minorHAnsi"/>
          <w:sz w:val="24"/>
        </w:rPr>
        <w:t>smlouvy</w:t>
      </w:r>
      <w:r w:rsidRPr="007670F8">
        <w:rPr>
          <w:rFonts w:asciiTheme="minorHAnsi" w:hAnsiTheme="minorHAnsi" w:cstheme="minorHAnsi"/>
          <w:sz w:val="24"/>
        </w:rPr>
        <w:t>:</w:t>
      </w:r>
    </w:p>
    <w:p w14:paraId="48EC1BA4" w14:textId="04F8070C" w:rsidR="000C74DC" w:rsidRPr="007670F8" w:rsidRDefault="000C74DC" w:rsidP="000C74DC">
      <w:pPr>
        <w:pStyle w:val="CZodstavec"/>
        <w:numPr>
          <w:ilvl w:val="7"/>
          <w:numId w:val="22"/>
        </w:numPr>
        <w:rPr>
          <w:rFonts w:asciiTheme="minorHAnsi" w:hAnsiTheme="minorHAnsi" w:cstheme="minorHAnsi"/>
          <w:sz w:val="24"/>
        </w:rPr>
      </w:pPr>
      <w:r w:rsidRPr="007670F8">
        <w:rPr>
          <w:rFonts w:asciiTheme="minorHAnsi" w:hAnsiTheme="minorHAnsi" w:cstheme="minorHAnsi"/>
          <w:sz w:val="24"/>
        </w:rPr>
        <w:t xml:space="preserve">má plnou způsobilost, stejně jako pověření a schválení všech orgánů Dodavatele, popřípadě jiných subjektů a je právně způsobilý k uzavření této </w:t>
      </w:r>
      <w:r>
        <w:rPr>
          <w:rFonts w:asciiTheme="minorHAnsi" w:hAnsiTheme="minorHAnsi" w:cstheme="minorHAnsi"/>
          <w:sz w:val="24"/>
        </w:rPr>
        <w:t>smlouvy</w:t>
      </w:r>
      <w:r w:rsidRPr="007670F8">
        <w:rPr>
          <w:rFonts w:asciiTheme="minorHAnsi" w:hAnsiTheme="minorHAnsi" w:cstheme="minorHAnsi"/>
          <w:sz w:val="24"/>
        </w:rPr>
        <w:t xml:space="preserve"> a k realizaci předmětu této </w:t>
      </w:r>
      <w:r>
        <w:rPr>
          <w:rFonts w:asciiTheme="minorHAnsi" w:hAnsiTheme="minorHAnsi" w:cstheme="minorHAnsi"/>
          <w:sz w:val="24"/>
        </w:rPr>
        <w:t>smlouvy</w:t>
      </w:r>
      <w:r w:rsidRPr="007670F8">
        <w:rPr>
          <w:rFonts w:asciiTheme="minorHAnsi" w:hAnsiTheme="minorHAnsi" w:cstheme="minorHAnsi"/>
          <w:sz w:val="24"/>
        </w:rPr>
        <w:t>;</w:t>
      </w:r>
    </w:p>
    <w:p w14:paraId="24ED39DF" w14:textId="77777777" w:rsidR="000C74DC" w:rsidRDefault="000C74DC" w:rsidP="000C74DC">
      <w:pPr>
        <w:pStyle w:val="CZodstavec"/>
        <w:numPr>
          <w:ilvl w:val="7"/>
          <w:numId w:val="22"/>
        </w:numPr>
        <w:rPr>
          <w:rFonts w:asciiTheme="minorHAnsi" w:hAnsiTheme="minorHAnsi" w:cstheme="minorHAnsi"/>
          <w:sz w:val="24"/>
        </w:rPr>
      </w:pPr>
      <w:r w:rsidRPr="007670F8">
        <w:rPr>
          <w:rFonts w:asciiTheme="minorHAnsi" w:hAnsiTheme="minorHAnsi" w:cstheme="minorHAnsi"/>
          <w:sz w:val="24"/>
        </w:rPr>
        <w:t>není v platební neschopnosti a podle nejlepšího vědomí Dodavatele neprobíhají žádná řízení týkající se likvidace, úpadku, exekuce, prodeje podniku Dodavatele nebo jeho části, nebo jiná řízení ve smyslu zákona č. 182/2006 Sb., o úpadku a způsobech jeho řešení (insolvenční zákon), ve znění pozdějších předpisů;</w:t>
      </w:r>
    </w:p>
    <w:p w14:paraId="3E535759" w14:textId="505B5E08" w:rsidR="003F6DEE" w:rsidRPr="00D60A53" w:rsidRDefault="004E095F" w:rsidP="004E095F">
      <w:pPr>
        <w:pStyle w:val="CZodstavec"/>
        <w:numPr>
          <w:ilvl w:val="7"/>
          <w:numId w:val="22"/>
        </w:numPr>
        <w:rPr>
          <w:rFonts w:asciiTheme="minorHAnsi" w:hAnsiTheme="minorHAnsi" w:cstheme="minorHAnsi"/>
          <w:sz w:val="24"/>
        </w:rPr>
      </w:pPr>
      <w:r>
        <w:rPr>
          <w:rFonts w:asciiTheme="minorHAnsi" w:hAnsiTheme="minorHAnsi" w:cstheme="minorHAnsi"/>
          <w:sz w:val="24"/>
        </w:rPr>
        <w:t>je</w:t>
      </w:r>
      <w:r w:rsidRPr="004E095F">
        <w:rPr>
          <w:rFonts w:asciiTheme="minorHAnsi" w:hAnsiTheme="minorHAnsi" w:cstheme="minorHAnsi"/>
          <w:sz w:val="24"/>
        </w:rPr>
        <w:t xml:space="preserve"> držitelem statusu autorizovaného partnera společnosti Microsoft. Dodavatel je povinen být po celou dobu účinnosti této </w:t>
      </w:r>
      <w:r>
        <w:rPr>
          <w:rFonts w:asciiTheme="minorHAnsi" w:hAnsiTheme="minorHAnsi" w:cstheme="minorHAnsi"/>
          <w:sz w:val="24"/>
        </w:rPr>
        <w:t>smlouvy</w:t>
      </w:r>
      <w:r w:rsidRPr="004E095F">
        <w:rPr>
          <w:rFonts w:asciiTheme="minorHAnsi" w:hAnsiTheme="minorHAnsi" w:cstheme="minorHAnsi"/>
          <w:sz w:val="24"/>
        </w:rPr>
        <w:t xml:space="preserve"> stále </w:t>
      </w:r>
      <w:r w:rsidR="009B4647" w:rsidRPr="009B4647">
        <w:rPr>
          <w:rFonts w:asciiTheme="minorHAnsi" w:hAnsiTheme="minorHAnsi" w:cstheme="minorHAnsi"/>
          <w:sz w:val="24"/>
        </w:rPr>
        <w:t>autorizovaný smluvní partner společnosti Microsoft</w:t>
      </w:r>
      <w:r w:rsidRPr="004E095F">
        <w:rPr>
          <w:rFonts w:asciiTheme="minorHAnsi" w:hAnsiTheme="minorHAnsi" w:cstheme="minorHAnsi"/>
          <w:sz w:val="24"/>
        </w:rPr>
        <w:t xml:space="preserve">. </w:t>
      </w:r>
      <w:r w:rsidRPr="00D60A53">
        <w:rPr>
          <w:rFonts w:asciiTheme="minorHAnsi" w:hAnsiTheme="minorHAnsi" w:cstheme="minorHAnsi"/>
          <w:sz w:val="24"/>
        </w:rPr>
        <w:t xml:space="preserve">V případě ztráty </w:t>
      </w:r>
      <w:r w:rsidR="009B4647" w:rsidRPr="00D60A53">
        <w:rPr>
          <w:rFonts w:asciiTheme="minorHAnsi" w:hAnsiTheme="minorHAnsi" w:cstheme="minorHAnsi"/>
          <w:sz w:val="24"/>
        </w:rPr>
        <w:t xml:space="preserve">tohoto </w:t>
      </w:r>
      <w:r w:rsidRPr="00D60A53">
        <w:rPr>
          <w:rFonts w:asciiTheme="minorHAnsi" w:hAnsiTheme="minorHAnsi" w:cstheme="minorHAnsi"/>
          <w:sz w:val="24"/>
        </w:rPr>
        <w:t>statusu je dodavatel povinen o této skutečnosti objednatele bezodkladně informovat.</w:t>
      </w:r>
    </w:p>
    <w:p w14:paraId="57066429" w14:textId="3FCBE83C" w:rsidR="00386E04" w:rsidRDefault="00B67985" w:rsidP="00B67985">
      <w:pPr>
        <w:pStyle w:val="CZodstavec"/>
        <w:numPr>
          <w:ilvl w:val="0"/>
          <w:numId w:val="23"/>
        </w:numPr>
        <w:rPr>
          <w:rFonts w:asciiTheme="minorHAnsi" w:hAnsiTheme="minorHAnsi" w:cstheme="minorHAnsi"/>
          <w:sz w:val="24"/>
        </w:rPr>
      </w:pPr>
      <w:r w:rsidRPr="00B67985">
        <w:rPr>
          <w:rFonts w:asciiTheme="minorHAnsi" w:hAnsiTheme="minorHAnsi" w:cstheme="minorHAnsi"/>
          <w:sz w:val="24"/>
        </w:rPr>
        <w:t>Dodavatel se zavazuj</w:t>
      </w:r>
      <w:r w:rsidR="00DB0800">
        <w:rPr>
          <w:rFonts w:asciiTheme="minorHAnsi" w:hAnsiTheme="minorHAnsi" w:cstheme="minorHAnsi"/>
          <w:sz w:val="24"/>
        </w:rPr>
        <w:t>e</w:t>
      </w:r>
      <w:r w:rsidRPr="00B67985">
        <w:rPr>
          <w:rFonts w:asciiTheme="minorHAnsi" w:hAnsiTheme="minorHAnsi" w:cstheme="minorHAnsi"/>
          <w:sz w:val="24"/>
        </w:rPr>
        <w:t xml:space="preserve"> dod</w:t>
      </w:r>
      <w:r w:rsidR="00DB0800">
        <w:rPr>
          <w:rFonts w:asciiTheme="minorHAnsi" w:hAnsiTheme="minorHAnsi" w:cstheme="minorHAnsi"/>
          <w:sz w:val="24"/>
        </w:rPr>
        <w:t>at</w:t>
      </w:r>
      <w:r w:rsidRPr="00B67985">
        <w:rPr>
          <w:rFonts w:asciiTheme="minorHAnsi" w:hAnsiTheme="minorHAnsi" w:cstheme="minorHAnsi"/>
          <w:sz w:val="24"/>
        </w:rPr>
        <w:t xml:space="preserve"> Objednatel</w:t>
      </w:r>
      <w:r>
        <w:rPr>
          <w:rFonts w:asciiTheme="minorHAnsi" w:hAnsiTheme="minorHAnsi" w:cstheme="minorHAnsi"/>
          <w:sz w:val="24"/>
        </w:rPr>
        <w:t>i</w:t>
      </w:r>
      <w:r w:rsidRPr="00B67985">
        <w:rPr>
          <w:rFonts w:asciiTheme="minorHAnsi" w:hAnsiTheme="minorHAnsi" w:cstheme="minorHAnsi"/>
          <w:sz w:val="24"/>
        </w:rPr>
        <w:t xml:space="preserve"> plnění dle této </w:t>
      </w:r>
      <w:r>
        <w:rPr>
          <w:rFonts w:asciiTheme="minorHAnsi" w:hAnsiTheme="minorHAnsi" w:cstheme="minorHAnsi"/>
          <w:sz w:val="24"/>
        </w:rPr>
        <w:t>smlouvy</w:t>
      </w:r>
      <w:r w:rsidRPr="00B67985">
        <w:rPr>
          <w:rFonts w:asciiTheme="minorHAnsi" w:hAnsiTheme="minorHAnsi" w:cstheme="minorHAnsi"/>
          <w:sz w:val="24"/>
        </w:rPr>
        <w:t xml:space="preserve"> za podmínek v této </w:t>
      </w:r>
      <w:r>
        <w:rPr>
          <w:rFonts w:asciiTheme="minorHAnsi" w:hAnsiTheme="minorHAnsi" w:cstheme="minorHAnsi"/>
          <w:sz w:val="24"/>
        </w:rPr>
        <w:t>smlouvě</w:t>
      </w:r>
      <w:r w:rsidRPr="00B67985">
        <w:rPr>
          <w:rFonts w:asciiTheme="minorHAnsi" w:hAnsiTheme="minorHAnsi" w:cstheme="minorHAnsi"/>
          <w:sz w:val="24"/>
        </w:rPr>
        <w:t xml:space="preserve"> stanovených</w:t>
      </w:r>
      <w:r>
        <w:rPr>
          <w:rFonts w:asciiTheme="minorHAnsi" w:hAnsiTheme="minorHAnsi" w:cstheme="minorHAnsi"/>
          <w:sz w:val="24"/>
        </w:rPr>
        <w:t xml:space="preserve"> </w:t>
      </w:r>
      <w:r w:rsidRPr="00B67985">
        <w:rPr>
          <w:rFonts w:asciiTheme="minorHAnsi" w:hAnsiTheme="minorHAnsi" w:cstheme="minorHAnsi"/>
          <w:sz w:val="24"/>
        </w:rPr>
        <w:t>a v souladu s pravidly společnosti Microsoft, a to vždy s vynaložením maximální profesionální péče.</w:t>
      </w:r>
    </w:p>
    <w:p w14:paraId="5B4C35AB" w14:textId="76E3C31F" w:rsidR="00B67985" w:rsidRDefault="00CA327A" w:rsidP="00B67985">
      <w:pPr>
        <w:pStyle w:val="CZodstavec"/>
        <w:numPr>
          <w:ilvl w:val="0"/>
          <w:numId w:val="23"/>
        </w:numPr>
        <w:rPr>
          <w:rFonts w:asciiTheme="minorHAnsi" w:hAnsiTheme="minorHAnsi" w:cstheme="minorHAnsi"/>
          <w:sz w:val="24"/>
        </w:rPr>
      </w:pPr>
      <w:r w:rsidRPr="00CA327A">
        <w:rPr>
          <w:rFonts w:asciiTheme="minorHAnsi" w:hAnsiTheme="minorHAnsi" w:cstheme="minorHAnsi"/>
          <w:sz w:val="24"/>
        </w:rPr>
        <w:t>Dodavatel j</w:t>
      </w:r>
      <w:r>
        <w:rPr>
          <w:rFonts w:asciiTheme="minorHAnsi" w:hAnsiTheme="minorHAnsi" w:cstheme="minorHAnsi"/>
          <w:sz w:val="24"/>
        </w:rPr>
        <w:t>e</w:t>
      </w:r>
      <w:r w:rsidRPr="00CA327A">
        <w:rPr>
          <w:rFonts w:asciiTheme="minorHAnsi" w:hAnsiTheme="minorHAnsi" w:cstheme="minorHAnsi"/>
          <w:sz w:val="24"/>
        </w:rPr>
        <w:t xml:space="preserve"> současně povin</w:t>
      </w:r>
      <w:r>
        <w:rPr>
          <w:rFonts w:asciiTheme="minorHAnsi" w:hAnsiTheme="minorHAnsi" w:cstheme="minorHAnsi"/>
          <w:sz w:val="24"/>
        </w:rPr>
        <w:t xml:space="preserve">en </w:t>
      </w:r>
      <w:r w:rsidRPr="00CA327A">
        <w:rPr>
          <w:rFonts w:asciiTheme="minorHAnsi" w:hAnsiTheme="minorHAnsi" w:cstheme="minorHAnsi"/>
          <w:sz w:val="24"/>
        </w:rPr>
        <w:t xml:space="preserve">poskytovat plnění dle této </w:t>
      </w:r>
      <w:r>
        <w:rPr>
          <w:rFonts w:asciiTheme="minorHAnsi" w:hAnsiTheme="minorHAnsi" w:cstheme="minorHAnsi"/>
          <w:sz w:val="24"/>
        </w:rPr>
        <w:t>smlouvy</w:t>
      </w:r>
      <w:r w:rsidRPr="00CA327A">
        <w:rPr>
          <w:rFonts w:asciiTheme="minorHAnsi" w:hAnsiTheme="minorHAnsi" w:cstheme="minorHAnsi"/>
          <w:sz w:val="24"/>
        </w:rPr>
        <w:t xml:space="preserve"> v souladu s veškerými požadavky obsaženými v zadávací dokumentaci </w:t>
      </w:r>
      <w:r w:rsidR="00D618EC">
        <w:rPr>
          <w:rFonts w:asciiTheme="minorHAnsi" w:hAnsiTheme="minorHAnsi" w:cstheme="minorHAnsi"/>
          <w:sz w:val="24"/>
        </w:rPr>
        <w:t>výběrového</w:t>
      </w:r>
      <w:r w:rsidRPr="00CA327A">
        <w:rPr>
          <w:rFonts w:asciiTheme="minorHAnsi" w:hAnsiTheme="minorHAnsi" w:cstheme="minorHAnsi"/>
          <w:sz w:val="24"/>
        </w:rPr>
        <w:t xml:space="preserve"> řízení na uzavření </w:t>
      </w:r>
      <w:r w:rsidR="00D618EC">
        <w:rPr>
          <w:rFonts w:asciiTheme="minorHAnsi" w:hAnsiTheme="minorHAnsi" w:cstheme="minorHAnsi"/>
          <w:sz w:val="24"/>
        </w:rPr>
        <w:t>této smlouvy</w:t>
      </w:r>
      <w:r w:rsidRPr="00CA327A">
        <w:rPr>
          <w:rFonts w:asciiTheme="minorHAnsi" w:hAnsiTheme="minorHAnsi" w:cstheme="minorHAnsi"/>
          <w:sz w:val="24"/>
        </w:rPr>
        <w:t>.</w:t>
      </w:r>
    </w:p>
    <w:p w14:paraId="29DCDB6F" w14:textId="6BFA58C4" w:rsidR="0032012B" w:rsidRPr="00F30146" w:rsidRDefault="0032012B" w:rsidP="0032012B">
      <w:pPr>
        <w:pStyle w:val="CZodstavec"/>
        <w:widowControl w:val="0"/>
        <w:numPr>
          <w:ilvl w:val="0"/>
          <w:numId w:val="23"/>
        </w:numPr>
        <w:suppressAutoHyphens/>
        <w:rPr>
          <w:rFonts w:asciiTheme="minorHAnsi" w:hAnsiTheme="minorHAnsi" w:cstheme="minorHAnsi"/>
          <w:sz w:val="24"/>
        </w:rPr>
      </w:pPr>
      <w:r w:rsidRPr="00F30146">
        <w:rPr>
          <w:rFonts w:asciiTheme="minorHAnsi" w:hAnsiTheme="minorHAnsi" w:cstheme="minorHAnsi"/>
          <w:sz w:val="24"/>
        </w:rPr>
        <w:t>Objednatel j</w:t>
      </w:r>
      <w:r>
        <w:rPr>
          <w:rFonts w:asciiTheme="minorHAnsi" w:hAnsiTheme="minorHAnsi" w:cstheme="minorHAnsi"/>
          <w:sz w:val="24"/>
        </w:rPr>
        <w:t>e</w:t>
      </w:r>
      <w:r w:rsidRPr="00F30146">
        <w:rPr>
          <w:rFonts w:asciiTheme="minorHAnsi" w:hAnsiTheme="minorHAnsi" w:cstheme="minorHAnsi"/>
          <w:sz w:val="24"/>
        </w:rPr>
        <w:t xml:space="preserve"> povin</w:t>
      </w:r>
      <w:r>
        <w:rPr>
          <w:rFonts w:asciiTheme="minorHAnsi" w:hAnsiTheme="minorHAnsi" w:cstheme="minorHAnsi"/>
          <w:sz w:val="24"/>
        </w:rPr>
        <w:t>en</w:t>
      </w:r>
      <w:r w:rsidRPr="00F30146">
        <w:rPr>
          <w:rFonts w:asciiTheme="minorHAnsi" w:hAnsiTheme="minorHAnsi" w:cstheme="minorHAnsi"/>
          <w:sz w:val="24"/>
        </w:rPr>
        <w:t xml:space="preserve"> poskytnout Dodavatel</w:t>
      </w:r>
      <w:r>
        <w:rPr>
          <w:rFonts w:asciiTheme="minorHAnsi" w:hAnsiTheme="minorHAnsi" w:cstheme="minorHAnsi"/>
          <w:sz w:val="24"/>
        </w:rPr>
        <w:t>i</w:t>
      </w:r>
      <w:r w:rsidRPr="00F30146">
        <w:rPr>
          <w:rFonts w:asciiTheme="minorHAnsi" w:hAnsiTheme="minorHAnsi" w:cstheme="minorHAnsi"/>
          <w:sz w:val="24"/>
        </w:rPr>
        <w:t xml:space="preserve"> úplné, pravdivé a včasné informace potřebné k řádnému plnění závazků Dodavatel</w:t>
      </w:r>
      <w:r>
        <w:rPr>
          <w:rFonts w:asciiTheme="minorHAnsi" w:hAnsiTheme="minorHAnsi" w:cstheme="minorHAnsi"/>
          <w:sz w:val="24"/>
        </w:rPr>
        <w:t>e</w:t>
      </w:r>
      <w:r w:rsidRPr="00F30146">
        <w:rPr>
          <w:rFonts w:asciiTheme="minorHAnsi" w:hAnsiTheme="minorHAnsi" w:cstheme="minorHAnsi"/>
          <w:sz w:val="24"/>
        </w:rPr>
        <w:t>.</w:t>
      </w:r>
    </w:p>
    <w:p w14:paraId="18DAECBF" w14:textId="7A1C6B61" w:rsidR="0032012B" w:rsidRPr="00F30146" w:rsidRDefault="0032012B" w:rsidP="0032012B">
      <w:pPr>
        <w:pStyle w:val="CZodstavec"/>
        <w:widowControl w:val="0"/>
        <w:numPr>
          <w:ilvl w:val="0"/>
          <w:numId w:val="23"/>
        </w:numPr>
        <w:suppressAutoHyphens/>
        <w:rPr>
          <w:rFonts w:asciiTheme="minorHAnsi" w:hAnsiTheme="minorHAnsi" w:cstheme="minorHAnsi"/>
          <w:sz w:val="24"/>
        </w:rPr>
      </w:pPr>
      <w:r w:rsidRPr="00F30146">
        <w:rPr>
          <w:rFonts w:asciiTheme="minorHAnsi" w:hAnsiTheme="minorHAnsi" w:cstheme="minorHAnsi"/>
          <w:sz w:val="24"/>
        </w:rPr>
        <w:t xml:space="preserve">Smluvní strany jsou povinny poskytnout si navzájem veškerou součinnost, která se v průběhu plnění závazků dle této </w:t>
      </w:r>
      <w:r>
        <w:rPr>
          <w:rFonts w:asciiTheme="minorHAnsi" w:hAnsiTheme="minorHAnsi" w:cstheme="minorHAnsi"/>
          <w:sz w:val="24"/>
        </w:rPr>
        <w:t>smlouvy</w:t>
      </w:r>
      <w:r w:rsidRPr="00F30146">
        <w:rPr>
          <w:rFonts w:asciiTheme="minorHAnsi" w:hAnsiTheme="minorHAnsi" w:cstheme="minorHAnsi"/>
          <w:sz w:val="24"/>
        </w:rPr>
        <w:t xml:space="preserve"> projeví jako potřebná pro toto plnění.</w:t>
      </w:r>
    </w:p>
    <w:p w14:paraId="21613938" w14:textId="4C738653" w:rsidR="0032012B" w:rsidRDefault="0032012B" w:rsidP="0032012B">
      <w:pPr>
        <w:pStyle w:val="CZodstavec"/>
        <w:numPr>
          <w:ilvl w:val="0"/>
          <w:numId w:val="23"/>
        </w:numPr>
        <w:rPr>
          <w:rFonts w:asciiTheme="minorHAnsi" w:hAnsiTheme="minorHAnsi" w:cstheme="minorHAnsi"/>
          <w:sz w:val="24"/>
        </w:rPr>
      </w:pPr>
      <w:r w:rsidRPr="00F30146">
        <w:rPr>
          <w:rFonts w:asciiTheme="minorHAnsi" w:hAnsiTheme="minorHAnsi" w:cstheme="minorHAnsi"/>
          <w:sz w:val="24"/>
        </w:rPr>
        <w:t>Vzájemný styk mezi Dodavatel</w:t>
      </w:r>
      <w:r>
        <w:rPr>
          <w:rFonts w:asciiTheme="minorHAnsi" w:hAnsiTheme="minorHAnsi" w:cstheme="minorHAnsi"/>
          <w:sz w:val="24"/>
        </w:rPr>
        <w:t>em</w:t>
      </w:r>
      <w:r w:rsidRPr="00F30146">
        <w:rPr>
          <w:rFonts w:asciiTheme="minorHAnsi" w:hAnsiTheme="minorHAnsi" w:cstheme="minorHAnsi"/>
          <w:sz w:val="24"/>
        </w:rPr>
        <w:t xml:space="preserve"> a Objednatel</w:t>
      </w:r>
      <w:r>
        <w:rPr>
          <w:rFonts w:asciiTheme="minorHAnsi" w:hAnsiTheme="minorHAnsi" w:cstheme="minorHAnsi"/>
          <w:sz w:val="24"/>
        </w:rPr>
        <w:t>em</w:t>
      </w:r>
      <w:r w:rsidRPr="00F30146">
        <w:rPr>
          <w:rFonts w:asciiTheme="minorHAnsi" w:hAnsiTheme="minorHAnsi" w:cstheme="minorHAnsi"/>
          <w:sz w:val="24"/>
        </w:rPr>
        <w:t xml:space="preserve"> bude na pracovní úrovni probíhat prostřednictvím kontaktních osob uvedených </w:t>
      </w:r>
      <w:r w:rsidR="00843C46">
        <w:rPr>
          <w:rFonts w:asciiTheme="minorHAnsi" w:hAnsiTheme="minorHAnsi" w:cstheme="minorHAnsi"/>
          <w:sz w:val="24"/>
        </w:rPr>
        <w:t>ve smlouvě</w:t>
      </w:r>
      <w:r w:rsidRPr="00F30146">
        <w:rPr>
          <w:rFonts w:asciiTheme="minorHAnsi" w:hAnsiTheme="minorHAnsi" w:cstheme="minorHAnsi"/>
          <w:sz w:val="24"/>
        </w:rPr>
        <w:t>. Jakékoli změny v údajích týkajících se kontaktních osob si Dodavatel a Objednatel vždy vzájemně bez zbytečného odkladu písemně oznámí. V tomto případě se dodatek k</w:t>
      </w:r>
      <w:r w:rsidR="00E618F9">
        <w:rPr>
          <w:rFonts w:asciiTheme="minorHAnsi" w:hAnsiTheme="minorHAnsi" w:cstheme="minorHAnsi"/>
          <w:sz w:val="24"/>
        </w:rPr>
        <w:t>e smlouvě</w:t>
      </w:r>
      <w:r w:rsidRPr="00F30146">
        <w:rPr>
          <w:rFonts w:asciiTheme="minorHAnsi" w:hAnsiTheme="minorHAnsi" w:cstheme="minorHAnsi"/>
          <w:sz w:val="24"/>
        </w:rPr>
        <w:t xml:space="preserve"> neuzavírá.</w:t>
      </w:r>
    </w:p>
    <w:p w14:paraId="06F4FAEB" w14:textId="5A8A1257" w:rsidR="003D5E98" w:rsidRDefault="003D5E98" w:rsidP="003D5E98">
      <w:pPr>
        <w:pStyle w:val="CZodstavec"/>
        <w:numPr>
          <w:ilvl w:val="0"/>
          <w:numId w:val="23"/>
        </w:numPr>
        <w:rPr>
          <w:rFonts w:asciiTheme="minorHAnsi" w:hAnsiTheme="minorHAnsi" w:cstheme="minorHAnsi"/>
          <w:sz w:val="24"/>
        </w:rPr>
      </w:pPr>
      <w:r w:rsidRPr="00F30146">
        <w:rPr>
          <w:rFonts w:asciiTheme="minorHAnsi" w:hAnsiTheme="minorHAnsi" w:cstheme="minorHAnsi"/>
          <w:sz w:val="24"/>
        </w:rPr>
        <w:t>Dodavatel se zavazuj</w:t>
      </w:r>
      <w:r>
        <w:rPr>
          <w:rFonts w:asciiTheme="minorHAnsi" w:hAnsiTheme="minorHAnsi" w:cstheme="minorHAnsi"/>
          <w:sz w:val="24"/>
        </w:rPr>
        <w:t>e</w:t>
      </w:r>
      <w:r w:rsidRPr="00F30146">
        <w:rPr>
          <w:rFonts w:asciiTheme="minorHAnsi" w:hAnsiTheme="minorHAnsi" w:cstheme="minorHAnsi"/>
          <w:sz w:val="24"/>
        </w:rPr>
        <w:t xml:space="preserve"> při veškeré své činnosti dbát na dobré jméno Objednatel</w:t>
      </w:r>
      <w:r>
        <w:rPr>
          <w:rFonts w:asciiTheme="minorHAnsi" w:hAnsiTheme="minorHAnsi" w:cstheme="minorHAnsi"/>
          <w:sz w:val="24"/>
        </w:rPr>
        <w:t>e</w:t>
      </w:r>
      <w:r w:rsidRPr="00F30146">
        <w:rPr>
          <w:rFonts w:asciiTheme="minorHAnsi" w:hAnsiTheme="minorHAnsi" w:cstheme="minorHAnsi"/>
          <w:sz w:val="24"/>
        </w:rPr>
        <w:t xml:space="preserve"> a nedopustit se jednání, které by mohlo dobré jméno </w:t>
      </w:r>
      <w:proofErr w:type="gramStart"/>
      <w:r w:rsidRPr="00F30146">
        <w:rPr>
          <w:rFonts w:asciiTheme="minorHAnsi" w:hAnsiTheme="minorHAnsi" w:cstheme="minorHAnsi"/>
          <w:sz w:val="24"/>
        </w:rPr>
        <w:t>Objednatel</w:t>
      </w:r>
      <w:r>
        <w:rPr>
          <w:rFonts w:asciiTheme="minorHAnsi" w:hAnsiTheme="minorHAnsi" w:cstheme="minorHAnsi"/>
          <w:sz w:val="24"/>
        </w:rPr>
        <w:t>e</w:t>
      </w:r>
      <w:proofErr w:type="gramEnd"/>
      <w:r w:rsidRPr="00F30146">
        <w:rPr>
          <w:rFonts w:asciiTheme="minorHAnsi" w:hAnsiTheme="minorHAnsi" w:cstheme="minorHAnsi"/>
          <w:sz w:val="24"/>
        </w:rPr>
        <w:t xml:space="preserve"> jakkoliv ohrozit nebo poškodit</w:t>
      </w:r>
      <w:r>
        <w:rPr>
          <w:rFonts w:asciiTheme="minorHAnsi" w:hAnsiTheme="minorHAnsi" w:cstheme="minorHAnsi"/>
          <w:sz w:val="24"/>
        </w:rPr>
        <w:t>.</w:t>
      </w:r>
    </w:p>
    <w:p w14:paraId="30319138" w14:textId="77777777" w:rsidR="00D03DD1" w:rsidRDefault="00D03DD1" w:rsidP="00D03DD1">
      <w:pPr>
        <w:pStyle w:val="CZslolnku"/>
        <w:numPr>
          <w:ilvl w:val="0"/>
          <w:numId w:val="3"/>
        </w:numPr>
        <w:ind w:left="0" w:firstLine="0"/>
        <w:rPr>
          <w:rFonts w:asciiTheme="minorHAnsi" w:hAnsiTheme="minorHAnsi" w:cstheme="minorHAnsi"/>
          <w:sz w:val="24"/>
        </w:rPr>
      </w:pPr>
    </w:p>
    <w:p w14:paraId="789CCBB6" w14:textId="4B95AD96" w:rsidR="00D03DD1" w:rsidRDefault="00D03DD1" w:rsidP="00D03DD1">
      <w:pPr>
        <w:tabs>
          <w:tab w:val="left" w:pos="2835"/>
        </w:tabs>
        <w:spacing w:line="240" w:lineRule="auto"/>
        <w:jc w:val="center"/>
        <w:rPr>
          <w:rFonts w:asciiTheme="minorHAnsi" w:hAnsiTheme="minorHAnsi" w:cstheme="minorHAnsi"/>
          <w:b/>
          <w:sz w:val="24"/>
        </w:rPr>
      </w:pPr>
      <w:r>
        <w:rPr>
          <w:rFonts w:asciiTheme="minorHAnsi" w:hAnsiTheme="minorHAnsi" w:cstheme="minorHAnsi"/>
          <w:b/>
          <w:sz w:val="24"/>
        </w:rPr>
        <w:t>Mlčenlivost</w:t>
      </w:r>
    </w:p>
    <w:p w14:paraId="483129F6" w14:textId="77777777" w:rsidR="00557461" w:rsidRDefault="00557461" w:rsidP="00D03DD1">
      <w:pPr>
        <w:tabs>
          <w:tab w:val="left" w:pos="2835"/>
        </w:tabs>
        <w:spacing w:line="240" w:lineRule="auto"/>
        <w:jc w:val="center"/>
        <w:rPr>
          <w:rFonts w:asciiTheme="minorHAnsi" w:hAnsiTheme="minorHAnsi" w:cstheme="minorHAnsi"/>
          <w:b/>
          <w:sz w:val="24"/>
        </w:rPr>
      </w:pPr>
    </w:p>
    <w:p w14:paraId="4C55BA59" w14:textId="32DF8454" w:rsidR="00D03DD1" w:rsidRDefault="00DB3BCF" w:rsidP="002D4902">
      <w:pPr>
        <w:pStyle w:val="CZodstavec"/>
        <w:widowControl w:val="0"/>
        <w:numPr>
          <w:ilvl w:val="0"/>
          <w:numId w:val="26"/>
        </w:numPr>
        <w:suppressAutoHyphens/>
        <w:ind w:left="426"/>
        <w:rPr>
          <w:rFonts w:asciiTheme="minorHAnsi" w:hAnsiTheme="minorHAnsi" w:cstheme="minorHAnsi"/>
          <w:sz w:val="24"/>
        </w:rPr>
      </w:pPr>
      <w:r w:rsidRPr="00DB3BCF">
        <w:rPr>
          <w:rFonts w:asciiTheme="minorHAnsi" w:hAnsiTheme="minorHAnsi" w:cstheme="minorHAnsi"/>
          <w:sz w:val="24"/>
        </w:rPr>
        <w:t xml:space="preserve">Smluvní strany se zavazují, že během plnění </w:t>
      </w:r>
      <w:r>
        <w:rPr>
          <w:rFonts w:asciiTheme="minorHAnsi" w:hAnsiTheme="minorHAnsi" w:cstheme="minorHAnsi"/>
          <w:sz w:val="24"/>
        </w:rPr>
        <w:t>s</w:t>
      </w:r>
      <w:r w:rsidRPr="00DB3BCF">
        <w:rPr>
          <w:rFonts w:asciiTheme="minorHAnsi" w:hAnsiTheme="minorHAnsi" w:cstheme="minorHAnsi"/>
          <w:sz w:val="24"/>
        </w:rPr>
        <w:t xml:space="preserve">mlouvy i po jejím ukončení budou chránit důvěrné informace druhé strany tak, jako chrání svoje vlastní informace stejné důležitosti a zachovávat mlčenlivost o všech důvěrných informacích, o kterých se dozví od druhé strany v souvislosti s plněním Smlouvy. Objednatel považuje mimo jiné za důvěrné veškeré technické informace o jeho vnitřním prostředí a technické detaily týkající se technické infrastruktury, které nejsou obecně známé, a dále takové informace, které jím budou jako důvěrné výslovně označeny. Za porušení povinnosti mlčenlivosti se považuje i nezajištění vymazání dat z pevného disku a jejich </w:t>
      </w:r>
      <w:proofErr w:type="gramStart"/>
      <w:r w:rsidRPr="00DB3BCF">
        <w:rPr>
          <w:rFonts w:asciiTheme="minorHAnsi" w:hAnsiTheme="minorHAnsi" w:cstheme="minorHAnsi"/>
          <w:sz w:val="24"/>
        </w:rPr>
        <w:t>zpřístupnění</w:t>
      </w:r>
      <w:proofErr w:type="gramEnd"/>
      <w:r w:rsidRPr="00DB3BCF">
        <w:rPr>
          <w:rFonts w:asciiTheme="minorHAnsi" w:hAnsiTheme="minorHAnsi" w:cstheme="minorHAnsi"/>
          <w:sz w:val="24"/>
        </w:rPr>
        <w:t xml:space="preserve"> byť nezaviněné, třetí osobě.</w:t>
      </w:r>
    </w:p>
    <w:p w14:paraId="2B428394" w14:textId="77777777" w:rsidR="00B17D6D" w:rsidRDefault="00B17D6D" w:rsidP="00B17D6D">
      <w:pPr>
        <w:pStyle w:val="CZslolnku"/>
        <w:numPr>
          <w:ilvl w:val="0"/>
          <w:numId w:val="3"/>
        </w:numPr>
        <w:ind w:left="0" w:firstLine="0"/>
        <w:rPr>
          <w:rFonts w:asciiTheme="minorHAnsi" w:hAnsiTheme="minorHAnsi" w:cstheme="minorHAnsi"/>
          <w:sz w:val="24"/>
        </w:rPr>
      </w:pPr>
    </w:p>
    <w:p w14:paraId="31BE82CF" w14:textId="21238D5F" w:rsidR="00B17D6D" w:rsidRDefault="00B17D6D" w:rsidP="00B17D6D">
      <w:pPr>
        <w:tabs>
          <w:tab w:val="left" w:pos="2835"/>
        </w:tabs>
        <w:spacing w:line="240" w:lineRule="auto"/>
        <w:jc w:val="center"/>
        <w:rPr>
          <w:rFonts w:asciiTheme="minorHAnsi" w:hAnsiTheme="minorHAnsi" w:cstheme="minorHAnsi"/>
          <w:b/>
          <w:sz w:val="24"/>
        </w:rPr>
      </w:pPr>
      <w:r>
        <w:rPr>
          <w:rFonts w:asciiTheme="minorHAnsi" w:hAnsiTheme="minorHAnsi" w:cstheme="minorHAnsi"/>
          <w:b/>
          <w:sz w:val="24"/>
        </w:rPr>
        <w:t>Sankce</w:t>
      </w:r>
    </w:p>
    <w:p w14:paraId="6BF34888" w14:textId="77777777" w:rsidR="00557461" w:rsidRDefault="00557461" w:rsidP="00B17D6D">
      <w:pPr>
        <w:tabs>
          <w:tab w:val="left" w:pos="2835"/>
        </w:tabs>
        <w:spacing w:line="240" w:lineRule="auto"/>
        <w:jc w:val="center"/>
        <w:rPr>
          <w:rFonts w:asciiTheme="minorHAnsi" w:hAnsiTheme="minorHAnsi" w:cstheme="minorHAnsi"/>
          <w:b/>
          <w:sz w:val="24"/>
        </w:rPr>
      </w:pPr>
    </w:p>
    <w:p w14:paraId="1EC63F65" w14:textId="13F22575" w:rsidR="00A971B0" w:rsidRDefault="00C25601" w:rsidP="00C25601">
      <w:pPr>
        <w:pStyle w:val="CZodstavec"/>
        <w:numPr>
          <w:ilvl w:val="0"/>
          <w:numId w:val="18"/>
        </w:numPr>
        <w:rPr>
          <w:rFonts w:asciiTheme="minorHAnsi" w:hAnsiTheme="minorHAnsi" w:cstheme="minorHAnsi"/>
          <w:sz w:val="24"/>
        </w:rPr>
      </w:pPr>
      <w:r w:rsidRPr="00E6292D">
        <w:rPr>
          <w:rFonts w:asciiTheme="minorHAnsi" w:hAnsiTheme="minorHAnsi" w:cstheme="minorHAnsi"/>
          <w:sz w:val="24"/>
        </w:rPr>
        <w:t xml:space="preserve">V případě prodlení Dodavatele s poskytnutím plnění dle této smlouvy je Dodavatel povinen uhradit Objednateli </w:t>
      </w:r>
      <w:r w:rsidR="00F11E1A">
        <w:rPr>
          <w:rFonts w:asciiTheme="minorHAnsi" w:hAnsiTheme="minorHAnsi" w:cstheme="minorHAnsi"/>
          <w:sz w:val="24"/>
        </w:rPr>
        <w:t>úrok z prodlení v zákonné výši z celkové ceny plnění bez DPH</w:t>
      </w:r>
      <w:r w:rsidRPr="00E6292D">
        <w:rPr>
          <w:rFonts w:asciiTheme="minorHAnsi" w:hAnsiTheme="minorHAnsi" w:cstheme="minorHAnsi"/>
          <w:sz w:val="24"/>
        </w:rPr>
        <w:t>, a to za každý započatý den prodlení.</w:t>
      </w:r>
    </w:p>
    <w:p w14:paraId="4C85BA92" w14:textId="6EEB15F7" w:rsidR="005217F6" w:rsidRPr="00D60A53" w:rsidRDefault="003E302B" w:rsidP="00C25601">
      <w:pPr>
        <w:pStyle w:val="CZodstavec"/>
        <w:numPr>
          <w:ilvl w:val="0"/>
          <w:numId w:val="18"/>
        </w:numPr>
        <w:rPr>
          <w:rFonts w:asciiTheme="minorHAnsi" w:hAnsiTheme="minorHAnsi" w:cstheme="minorHAnsi"/>
          <w:sz w:val="24"/>
        </w:rPr>
      </w:pPr>
      <w:r w:rsidRPr="00D60A53">
        <w:rPr>
          <w:rFonts w:asciiTheme="minorHAnsi" w:hAnsiTheme="minorHAnsi" w:cstheme="minorHAnsi"/>
          <w:sz w:val="24"/>
        </w:rPr>
        <w:t>V případě, že se ukáže některé z prohlášení Dodavatele uvedených v ustanovení čl. V odstavcích 1a, 1b</w:t>
      </w:r>
      <w:r w:rsidR="00B2528E" w:rsidRPr="00D60A53">
        <w:rPr>
          <w:rFonts w:asciiTheme="minorHAnsi" w:hAnsiTheme="minorHAnsi" w:cstheme="minorHAnsi"/>
          <w:sz w:val="24"/>
        </w:rPr>
        <w:t xml:space="preserve"> a</w:t>
      </w:r>
      <w:r w:rsidRPr="00D60A53">
        <w:rPr>
          <w:rFonts w:asciiTheme="minorHAnsi" w:hAnsiTheme="minorHAnsi" w:cstheme="minorHAnsi"/>
          <w:sz w:val="24"/>
        </w:rPr>
        <w:t xml:space="preserve"> 1c jako nepravdivé, je Dodavatel povinen uhradit Objednateli smluvní pokutu </w:t>
      </w:r>
      <w:proofErr w:type="gramStart"/>
      <w:r w:rsidRPr="00D60A53">
        <w:rPr>
          <w:rFonts w:asciiTheme="minorHAnsi" w:hAnsiTheme="minorHAnsi" w:cstheme="minorHAnsi"/>
          <w:sz w:val="24"/>
        </w:rPr>
        <w:t>100.000,-</w:t>
      </w:r>
      <w:proofErr w:type="gramEnd"/>
      <w:r w:rsidRPr="00D60A53">
        <w:rPr>
          <w:rFonts w:asciiTheme="minorHAnsi" w:hAnsiTheme="minorHAnsi" w:cstheme="minorHAnsi"/>
          <w:sz w:val="24"/>
        </w:rPr>
        <w:t xml:space="preserve"> Kč za </w:t>
      </w:r>
      <w:r w:rsidR="00F11E1A">
        <w:rPr>
          <w:rFonts w:asciiTheme="minorHAnsi" w:hAnsiTheme="minorHAnsi" w:cstheme="minorHAnsi"/>
          <w:sz w:val="24"/>
        </w:rPr>
        <w:t xml:space="preserve">každé </w:t>
      </w:r>
      <w:r w:rsidRPr="00D60A53">
        <w:rPr>
          <w:rFonts w:asciiTheme="minorHAnsi" w:hAnsiTheme="minorHAnsi" w:cstheme="minorHAnsi"/>
          <w:sz w:val="24"/>
        </w:rPr>
        <w:t>takovéto nepravdivé prohlášení Dodavatele</w:t>
      </w:r>
      <w:r w:rsidR="005217F6" w:rsidRPr="00D60A53">
        <w:rPr>
          <w:rFonts w:asciiTheme="minorHAnsi" w:hAnsiTheme="minorHAnsi" w:cstheme="minorHAnsi"/>
          <w:sz w:val="24"/>
        </w:rPr>
        <w:t>.</w:t>
      </w:r>
    </w:p>
    <w:p w14:paraId="6979BA2A" w14:textId="68B67CF6" w:rsidR="00DB3BCF" w:rsidRDefault="00991B1D" w:rsidP="00C25601">
      <w:pPr>
        <w:pStyle w:val="CZodstavec"/>
        <w:numPr>
          <w:ilvl w:val="0"/>
          <w:numId w:val="18"/>
        </w:numPr>
        <w:rPr>
          <w:rFonts w:asciiTheme="minorHAnsi" w:hAnsiTheme="minorHAnsi" w:cstheme="minorHAnsi"/>
          <w:sz w:val="24"/>
        </w:rPr>
      </w:pPr>
      <w:r w:rsidRPr="00991B1D">
        <w:rPr>
          <w:rFonts w:asciiTheme="minorHAnsi" w:hAnsiTheme="minorHAnsi" w:cstheme="minorHAnsi"/>
          <w:sz w:val="24"/>
        </w:rPr>
        <w:t xml:space="preserve">Za porušení povinnosti mlčenlivosti je porušující smluvní strana povinna uhradit druhé straně smluvní pokutu ve výši 100 000 Kč, a to za každý jednotlivý případ </w:t>
      </w:r>
      <w:r w:rsidR="002D4902">
        <w:rPr>
          <w:rFonts w:asciiTheme="minorHAnsi" w:hAnsiTheme="minorHAnsi" w:cstheme="minorHAnsi"/>
          <w:sz w:val="24"/>
        </w:rPr>
        <w:t xml:space="preserve">prokazatelného </w:t>
      </w:r>
      <w:r w:rsidRPr="00991B1D">
        <w:rPr>
          <w:rFonts w:asciiTheme="minorHAnsi" w:hAnsiTheme="minorHAnsi" w:cstheme="minorHAnsi"/>
          <w:sz w:val="24"/>
        </w:rPr>
        <w:t>porušení povinnosti.</w:t>
      </w:r>
    </w:p>
    <w:p w14:paraId="13667940" w14:textId="640E4ECE" w:rsidR="00C04C5D" w:rsidRPr="00E6292D" w:rsidRDefault="00C04C5D" w:rsidP="00C04C5D">
      <w:pPr>
        <w:pStyle w:val="CZodstavec"/>
        <w:numPr>
          <w:ilvl w:val="0"/>
          <w:numId w:val="18"/>
        </w:numPr>
        <w:rPr>
          <w:rFonts w:asciiTheme="minorHAnsi" w:hAnsiTheme="minorHAnsi" w:cstheme="minorHAnsi"/>
          <w:sz w:val="24"/>
        </w:rPr>
      </w:pPr>
      <w:r>
        <w:rPr>
          <w:rFonts w:asciiTheme="minorHAnsi" w:hAnsiTheme="minorHAnsi" w:cstheme="minorHAnsi"/>
          <w:sz w:val="24"/>
        </w:rPr>
        <w:t xml:space="preserve">V </w:t>
      </w:r>
      <w:r w:rsidRPr="00E6292D">
        <w:rPr>
          <w:rFonts w:asciiTheme="minorHAnsi" w:hAnsiTheme="minorHAnsi" w:cstheme="minorHAnsi"/>
          <w:sz w:val="24"/>
        </w:rPr>
        <w:t>případě prodlení Objednatele s úhradou ceny plnění poskytnutého dle této smlouvy, je Objednatel</w:t>
      </w:r>
      <w:r>
        <w:rPr>
          <w:rFonts w:asciiTheme="minorHAnsi" w:hAnsiTheme="minorHAnsi" w:cstheme="minorHAnsi"/>
          <w:sz w:val="24"/>
        </w:rPr>
        <w:t xml:space="preserve"> </w:t>
      </w:r>
      <w:r w:rsidRPr="00E6292D">
        <w:rPr>
          <w:rFonts w:asciiTheme="minorHAnsi" w:hAnsiTheme="minorHAnsi" w:cstheme="minorHAnsi"/>
          <w:sz w:val="24"/>
        </w:rPr>
        <w:t>povinen uhradit Dodavateli úrok z</w:t>
      </w:r>
      <w:r w:rsidR="00D60A53">
        <w:rPr>
          <w:rFonts w:asciiTheme="minorHAnsi" w:hAnsiTheme="minorHAnsi" w:cstheme="minorHAnsi"/>
          <w:sz w:val="24"/>
        </w:rPr>
        <w:t> </w:t>
      </w:r>
      <w:r w:rsidRPr="00E6292D">
        <w:rPr>
          <w:rFonts w:asciiTheme="minorHAnsi" w:hAnsiTheme="minorHAnsi" w:cstheme="minorHAnsi"/>
          <w:sz w:val="24"/>
        </w:rPr>
        <w:t>prodlení</w:t>
      </w:r>
      <w:r w:rsidR="00D60A53">
        <w:rPr>
          <w:rFonts w:asciiTheme="minorHAnsi" w:hAnsiTheme="minorHAnsi" w:cstheme="minorHAnsi"/>
          <w:sz w:val="24"/>
        </w:rPr>
        <w:t xml:space="preserve"> </w:t>
      </w:r>
      <w:r w:rsidR="00F11E1A">
        <w:rPr>
          <w:rFonts w:asciiTheme="minorHAnsi" w:hAnsiTheme="minorHAnsi" w:cstheme="minorHAnsi"/>
          <w:sz w:val="24"/>
        </w:rPr>
        <w:t>v zákonné výši</w:t>
      </w:r>
      <w:r w:rsidR="00D60A53">
        <w:rPr>
          <w:rFonts w:asciiTheme="minorHAnsi" w:hAnsiTheme="minorHAnsi" w:cstheme="minorHAnsi"/>
          <w:sz w:val="24"/>
        </w:rPr>
        <w:t xml:space="preserve"> z celkové ceny plnění bez DPH.</w:t>
      </w:r>
    </w:p>
    <w:p w14:paraId="5D4639F4" w14:textId="77777777" w:rsidR="00C04C5D" w:rsidRPr="00E6292D" w:rsidRDefault="00C04C5D" w:rsidP="00C04C5D">
      <w:pPr>
        <w:pStyle w:val="CZodstavec"/>
        <w:numPr>
          <w:ilvl w:val="0"/>
          <w:numId w:val="18"/>
        </w:numPr>
        <w:rPr>
          <w:rFonts w:asciiTheme="minorHAnsi" w:hAnsiTheme="minorHAnsi" w:cstheme="minorHAnsi"/>
          <w:sz w:val="24"/>
        </w:rPr>
      </w:pPr>
      <w:r w:rsidRPr="00E6292D">
        <w:rPr>
          <w:rFonts w:asciiTheme="minorHAnsi" w:hAnsiTheme="minorHAnsi" w:cstheme="minorHAnsi"/>
          <w:sz w:val="24"/>
        </w:rPr>
        <w:t xml:space="preserve">Uplatněním jakékoliv smluvní pokuty není nijak dotčeno právo na náhradu vzniklé škody a ušlý zisk v celém rozsahu způsobené škody. </w:t>
      </w:r>
    </w:p>
    <w:p w14:paraId="6A2A3E33" w14:textId="77777777" w:rsidR="00C04C5D" w:rsidRPr="00591FB8" w:rsidRDefault="00C04C5D" w:rsidP="00C04C5D">
      <w:pPr>
        <w:pStyle w:val="CZodstavec"/>
        <w:numPr>
          <w:ilvl w:val="0"/>
          <w:numId w:val="18"/>
        </w:numPr>
        <w:rPr>
          <w:rFonts w:asciiTheme="minorHAnsi" w:hAnsiTheme="minorHAnsi" w:cstheme="minorHAnsi"/>
          <w:sz w:val="24"/>
        </w:rPr>
      </w:pPr>
      <w:r w:rsidRPr="00E6292D">
        <w:rPr>
          <w:rFonts w:asciiTheme="minorHAnsi" w:hAnsiTheme="minorHAnsi" w:cstheme="minorHAnsi"/>
          <w:sz w:val="24"/>
        </w:rPr>
        <w:t xml:space="preserve">Smluvní pokuta je splatná ve lhůtě 30 dnů od dne </w:t>
      </w:r>
      <w:r w:rsidRPr="00591FB8">
        <w:rPr>
          <w:rFonts w:asciiTheme="minorHAnsi" w:hAnsiTheme="minorHAnsi" w:cstheme="minorHAnsi"/>
          <w:sz w:val="24"/>
        </w:rPr>
        <w:t>doručení vyúčtování o smluvní pokutě.</w:t>
      </w:r>
    </w:p>
    <w:p w14:paraId="179434D9" w14:textId="77777777" w:rsidR="00BA1743" w:rsidRDefault="00BA1743" w:rsidP="00E15067">
      <w:pPr>
        <w:pStyle w:val="CZslolnku"/>
        <w:numPr>
          <w:ilvl w:val="0"/>
          <w:numId w:val="3"/>
        </w:numPr>
        <w:ind w:left="0" w:firstLine="0"/>
        <w:rPr>
          <w:rFonts w:asciiTheme="minorHAnsi" w:hAnsiTheme="minorHAnsi" w:cstheme="minorHAnsi"/>
          <w:sz w:val="24"/>
        </w:rPr>
      </w:pPr>
    </w:p>
    <w:p w14:paraId="2BBC303E" w14:textId="6F326D22" w:rsidR="00BA1743" w:rsidRDefault="00BA1743" w:rsidP="00BA1743">
      <w:pPr>
        <w:tabs>
          <w:tab w:val="left" w:pos="2835"/>
        </w:tabs>
        <w:spacing w:line="240" w:lineRule="auto"/>
        <w:jc w:val="center"/>
        <w:rPr>
          <w:rFonts w:asciiTheme="minorHAnsi" w:hAnsiTheme="minorHAnsi" w:cstheme="minorHAnsi"/>
          <w:b/>
          <w:sz w:val="24"/>
        </w:rPr>
      </w:pPr>
      <w:r>
        <w:rPr>
          <w:rFonts w:asciiTheme="minorHAnsi" w:hAnsiTheme="minorHAnsi" w:cstheme="minorHAnsi"/>
          <w:b/>
          <w:sz w:val="24"/>
        </w:rPr>
        <w:t>Doba trvání a ukončení smlouvy</w:t>
      </w:r>
    </w:p>
    <w:p w14:paraId="7C91A88F" w14:textId="77777777" w:rsidR="00557461" w:rsidRDefault="00557461" w:rsidP="00BA1743">
      <w:pPr>
        <w:tabs>
          <w:tab w:val="left" w:pos="2835"/>
        </w:tabs>
        <w:spacing w:line="240" w:lineRule="auto"/>
        <w:jc w:val="center"/>
        <w:rPr>
          <w:rFonts w:asciiTheme="minorHAnsi" w:hAnsiTheme="minorHAnsi" w:cstheme="minorHAnsi"/>
          <w:b/>
          <w:sz w:val="24"/>
        </w:rPr>
      </w:pPr>
    </w:p>
    <w:p w14:paraId="4C8820D1" w14:textId="13989FAF" w:rsidR="00BA1743" w:rsidRDefault="00BA1743" w:rsidP="00BA1743">
      <w:pPr>
        <w:pStyle w:val="CZodstavec"/>
        <w:numPr>
          <w:ilvl w:val="0"/>
          <w:numId w:val="9"/>
        </w:numPr>
        <w:ind w:left="426" w:hanging="426"/>
        <w:rPr>
          <w:rFonts w:asciiTheme="minorHAnsi" w:hAnsiTheme="minorHAnsi" w:cstheme="minorHAnsi"/>
          <w:sz w:val="24"/>
        </w:rPr>
      </w:pPr>
      <w:r>
        <w:rPr>
          <w:rFonts w:asciiTheme="minorHAnsi" w:hAnsiTheme="minorHAnsi" w:cstheme="minorHAnsi"/>
          <w:sz w:val="24"/>
        </w:rPr>
        <w:t xml:space="preserve">Tato smlouva nabývá platnosti dnem jejího podpisu oběma Smluvními stranami a účinnosti dnem jejího zveřejnění v registru smluv v souladu se zákonem č. 340/2015 Sb., o zvláštních podmínkách účinnosti některých smluv, uveřejňování těchto smluv a o registru </w:t>
      </w:r>
      <w:r>
        <w:rPr>
          <w:rFonts w:asciiTheme="minorHAnsi" w:hAnsiTheme="minorHAnsi" w:cstheme="minorHAnsi"/>
          <w:sz w:val="24"/>
        </w:rPr>
        <w:lastRenderedPageBreak/>
        <w:t>smluv (zákon o registru smluv), ve znění pozdějších předpisů. Zveřejnění smlouvy v registru smluv zajistí Objednatel.</w:t>
      </w:r>
    </w:p>
    <w:p w14:paraId="1D5FD728" w14:textId="6132CB79" w:rsidR="00BA1743" w:rsidRDefault="00BA1743" w:rsidP="00BA1743">
      <w:pPr>
        <w:pStyle w:val="CZodstavec"/>
        <w:numPr>
          <w:ilvl w:val="0"/>
          <w:numId w:val="9"/>
        </w:numPr>
        <w:ind w:left="426" w:hanging="426"/>
        <w:rPr>
          <w:rFonts w:asciiTheme="minorHAnsi" w:hAnsiTheme="minorHAnsi" w:cstheme="minorHAnsi"/>
          <w:sz w:val="24"/>
        </w:rPr>
      </w:pPr>
      <w:r>
        <w:rPr>
          <w:rFonts w:asciiTheme="minorHAnsi" w:hAnsiTheme="minorHAnsi" w:cstheme="minorHAnsi"/>
          <w:sz w:val="24"/>
        </w:rPr>
        <w:t>Tato smlouva může být ukončena výhradně následujícími způsoby:</w:t>
      </w:r>
    </w:p>
    <w:p w14:paraId="00CDDC39" w14:textId="77777777" w:rsidR="00BA1743" w:rsidRDefault="00BA1743" w:rsidP="00BA1743">
      <w:pPr>
        <w:pStyle w:val="CZodstavec"/>
        <w:numPr>
          <w:ilvl w:val="1"/>
          <w:numId w:val="10"/>
        </w:numPr>
        <w:rPr>
          <w:rFonts w:asciiTheme="minorHAnsi" w:hAnsiTheme="minorHAnsi" w:cstheme="minorHAnsi"/>
          <w:sz w:val="24"/>
        </w:rPr>
      </w:pPr>
      <w:r>
        <w:rPr>
          <w:rFonts w:asciiTheme="minorHAnsi" w:hAnsiTheme="minorHAnsi" w:cstheme="minorHAnsi"/>
          <w:sz w:val="24"/>
        </w:rPr>
        <w:t>uplynutím doby její účinnosti;</w:t>
      </w:r>
    </w:p>
    <w:p w14:paraId="74861D24" w14:textId="77777777" w:rsidR="00BA1743" w:rsidRDefault="00BA1743" w:rsidP="00BA1743">
      <w:pPr>
        <w:pStyle w:val="CZodstavec"/>
        <w:numPr>
          <w:ilvl w:val="1"/>
          <w:numId w:val="10"/>
        </w:numPr>
        <w:rPr>
          <w:rFonts w:asciiTheme="minorHAnsi" w:hAnsiTheme="minorHAnsi" w:cstheme="minorHAnsi"/>
          <w:sz w:val="24"/>
        </w:rPr>
      </w:pPr>
      <w:r>
        <w:rPr>
          <w:rFonts w:asciiTheme="minorHAnsi" w:hAnsiTheme="minorHAnsi" w:cstheme="minorHAnsi"/>
          <w:sz w:val="24"/>
        </w:rPr>
        <w:t>písemnou dohodou Smluvních stran;</w:t>
      </w:r>
    </w:p>
    <w:p w14:paraId="5818F540" w14:textId="55F8C410" w:rsidR="00BA1743" w:rsidRDefault="00BA1743" w:rsidP="00BA1743">
      <w:pPr>
        <w:pStyle w:val="CZodstavec"/>
        <w:numPr>
          <w:ilvl w:val="1"/>
          <w:numId w:val="10"/>
        </w:numPr>
        <w:rPr>
          <w:rFonts w:asciiTheme="minorHAnsi" w:hAnsiTheme="minorHAnsi" w:cstheme="minorHAnsi"/>
          <w:sz w:val="24"/>
        </w:rPr>
      </w:pPr>
      <w:r>
        <w:rPr>
          <w:rFonts w:asciiTheme="minorHAnsi" w:hAnsiTheme="minorHAnsi" w:cstheme="minorHAnsi"/>
          <w:sz w:val="24"/>
        </w:rPr>
        <w:t>odstoupením Objednatele od této smlouvy dle odst. 3 tohoto článku smlouvy;</w:t>
      </w:r>
    </w:p>
    <w:p w14:paraId="50857157" w14:textId="33047CC0" w:rsidR="00BA1743" w:rsidRDefault="00BA1743" w:rsidP="00BA1743">
      <w:pPr>
        <w:pStyle w:val="CZodstavec"/>
        <w:numPr>
          <w:ilvl w:val="1"/>
          <w:numId w:val="10"/>
        </w:numPr>
        <w:rPr>
          <w:rFonts w:asciiTheme="minorHAnsi" w:hAnsiTheme="minorHAnsi" w:cstheme="minorHAnsi"/>
          <w:sz w:val="24"/>
        </w:rPr>
      </w:pPr>
      <w:r>
        <w:rPr>
          <w:rFonts w:asciiTheme="minorHAnsi" w:hAnsiTheme="minorHAnsi" w:cstheme="minorHAnsi"/>
          <w:sz w:val="24"/>
        </w:rPr>
        <w:t>odstoupením Dodavatele od této smlouvy dle odst. 4 tohoto článku smlouvy.</w:t>
      </w:r>
    </w:p>
    <w:p w14:paraId="2A59EF52" w14:textId="19A20D3D" w:rsidR="00BA1743" w:rsidRDefault="00BA1743" w:rsidP="00BA1743">
      <w:pPr>
        <w:pStyle w:val="CZodstavec"/>
        <w:numPr>
          <w:ilvl w:val="0"/>
          <w:numId w:val="9"/>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Objednatel může od této smlouvy okamžitě odstoupit, pokud:</w:t>
      </w:r>
    </w:p>
    <w:p w14:paraId="573EF906" w14:textId="78E28EAF"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Dodavatel je v prodlení s poskytnutím jakéhokoliv plnění dle této smlouvy po dobu delší než patnáct (15) dnů; nebo</w:t>
      </w:r>
    </w:p>
    <w:p w14:paraId="25E44C06" w14:textId="32B4287E"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 xml:space="preserve">Dodavatel je déle než patnáct (15) dnů v prodlení s odstraněním vad plnění dle této smlouvy. Smluvní strany činí nesporným, že chyby (bugy) softwarových produktů společnosti Microsoft, dodávaných na základě této smlouvy, budou odstraňovány v souladu s příslušnými podmínkami společnosti Microsoft a nepovažují se za vady plnění, pro které je Objednatel oprávněn od této smlouvy oprávněn </w:t>
      </w:r>
      <w:r w:rsidRPr="00D60A53">
        <w:rPr>
          <w:rFonts w:asciiTheme="minorHAnsi" w:hAnsiTheme="minorHAnsi" w:cstheme="minorHAnsi"/>
          <w:sz w:val="24"/>
        </w:rPr>
        <w:t>odstoupit;</w:t>
      </w:r>
    </w:p>
    <w:p w14:paraId="42454AC9" w14:textId="792832DE"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 xml:space="preserve">kvalita či jakost plnění dodaného dle této smlouvy vykáže nižší než smluvenou kvalitu či jakost; </w:t>
      </w:r>
    </w:p>
    <w:p w14:paraId="7752DB3B" w14:textId="163473F3"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 xml:space="preserve">Dodavatel </w:t>
      </w:r>
      <w:proofErr w:type="gramStart"/>
      <w:r>
        <w:rPr>
          <w:rFonts w:asciiTheme="minorHAnsi" w:hAnsiTheme="minorHAnsi" w:cstheme="minorHAnsi"/>
          <w:sz w:val="24"/>
        </w:rPr>
        <w:t>poruší</w:t>
      </w:r>
      <w:proofErr w:type="gramEnd"/>
      <w:r>
        <w:rPr>
          <w:rFonts w:asciiTheme="minorHAnsi" w:hAnsiTheme="minorHAnsi" w:cstheme="minorHAnsi"/>
          <w:sz w:val="24"/>
        </w:rPr>
        <w:t xml:space="preserve"> svou povinnost dle této smlouvy a nezjedná nápravu ani v dodatečné lhůtě stanovenou mu Objednatelem, která nesmí být kratší deseti (10) dnů;</w:t>
      </w:r>
    </w:p>
    <w:p w14:paraId="40B15AF3" w14:textId="77777777"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EFAE122" w14:textId="241A3E9F"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Dodavatel není schopen poskytovat jakékoli plnění dle této smlouvy, a to ode dne, kdy Dodavatel písemně prohlásí, že není schopen jakékoliv plnění poskytovat</w:t>
      </w:r>
      <w:r w:rsidR="00A123CC">
        <w:rPr>
          <w:rFonts w:asciiTheme="minorHAnsi" w:hAnsiTheme="minorHAnsi" w:cstheme="minorHAnsi"/>
          <w:sz w:val="24"/>
        </w:rPr>
        <w:t xml:space="preserve"> (např. </w:t>
      </w:r>
      <w:r w:rsidR="00A123CC" w:rsidRPr="00A123CC">
        <w:rPr>
          <w:rFonts w:asciiTheme="minorHAnsi" w:hAnsiTheme="minorHAnsi" w:cstheme="minorHAnsi"/>
          <w:sz w:val="24"/>
        </w:rPr>
        <w:t>ztráta statusu</w:t>
      </w:r>
      <w:r w:rsidR="003A4221">
        <w:rPr>
          <w:rFonts w:asciiTheme="minorHAnsi" w:hAnsiTheme="minorHAnsi" w:cstheme="minorHAnsi"/>
          <w:sz w:val="24"/>
        </w:rPr>
        <w:t xml:space="preserve"> </w:t>
      </w:r>
      <w:r w:rsidR="003A4221" w:rsidRPr="003A4221">
        <w:rPr>
          <w:rFonts w:asciiTheme="minorHAnsi" w:hAnsiTheme="minorHAnsi" w:cstheme="minorHAnsi"/>
          <w:sz w:val="24"/>
        </w:rPr>
        <w:t>autorizovan</w:t>
      </w:r>
      <w:r w:rsidR="003A4221">
        <w:rPr>
          <w:rFonts w:asciiTheme="minorHAnsi" w:hAnsiTheme="minorHAnsi" w:cstheme="minorHAnsi"/>
          <w:sz w:val="24"/>
        </w:rPr>
        <w:t>ého</w:t>
      </w:r>
      <w:r w:rsidR="003A4221" w:rsidRPr="003A4221">
        <w:rPr>
          <w:rFonts w:asciiTheme="minorHAnsi" w:hAnsiTheme="minorHAnsi" w:cstheme="minorHAnsi"/>
          <w:sz w:val="24"/>
        </w:rPr>
        <w:t xml:space="preserve"> smluvní</w:t>
      </w:r>
      <w:r w:rsidR="003A4221">
        <w:rPr>
          <w:rFonts w:asciiTheme="minorHAnsi" w:hAnsiTheme="minorHAnsi" w:cstheme="minorHAnsi"/>
          <w:sz w:val="24"/>
        </w:rPr>
        <w:t>ho</w:t>
      </w:r>
      <w:r w:rsidR="003A4221" w:rsidRPr="003A4221">
        <w:rPr>
          <w:rFonts w:asciiTheme="minorHAnsi" w:hAnsiTheme="minorHAnsi" w:cstheme="minorHAnsi"/>
          <w:sz w:val="24"/>
        </w:rPr>
        <w:t xml:space="preserve"> partner</w:t>
      </w:r>
      <w:r w:rsidR="003A4221">
        <w:rPr>
          <w:rFonts w:asciiTheme="minorHAnsi" w:hAnsiTheme="minorHAnsi" w:cstheme="minorHAnsi"/>
          <w:sz w:val="24"/>
        </w:rPr>
        <w:t>a</w:t>
      </w:r>
      <w:r w:rsidR="003A4221" w:rsidRPr="003A4221">
        <w:rPr>
          <w:rFonts w:asciiTheme="minorHAnsi" w:hAnsiTheme="minorHAnsi" w:cstheme="minorHAnsi"/>
          <w:sz w:val="24"/>
        </w:rPr>
        <w:t xml:space="preserve"> společnosti Microsoft</w:t>
      </w:r>
      <w:r w:rsidR="00A123CC">
        <w:rPr>
          <w:rFonts w:asciiTheme="minorHAnsi" w:hAnsiTheme="minorHAnsi" w:cstheme="minorHAnsi"/>
          <w:sz w:val="24"/>
        </w:rPr>
        <w:t>)</w:t>
      </w:r>
      <w:r>
        <w:rPr>
          <w:rFonts w:asciiTheme="minorHAnsi" w:hAnsiTheme="minorHAnsi" w:cstheme="minorHAnsi"/>
          <w:sz w:val="24"/>
        </w:rPr>
        <w:t>;</w:t>
      </w:r>
    </w:p>
    <w:p w14:paraId="299BD2C9" w14:textId="28D168AC"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smlouvy, nebo při provádění této smlouvy, nebo zkresloval skutečnosti za účelem ovlivnění </w:t>
      </w:r>
      <w:r w:rsidR="00EE232E">
        <w:rPr>
          <w:rFonts w:asciiTheme="minorHAnsi" w:hAnsiTheme="minorHAnsi" w:cstheme="minorHAnsi"/>
          <w:sz w:val="24"/>
        </w:rPr>
        <w:t>výběrového</w:t>
      </w:r>
      <w:r>
        <w:rPr>
          <w:rFonts w:asciiTheme="minorHAnsi" w:hAnsiTheme="minorHAnsi" w:cstheme="minorHAnsi"/>
          <w:sz w:val="24"/>
        </w:rPr>
        <w:t xml:space="preserve"> řízení této smlouvy, nebo provádění této smlouvy ke škodě Objednatele, včetně užití podvodných praktik k potlačení a snížení výhod volné a otevřené soutěže.</w:t>
      </w:r>
    </w:p>
    <w:p w14:paraId="59F21F31" w14:textId="04A94782" w:rsidR="00BA1743" w:rsidRDefault="00BA1743" w:rsidP="00BA1743">
      <w:pPr>
        <w:pStyle w:val="CZodstavec"/>
        <w:numPr>
          <w:ilvl w:val="0"/>
          <w:numId w:val="9"/>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lastRenderedPageBreak/>
        <w:t>Dodavatel může od této smlouvy okamžitě odstoupit v případě:</w:t>
      </w:r>
    </w:p>
    <w:p w14:paraId="38A38127" w14:textId="78945E91"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 xml:space="preserve">prodlení Objednatele s úhradou ceny </w:t>
      </w:r>
      <w:r w:rsidR="002D4902">
        <w:rPr>
          <w:rFonts w:asciiTheme="minorHAnsi" w:hAnsiTheme="minorHAnsi" w:cstheme="minorHAnsi"/>
          <w:sz w:val="24"/>
        </w:rPr>
        <w:t xml:space="preserve">za </w:t>
      </w:r>
      <w:r>
        <w:rPr>
          <w:rFonts w:asciiTheme="minorHAnsi" w:hAnsiTheme="minorHAnsi" w:cstheme="minorHAnsi"/>
          <w:sz w:val="24"/>
        </w:rPr>
        <w:t>plnění dle této smlouvy po dobu delší než třicet (30) dnů;</w:t>
      </w:r>
    </w:p>
    <w:p w14:paraId="739E93A6" w14:textId="77777777" w:rsidR="00BA1743" w:rsidRDefault="00BA1743" w:rsidP="00BA1743">
      <w:pPr>
        <w:pStyle w:val="CZodstavec"/>
        <w:numPr>
          <w:ilvl w:val="1"/>
          <w:numId w:val="9"/>
        </w:numPr>
        <w:rPr>
          <w:rFonts w:asciiTheme="minorHAnsi" w:hAnsiTheme="minorHAnsi" w:cstheme="minorHAnsi"/>
          <w:sz w:val="24"/>
        </w:rPr>
      </w:pPr>
      <w:r>
        <w:rPr>
          <w:rFonts w:asciiTheme="minorHAnsi" w:hAnsiTheme="minorHAnsi" w:cstheme="minorHAnsi"/>
          <w:sz w:val="24"/>
        </w:rPr>
        <w:t>porušení licenčních podmínek ze strany Objednatele, vymezených v příslušných licenčních podmínkách společnosti Microsoft, kdy Objednatel nezjedná nápravu ani do třiceti (30) dnů ode dne obdržení písemného upozornění Dodavatele na takové porušení.</w:t>
      </w:r>
    </w:p>
    <w:p w14:paraId="25934962" w14:textId="595090EE" w:rsidR="00BA1743" w:rsidRDefault="00BA1743" w:rsidP="00BA1743">
      <w:pPr>
        <w:pStyle w:val="CZodstavec"/>
        <w:numPr>
          <w:ilvl w:val="0"/>
          <w:numId w:val="9"/>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 xml:space="preserve">Odstoupením od smlouvy nejsou dotčena ustanovení týkající se smluvních pokut, ochrany informací, náhrady škody a ustanovení týkajících se takových práv a povinností, z jejichž povahy vyplývá, že trvají i po odstoupení. </w:t>
      </w:r>
    </w:p>
    <w:p w14:paraId="1E72F4AB" w14:textId="779A8C8C" w:rsidR="00BA1743" w:rsidRPr="00D60A53" w:rsidRDefault="00BA1743" w:rsidP="00BA1743">
      <w:pPr>
        <w:pStyle w:val="CZodstavec"/>
        <w:numPr>
          <w:ilvl w:val="0"/>
          <w:numId w:val="9"/>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 xml:space="preserve">Jakýkoliv úkon, vedoucí k ukončení této smlouvy, musí být učiněn v písemné formě a je účinný okamžikem jeho doručení Dodavateli. Zákonné důvody pro ukončení této smlouvy </w:t>
      </w:r>
      <w:r w:rsidRPr="00D60A53">
        <w:rPr>
          <w:rFonts w:asciiTheme="minorHAnsi" w:hAnsiTheme="minorHAnsi" w:cstheme="minorHAnsi"/>
          <w:sz w:val="24"/>
        </w:rPr>
        <w:t xml:space="preserve">nejsou shora uvedeným </w:t>
      </w:r>
      <w:r w:rsidR="00D60A53" w:rsidRPr="00D60A53">
        <w:rPr>
          <w:rFonts w:asciiTheme="minorHAnsi" w:hAnsiTheme="minorHAnsi" w:cstheme="minorHAnsi"/>
          <w:sz w:val="24"/>
        </w:rPr>
        <w:t xml:space="preserve">ustanoveními </w:t>
      </w:r>
      <w:r w:rsidRPr="00D60A53">
        <w:rPr>
          <w:rFonts w:asciiTheme="minorHAnsi" w:hAnsiTheme="minorHAnsi" w:cstheme="minorHAnsi"/>
          <w:sz w:val="24"/>
        </w:rPr>
        <w:t>dotčeny.</w:t>
      </w:r>
    </w:p>
    <w:p w14:paraId="7C850634" w14:textId="77777777" w:rsidR="00BA1743" w:rsidRDefault="00BA1743" w:rsidP="00E15067">
      <w:pPr>
        <w:pStyle w:val="CZslolnku"/>
        <w:numPr>
          <w:ilvl w:val="0"/>
          <w:numId w:val="3"/>
        </w:numPr>
        <w:ind w:left="0" w:firstLine="0"/>
        <w:rPr>
          <w:rFonts w:asciiTheme="minorHAnsi" w:hAnsiTheme="minorHAnsi" w:cstheme="minorHAnsi"/>
          <w:sz w:val="24"/>
        </w:rPr>
      </w:pPr>
    </w:p>
    <w:p w14:paraId="164C060F" w14:textId="7AFC75D9" w:rsidR="00BA1743" w:rsidRDefault="00BA1743" w:rsidP="00BA1743">
      <w:pPr>
        <w:pStyle w:val="CZslolnku"/>
        <w:numPr>
          <w:ilvl w:val="0"/>
          <w:numId w:val="0"/>
        </w:numPr>
        <w:spacing w:before="0" w:after="0"/>
        <w:rPr>
          <w:rFonts w:asciiTheme="minorHAnsi" w:hAnsiTheme="minorHAnsi" w:cstheme="minorHAnsi"/>
          <w:sz w:val="24"/>
        </w:rPr>
      </w:pPr>
      <w:r>
        <w:rPr>
          <w:rFonts w:asciiTheme="minorHAnsi" w:hAnsiTheme="minorHAnsi" w:cstheme="minorHAnsi"/>
          <w:sz w:val="24"/>
        </w:rPr>
        <w:t>Ostatní ujednání</w:t>
      </w:r>
    </w:p>
    <w:p w14:paraId="3DB5D6CC" w14:textId="77777777" w:rsidR="00557461" w:rsidRDefault="00557461" w:rsidP="00557461">
      <w:pPr>
        <w:pStyle w:val="CZodstavec"/>
        <w:ind w:left="426"/>
        <w:rPr>
          <w:rFonts w:asciiTheme="minorHAnsi" w:hAnsiTheme="minorHAnsi" w:cstheme="minorHAnsi"/>
          <w:sz w:val="24"/>
        </w:rPr>
      </w:pPr>
    </w:p>
    <w:p w14:paraId="018E0296" w14:textId="63F0ECEC" w:rsidR="0065004C" w:rsidRPr="00855937" w:rsidRDefault="0065004C" w:rsidP="001027D9">
      <w:pPr>
        <w:pStyle w:val="CZodstavec"/>
        <w:numPr>
          <w:ilvl w:val="0"/>
          <w:numId w:val="11"/>
        </w:numPr>
        <w:tabs>
          <w:tab w:val="clear" w:pos="360"/>
        </w:tabs>
        <w:rPr>
          <w:rFonts w:asciiTheme="minorHAnsi" w:hAnsiTheme="minorHAnsi" w:cstheme="minorHAnsi"/>
          <w:sz w:val="24"/>
        </w:rPr>
      </w:pPr>
      <w:r w:rsidRPr="00855937">
        <w:rPr>
          <w:rFonts w:asciiTheme="minorHAnsi" w:hAnsiTheme="minorHAnsi" w:cstheme="minorHAnsi"/>
          <w:sz w:val="24"/>
        </w:rPr>
        <w:t xml:space="preserve">Za Objednatele je v záležitostech plnění smlouvy a poskytování plnění oprávněn jednat </w:t>
      </w:r>
      <w:r w:rsidR="00F971AF" w:rsidRPr="00855937">
        <w:rPr>
          <w:rFonts w:asciiTheme="minorHAnsi" w:hAnsiTheme="minorHAnsi" w:cstheme="minorHAnsi"/>
          <w:sz w:val="24"/>
        </w:rPr>
        <w:t xml:space="preserve">Tomáš Kotrč </w:t>
      </w:r>
      <w:r w:rsidRPr="00855937">
        <w:rPr>
          <w:rFonts w:asciiTheme="minorHAnsi" w:hAnsiTheme="minorHAnsi" w:cstheme="minorHAnsi"/>
          <w:sz w:val="24"/>
        </w:rPr>
        <w:t xml:space="preserve">(email: </w:t>
      </w:r>
      <w:r w:rsidR="00F971AF" w:rsidRPr="00855937">
        <w:rPr>
          <w:rFonts w:asciiTheme="minorHAnsi" w:hAnsiTheme="minorHAnsi" w:cstheme="minorHAnsi"/>
          <w:sz w:val="24"/>
        </w:rPr>
        <w:t>tomas.kotrc</w:t>
      </w:r>
      <w:r w:rsidRPr="00855937">
        <w:rPr>
          <w:rFonts w:asciiTheme="minorHAnsi" w:hAnsiTheme="minorHAnsi" w:cstheme="minorHAnsi"/>
          <w:sz w:val="24"/>
        </w:rPr>
        <w:t xml:space="preserve">@cenia.cz, tel.: </w:t>
      </w:r>
      <w:r w:rsidR="00F971AF" w:rsidRPr="00855937">
        <w:rPr>
          <w:rFonts w:asciiTheme="minorHAnsi" w:hAnsiTheme="minorHAnsi" w:cstheme="minorHAnsi"/>
          <w:sz w:val="24"/>
        </w:rPr>
        <w:t>725 440 646).</w:t>
      </w:r>
      <w:r w:rsidRPr="00855937">
        <w:rPr>
          <w:rFonts w:asciiTheme="minorHAnsi" w:hAnsiTheme="minorHAnsi" w:cstheme="minorHAnsi"/>
          <w:sz w:val="24"/>
        </w:rPr>
        <w:t xml:space="preserve"> Za Dodavatele je v záležitostech plnění smlouvy a poskytování plnění oprávněn jednat </w:t>
      </w:r>
      <w:r w:rsidR="00855937" w:rsidRPr="00855937">
        <w:rPr>
          <w:rFonts w:asciiTheme="minorHAnsi" w:hAnsiTheme="minorHAnsi" w:cstheme="minorHAnsi"/>
          <w:sz w:val="24"/>
        </w:rPr>
        <w:t>Libor Novotný (email: novotny@hts.cz, tel.: +420</w:t>
      </w:r>
      <w:r w:rsidR="00855937">
        <w:rPr>
          <w:rFonts w:asciiTheme="minorHAnsi" w:hAnsiTheme="minorHAnsi" w:cstheme="minorHAnsi"/>
          <w:sz w:val="24"/>
        </w:rPr>
        <w:t> </w:t>
      </w:r>
      <w:r w:rsidR="00855937" w:rsidRPr="00855937">
        <w:rPr>
          <w:rFonts w:asciiTheme="minorHAnsi" w:hAnsiTheme="minorHAnsi" w:cstheme="minorHAnsi"/>
          <w:sz w:val="24"/>
        </w:rPr>
        <w:t>543</w:t>
      </w:r>
      <w:r w:rsidR="00855937">
        <w:rPr>
          <w:rFonts w:asciiTheme="minorHAnsi" w:hAnsiTheme="minorHAnsi" w:cstheme="minorHAnsi"/>
          <w:sz w:val="24"/>
        </w:rPr>
        <w:t> </w:t>
      </w:r>
      <w:r w:rsidR="00855937" w:rsidRPr="00855937">
        <w:rPr>
          <w:rFonts w:asciiTheme="minorHAnsi" w:hAnsiTheme="minorHAnsi" w:cstheme="minorHAnsi"/>
          <w:sz w:val="24"/>
        </w:rPr>
        <w:t>234</w:t>
      </w:r>
      <w:r w:rsidR="00855937">
        <w:rPr>
          <w:rFonts w:asciiTheme="minorHAnsi" w:hAnsiTheme="minorHAnsi" w:cstheme="minorHAnsi"/>
          <w:sz w:val="24"/>
        </w:rPr>
        <w:t xml:space="preserve"> </w:t>
      </w:r>
      <w:r w:rsidR="00855937" w:rsidRPr="00855937">
        <w:rPr>
          <w:rFonts w:asciiTheme="minorHAnsi" w:hAnsiTheme="minorHAnsi" w:cstheme="minorHAnsi"/>
          <w:sz w:val="24"/>
        </w:rPr>
        <w:t>017</w:t>
      </w:r>
      <w:r w:rsidRPr="00855937">
        <w:rPr>
          <w:rFonts w:asciiTheme="minorHAnsi" w:hAnsiTheme="minorHAnsi" w:cstheme="minorHAnsi"/>
          <w:sz w:val="24"/>
        </w:rPr>
        <w:t xml:space="preserve">). Tyto osoby si budou sdělovat požadavky na potřebné podklady, případně pokyny dle této smlouvy, a to prostřednictvím výše uvedených emailových adres, popř. telefonních čísel. Případnou změnu v kontaktních osobách oznámí bezodkladně jedna Smluvní strana druhé Smluvní straně vždy písemně; tato změna však nevyžaduje vytvoření dodatku k této </w:t>
      </w:r>
      <w:r w:rsidR="001D7F74" w:rsidRPr="00855937">
        <w:rPr>
          <w:rFonts w:asciiTheme="minorHAnsi" w:hAnsiTheme="minorHAnsi" w:cstheme="minorHAnsi"/>
          <w:sz w:val="24"/>
        </w:rPr>
        <w:t>smlouvě</w:t>
      </w:r>
      <w:r w:rsidRPr="00855937">
        <w:rPr>
          <w:rFonts w:asciiTheme="minorHAnsi" w:hAnsiTheme="minorHAnsi" w:cstheme="minorHAnsi"/>
          <w:sz w:val="24"/>
        </w:rPr>
        <w:t>.</w:t>
      </w:r>
    </w:p>
    <w:p w14:paraId="7C973AD1" w14:textId="4E329F86" w:rsidR="00BA1743" w:rsidRDefault="00BA1743" w:rsidP="00BA1743">
      <w:pPr>
        <w:pStyle w:val="CZodstavec"/>
        <w:numPr>
          <w:ilvl w:val="0"/>
          <w:numId w:val="11"/>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 xml:space="preserve">Jestliže se ukáže jakékoliv ustanovení této smlouvy jako neplatné, nevymahatelné nebo neúčinné, nedotýká se tato neplatnost, nevymahatelnost nebo neúčinnost ostatních ustanovení této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w:t>
      </w:r>
      <w:r w:rsidRPr="002D4902">
        <w:rPr>
          <w:rFonts w:asciiTheme="minorHAnsi" w:hAnsiTheme="minorHAnsi" w:cstheme="minorHAnsi"/>
          <w:color w:val="2F5496" w:themeColor="accent1" w:themeShade="BF"/>
          <w:sz w:val="24"/>
        </w:rPr>
        <w:t>případně uzavřít smlouvu novou</w:t>
      </w:r>
      <w:r>
        <w:rPr>
          <w:rFonts w:asciiTheme="minorHAnsi" w:hAnsiTheme="minorHAnsi" w:cstheme="minorHAnsi"/>
          <w:sz w:val="24"/>
        </w:rPr>
        <w:t>. Smluvní strany se zavazují poskytnout si navzájem součinnost nezbytnou k řádnému splnění jejich povinností dle této smlouvy.</w:t>
      </w:r>
    </w:p>
    <w:p w14:paraId="50B856B7" w14:textId="10FBA4EA" w:rsidR="00BA1743" w:rsidRDefault="00BA1743" w:rsidP="00BA1743">
      <w:pPr>
        <w:pStyle w:val="CZodstavec"/>
        <w:numPr>
          <w:ilvl w:val="0"/>
          <w:numId w:val="11"/>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Nedílnou součástí této smlouvy je následující příloha a případně i další skutečnosti, jestliže je Objednatel uvede v</w:t>
      </w:r>
      <w:r w:rsidR="00DC2181">
        <w:rPr>
          <w:rFonts w:asciiTheme="minorHAnsi" w:hAnsiTheme="minorHAnsi" w:cstheme="minorHAnsi"/>
          <w:sz w:val="24"/>
        </w:rPr>
        <w:t>e</w:t>
      </w:r>
      <w:r>
        <w:rPr>
          <w:rFonts w:asciiTheme="minorHAnsi" w:hAnsiTheme="minorHAnsi" w:cstheme="minorHAnsi"/>
          <w:sz w:val="24"/>
        </w:rPr>
        <w:t> smlouvě:</w:t>
      </w:r>
    </w:p>
    <w:p w14:paraId="4AE38ECF" w14:textId="46D9A886" w:rsidR="00BA1743" w:rsidRDefault="00BA1743" w:rsidP="00BA1743">
      <w:pPr>
        <w:pStyle w:val="CZodstavec"/>
        <w:ind w:left="426"/>
        <w:rPr>
          <w:rFonts w:asciiTheme="minorHAnsi" w:hAnsiTheme="minorHAnsi" w:cstheme="minorHAnsi"/>
          <w:sz w:val="24"/>
        </w:rPr>
      </w:pPr>
      <w:r>
        <w:rPr>
          <w:rFonts w:asciiTheme="minorHAnsi" w:hAnsiTheme="minorHAnsi" w:cstheme="minorHAnsi"/>
          <w:sz w:val="24"/>
        </w:rPr>
        <w:t>Příloha č. 1 – Podrobné vymezení plnění Dodavatele a vymezení ceny za plnění.</w:t>
      </w:r>
    </w:p>
    <w:p w14:paraId="25964FA7" w14:textId="3DF19B99" w:rsidR="00AD4B4B" w:rsidRDefault="003D715C" w:rsidP="00BA1743">
      <w:pPr>
        <w:pStyle w:val="CZodstavec"/>
        <w:numPr>
          <w:ilvl w:val="0"/>
          <w:numId w:val="11"/>
        </w:numPr>
        <w:tabs>
          <w:tab w:val="clear" w:pos="360"/>
          <w:tab w:val="num" w:pos="9072"/>
        </w:tabs>
        <w:ind w:left="426" w:hanging="426"/>
        <w:rPr>
          <w:rFonts w:asciiTheme="minorHAnsi" w:hAnsiTheme="minorHAnsi" w:cstheme="minorHAnsi"/>
          <w:sz w:val="24"/>
        </w:rPr>
      </w:pPr>
      <w:r w:rsidRPr="003D715C">
        <w:rPr>
          <w:rFonts w:asciiTheme="minorHAnsi" w:hAnsiTheme="minorHAnsi" w:cstheme="minorHAnsi"/>
          <w:sz w:val="24"/>
        </w:rPr>
        <w:lastRenderedPageBreak/>
        <w:t xml:space="preserve">Součástí této </w:t>
      </w:r>
      <w:r w:rsidR="001D7F74">
        <w:rPr>
          <w:rFonts w:asciiTheme="minorHAnsi" w:hAnsiTheme="minorHAnsi" w:cstheme="minorHAnsi"/>
          <w:sz w:val="24"/>
        </w:rPr>
        <w:t>smlouvy</w:t>
      </w:r>
      <w:r w:rsidRPr="003D715C">
        <w:rPr>
          <w:rFonts w:asciiTheme="minorHAnsi" w:hAnsiTheme="minorHAnsi" w:cstheme="minorHAnsi"/>
          <w:sz w:val="24"/>
        </w:rPr>
        <w:t xml:space="preserve"> jsou </w:t>
      </w:r>
      <w:r>
        <w:rPr>
          <w:rFonts w:asciiTheme="minorHAnsi" w:hAnsiTheme="minorHAnsi" w:cstheme="minorHAnsi"/>
          <w:sz w:val="24"/>
        </w:rPr>
        <w:t>rovněž</w:t>
      </w:r>
      <w:r w:rsidR="00AD4B4B" w:rsidRPr="00AD4B4B">
        <w:rPr>
          <w:rFonts w:asciiTheme="minorHAnsi" w:hAnsiTheme="minorHAnsi" w:cstheme="minorHAnsi"/>
          <w:sz w:val="24"/>
        </w:rPr>
        <w:t xml:space="preserve"> všeobecné obchodní podmínky společnosti Microsoft</w:t>
      </w:r>
      <w:r w:rsidR="00E325D3">
        <w:rPr>
          <w:rFonts w:asciiTheme="minorHAnsi" w:hAnsiTheme="minorHAnsi" w:cstheme="minorHAnsi"/>
          <w:sz w:val="24"/>
        </w:rPr>
        <w:t xml:space="preserve"> uvedené pod následujícím odkazem: </w:t>
      </w:r>
      <w:hyperlink r:id="rId10" w:history="1">
        <w:r w:rsidR="00E325D3" w:rsidRPr="00A4570C">
          <w:rPr>
            <w:rStyle w:val="Hypertextovodkaz"/>
            <w:rFonts w:asciiTheme="minorHAnsi" w:hAnsiTheme="minorHAnsi" w:cstheme="minorHAnsi"/>
            <w:sz w:val="24"/>
          </w:rPr>
          <w:t>https://www.microsoft.com/licensing/terms/welcome/welcomepage</w:t>
        </w:r>
      </w:hyperlink>
    </w:p>
    <w:p w14:paraId="47F389D4" w14:textId="77777777" w:rsidR="00411612" w:rsidRDefault="00411612" w:rsidP="00BA1743">
      <w:pPr>
        <w:pStyle w:val="CZodstavec"/>
        <w:numPr>
          <w:ilvl w:val="0"/>
          <w:numId w:val="11"/>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Tato smlouva je vyhotovena v elektronické podobě.</w:t>
      </w:r>
    </w:p>
    <w:p w14:paraId="3CD7E3F3" w14:textId="13CA0376" w:rsidR="00BA1743" w:rsidRDefault="00BA1743" w:rsidP="00BA1743">
      <w:pPr>
        <w:pStyle w:val="CZodstavec"/>
        <w:numPr>
          <w:ilvl w:val="0"/>
          <w:numId w:val="11"/>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Na důkaz toho, že Smluvní strany s obsahem této smlouvy souhlasí, rozumí jí a zavazují se k jejímu plnění, připojují své podpisy a prohlašují, že tato smlouva byla uzavřena podle jejich svobodné a vážné vůle prosté tísně.</w:t>
      </w:r>
    </w:p>
    <w:p w14:paraId="4150BD97" w14:textId="77777777" w:rsidR="00BA1743" w:rsidRDefault="00BA1743" w:rsidP="00BA1743">
      <w:pPr>
        <w:pStyle w:val="CZodstavec"/>
        <w:ind w:left="426"/>
        <w:rPr>
          <w:rFonts w:asciiTheme="minorHAnsi" w:hAnsiTheme="minorHAnsi" w:cstheme="minorHAnsi"/>
          <w:sz w:val="24"/>
        </w:rPr>
      </w:pPr>
    </w:p>
    <w:p w14:paraId="51861B4D" w14:textId="77777777" w:rsidR="00BA1743" w:rsidRDefault="00BA1743" w:rsidP="00BA1743">
      <w:pPr>
        <w:rPr>
          <w:rFonts w:asciiTheme="minorHAnsi" w:hAnsiTheme="minorHAnsi" w:cstheme="minorHAnsi"/>
          <w:b/>
          <w:sz w:val="24"/>
        </w:rPr>
      </w:pPr>
      <w:r>
        <w:rPr>
          <w:rFonts w:asciiTheme="minorHAnsi" w:hAnsiTheme="minorHAnsi" w:cstheme="minorHAnsi"/>
          <w:b/>
          <w:sz w:val="24"/>
        </w:rPr>
        <w:t>Objednatel</w:t>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t>Dodavatel</w:t>
      </w:r>
    </w:p>
    <w:p w14:paraId="20D243D3" w14:textId="1B877F8B" w:rsidR="00BA1743" w:rsidRDefault="00BA1743" w:rsidP="00BA1743">
      <w:pPr>
        <w:rPr>
          <w:rFonts w:asciiTheme="minorHAnsi" w:hAnsiTheme="minorHAnsi" w:cstheme="minorHAnsi"/>
          <w:sz w:val="24"/>
        </w:rPr>
      </w:pPr>
      <w:r>
        <w:rPr>
          <w:rFonts w:asciiTheme="minorHAnsi" w:hAnsiTheme="minorHAnsi" w:cstheme="minorHAnsi"/>
          <w:sz w:val="24"/>
        </w:rPr>
        <w:t xml:space="preserve">V </w:t>
      </w:r>
      <w:r w:rsidR="00411612">
        <w:rPr>
          <w:rFonts w:asciiTheme="minorHAnsi" w:hAnsiTheme="minorHAnsi" w:cstheme="minorHAnsi"/>
          <w:sz w:val="24"/>
        </w:rPr>
        <w:t>Praze</w:t>
      </w:r>
      <w:r>
        <w:rPr>
          <w:rFonts w:asciiTheme="minorHAnsi" w:hAnsiTheme="minorHAnsi" w:cstheme="minorHAnsi"/>
          <w:sz w:val="24"/>
        </w:rPr>
        <w:t xml:space="preserve"> dne </w:t>
      </w:r>
      <w:r w:rsidR="00411612">
        <w:rPr>
          <w:rFonts w:asciiTheme="minorHAnsi" w:hAnsiTheme="minorHAnsi" w:cstheme="minorHAnsi"/>
          <w:sz w:val="24"/>
        </w:rPr>
        <w:t>dle el. podpisu</w:t>
      </w:r>
      <w:r>
        <w:rPr>
          <w:rFonts w:asciiTheme="minorHAnsi" w:hAnsiTheme="minorHAnsi" w:cstheme="minorHAnsi"/>
          <w:sz w:val="24"/>
        </w:rPr>
        <w:tab/>
      </w:r>
      <w:r>
        <w:rPr>
          <w:rFonts w:asciiTheme="minorHAnsi" w:hAnsiTheme="minorHAnsi" w:cstheme="minorHAnsi"/>
          <w:sz w:val="24"/>
        </w:rPr>
        <w:tab/>
      </w:r>
      <w:r w:rsidR="001F49E1">
        <w:rPr>
          <w:rFonts w:asciiTheme="minorHAnsi" w:hAnsiTheme="minorHAnsi" w:cstheme="minorHAnsi"/>
          <w:sz w:val="24"/>
        </w:rPr>
        <w:tab/>
      </w:r>
      <w:r w:rsidR="001F49E1">
        <w:rPr>
          <w:rFonts w:asciiTheme="minorHAnsi" w:hAnsiTheme="minorHAnsi" w:cstheme="minorHAnsi"/>
          <w:sz w:val="24"/>
        </w:rPr>
        <w:tab/>
      </w:r>
      <w:r>
        <w:rPr>
          <w:rFonts w:asciiTheme="minorHAnsi" w:hAnsiTheme="minorHAnsi" w:cstheme="minorHAnsi"/>
          <w:sz w:val="24"/>
        </w:rPr>
        <w:t xml:space="preserve">V </w:t>
      </w:r>
      <w:r w:rsidR="00147518">
        <w:rPr>
          <w:rFonts w:asciiTheme="minorHAnsi" w:hAnsiTheme="minorHAnsi" w:cstheme="minorHAnsi"/>
          <w:sz w:val="24"/>
        </w:rPr>
        <w:t>Brně</w:t>
      </w:r>
      <w:r>
        <w:rPr>
          <w:rFonts w:asciiTheme="minorHAnsi" w:hAnsiTheme="minorHAnsi" w:cstheme="minorHAnsi"/>
          <w:sz w:val="24"/>
        </w:rPr>
        <w:t xml:space="preserve"> dne</w:t>
      </w:r>
      <w:r w:rsidR="00147518">
        <w:rPr>
          <w:rFonts w:asciiTheme="minorHAnsi" w:hAnsiTheme="minorHAnsi" w:cstheme="minorHAnsi"/>
          <w:sz w:val="24"/>
        </w:rPr>
        <w:t xml:space="preserve"> dle el. podpisu</w:t>
      </w:r>
    </w:p>
    <w:p w14:paraId="3D80A9E1" w14:textId="77777777" w:rsidR="00BA1743" w:rsidRDefault="00BA1743" w:rsidP="00BA1743">
      <w:pPr>
        <w:rPr>
          <w:rFonts w:asciiTheme="minorHAnsi" w:hAnsiTheme="minorHAnsi" w:cstheme="minorHAnsi"/>
          <w:sz w:val="24"/>
        </w:rPr>
      </w:pPr>
    </w:p>
    <w:p w14:paraId="0C01E75F" w14:textId="77777777" w:rsidR="00BA1743" w:rsidRDefault="00BA1743" w:rsidP="00BA1743">
      <w:pPr>
        <w:rPr>
          <w:rFonts w:asciiTheme="minorHAnsi" w:hAnsiTheme="minorHAnsi" w:cstheme="minorHAnsi"/>
          <w:sz w:val="24"/>
        </w:rPr>
      </w:pPr>
      <w:r>
        <w:rPr>
          <w:rFonts w:asciiTheme="minorHAnsi" w:hAnsiTheme="minorHAnsi" w:cstheme="minorHAnsi"/>
          <w:sz w:val="24"/>
        </w:rPr>
        <w:t>.......................................</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w:t>
      </w:r>
    </w:p>
    <w:p w14:paraId="4015D7B1" w14:textId="08550A3F" w:rsidR="00BA1743" w:rsidRDefault="00061C18" w:rsidP="00BA1743">
      <w:pPr>
        <w:rPr>
          <w:rFonts w:asciiTheme="minorHAnsi" w:hAnsiTheme="minorHAnsi" w:cstheme="minorHAnsi"/>
          <w:sz w:val="24"/>
        </w:rPr>
      </w:pPr>
      <w:r w:rsidRPr="00061C18">
        <w:rPr>
          <w:rFonts w:asciiTheme="minorHAnsi" w:hAnsiTheme="minorHAnsi" w:cstheme="minorHAnsi"/>
          <w:sz w:val="24"/>
        </w:rPr>
        <w:t>Ing. Jiří</w:t>
      </w:r>
      <w:r>
        <w:rPr>
          <w:rFonts w:asciiTheme="minorHAnsi" w:hAnsiTheme="minorHAnsi" w:cstheme="minorHAnsi"/>
          <w:sz w:val="24"/>
        </w:rPr>
        <w:t xml:space="preserve"> </w:t>
      </w:r>
      <w:r w:rsidRPr="00061C18">
        <w:rPr>
          <w:rFonts w:asciiTheme="minorHAnsi" w:hAnsiTheme="minorHAnsi" w:cstheme="minorHAnsi"/>
          <w:sz w:val="24"/>
        </w:rPr>
        <w:t>Valt</w:t>
      </w:r>
      <w:r>
        <w:rPr>
          <w:rFonts w:asciiTheme="minorHAnsi" w:hAnsiTheme="minorHAnsi" w:cstheme="minorHAnsi"/>
          <w:sz w:val="24"/>
        </w:rPr>
        <w:t>a</w:t>
      </w:r>
      <w:r>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Pr="00061C18">
        <w:rPr>
          <w:rFonts w:asciiTheme="minorHAnsi" w:hAnsiTheme="minorHAnsi" w:cstheme="minorHAnsi"/>
          <w:sz w:val="24"/>
        </w:rPr>
        <w:t>Libor Novotný</w:t>
      </w:r>
    </w:p>
    <w:p w14:paraId="41F3240D" w14:textId="6A3BE16C" w:rsidR="00061C18" w:rsidRDefault="00382710" w:rsidP="00BA1743">
      <w:pPr>
        <w:rPr>
          <w:rFonts w:asciiTheme="minorHAnsi" w:hAnsiTheme="minorHAnsi" w:cstheme="minorHAnsi"/>
          <w:sz w:val="24"/>
        </w:rPr>
      </w:pPr>
      <w:r>
        <w:rPr>
          <w:rFonts w:asciiTheme="minorHAnsi" w:hAnsiTheme="minorHAnsi" w:cstheme="minorHAnsi"/>
          <w:sz w:val="24"/>
        </w:rPr>
        <w:t>ř</w:t>
      </w:r>
      <w:r w:rsidR="00061C18" w:rsidRPr="00061C18">
        <w:rPr>
          <w:rFonts w:asciiTheme="minorHAnsi" w:hAnsiTheme="minorHAnsi" w:cstheme="minorHAnsi"/>
          <w:sz w:val="24"/>
        </w:rPr>
        <w:t>editel</w:t>
      </w:r>
      <w:r w:rsidR="00061C18">
        <w:rPr>
          <w:rFonts w:asciiTheme="minorHAnsi" w:hAnsiTheme="minorHAnsi" w:cstheme="minorHAnsi"/>
          <w:sz w:val="24"/>
        </w:rPr>
        <w:tab/>
      </w:r>
      <w:r w:rsidR="00061C18">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BA1743">
        <w:rPr>
          <w:rFonts w:asciiTheme="minorHAnsi" w:hAnsiTheme="minorHAnsi" w:cstheme="minorHAnsi"/>
          <w:sz w:val="24"/>
        </w:rPr>
        <w:tab/>
      </w:r>
      <w:r w:rsidR="00061C18">
        <w:rPr>
          <w:rFonts w:asciiTheme="minorHAnsi" w:hAnsiTheme="minorHAnsi" w:cstheme="minorHAnsi"/>
          <w:sz w:val="24"/>
        </w:rPr>
        <w:t>jednatel</w:t>
      </w:r>
      <w:r>
        <w:rPr>
          <w:rFonts w:asciiTheme="minorHAnsi" w:hAnsiTheme="minorHAnsi" w:cstheme="minorHAnsi"/>
          <w:sz w:val="24"/>
        </w:rPr>
        <w:t xml:space="preserve"> </w:t>
      </w:r>
      <w:proofErr w:type="spellStart"/>
      <w:r w:rsidR="00061C18" w:rsidRPr="00061C18">
        <w:rPr>
          <w:rFonts w:asciiTheme="minorHAnsi" w:hAnsiTheme="minorHAnsi" w:cstheme="minorHAnsi"/>
          <w:sz w:val="24"/>
        </w:rPr>
        <w:t>Hi</w:t>
      </w:r>
      <w:proofErr w:type="spellEnd"/>
      <w:r w:rsidR="00061C18" w:rsidRPr="00061C18">
        <w:rPr>
          <w:rFonts w:asciiTheme="minorHAnsi" w:hAnsiTheme="minorHAnsi" w:cstheme="minorHAnsi"/>
          <w:sz w:val="24"/>
        </w:rPr>
        <w:t xml:space="preserve">-Tech </w:t>
      </w:r>
      <w:proofErr w:type="spellStart"/>
      <w:r w:rsidR="00061C18" w:rsidRPr="00061C18">
        <w:rPr>
          <w:rFonts w:asciiTheme="minorHAnsi" w:hAnsiTheme="minorHAnsi" w:cstheme="minorHAnsi"/>
          <w:sz w:val="24"/>
        </w:rPr>
        <w:t>Services</w:t>
      </w:r>
      <w:proofErr w:type="spellEnd"/>
      <w:r w:rsidR="00061C18" w:rsidRPr="00061C18">
        <w:rPr>
          <w:rFonts w:asciiTheme="minorHAnsi" w:hAnsiTheme="minorHAnsi" w:cstheme="minorHAnsi"/>
          <w:sz w:val="24"/>
        </w:rPr>
        <w:t>, spol. s r.o.</w:t>
      </w:r>
    </w:p>
    <w:p w14:paraId="10F6F9BC" w14:textId="77777777" w:rsidR="00F07E85" w:rsidRDefault="00BA1743" w:rsidP="00BA1743">
      <w:pPr>
        <w:spacing w:line="240" w:lineRule="auto"/>
        <w:jc w:val="left"/>
        <w:rPr>
          <w:rFonts w:asciiTheme="minorHAnsi" w:hAnsiTheme="minorHAnsi"/>
          <w:b/>
          <w:sz w:val="24"/>
        </w:rPr>
        <w:sectPr w:rsidR="00F07E85">
          <w:pgSz w:w="11906" w:h="16838"/>
          <w:pgMar w:top="1417" w:right="1417" w:bottom="1417" w:left="1417" w:header="708" w:footer="708" w:gutter="0"/>
          <w:cols w:space="708"/>
          <w:docGrid w:linePitch="360"/>
        </w:sectPr>
      </w:pPr>
      <w:r>
        <w:rPr>
          <w:rFonts w:asciiTheme="minorHAnsi" w:hAnsiTheme="minorHAnsi"/>
          <w:b/>
          <w:sz w:val="24"/>
        </w:rPr>
        <w:br w:type="page"/>
      </w:r>
    </w:p>
    <w:p w14:paraId="29531355" w14:textId="0E23DD8C" w:rsidR="00BA1743" w:rsidRDefault="00BA1743" w:rsidP="00BA1743">
      <w:pPr>
        <w:spacing w:line="240" w:lineRule="auto"/>
        <w:jc w:val="left"/>
        <w:rPr>
          <w:rFonts w:asciiTheme="minorHAnsi" w:hAnsiTheme="minorHAnsi"/>
          <w:b/>
          <w:sz w:val="24"/>
        </w:rPr>
      </w:pPr>
    </w:p>
    <w:p w14:paraId="2FC2DE04" w14:textId="77777777" w:rsidR="00BA1743" w:rsidRDefault="00BA1743" w:rsidP="00BA1743">
      <w:pPr>
        <w:jc w:val="center"/>
        <w:rPr>
          <w:rFonts w:asciiTheme="minorHAnsi" w:hAnsiTheme="minorHAnsi" w:cstheme="minorHAnsi"/>
          <w:b/>
          <w:sz w:val="24"/>
        </w:rPr>
      </w:pPr>
      <w:r>
        <w:rPr>
          <w:rFonts w:asciiTheme="minorHAnsi" w:hAnsiTheme="minorHAnsi" w:cstheme="minorHAnsi"/>
          <w:b/>
          <w:sz w:val="24"/>
        </w:rPr>
        <w:t>Příloha č. 1</w:t>
      </w:r>
    </w:p>
    <w:p w14:paraId="61CBFD6B" w14:textId="77777777" w:rsidR="00BA1743" w:rsidRDefault="00BA1743" w:rsidP="00BA1743">
      <w:pPr>
        <w:jc w:val="center"/>
        <w:rPr>
          <w:rFonts w:asciiTheme="minorHAnsi" w:hAnsiTheme="minorHAnsi" w:cstheme="minorHAnsi"/>
          <w:b/>
          <w:sz w:val="24"/>
        </w:rPr>
      </w:pPr>
      <w:r>
        <w:rPr>
          <w:rFonts w:asciiTheme="minorHAnsi" w:hAnsiTheme="minorHAnsi" w:cstheme="minorHAnsi"/>
          <w:b/>
          <w:sz w:val="24"/>
        </w:rPr>
        <w:t>Podrobné vymezení plnění Dodavatele a vymezení ceny za plnění, případně i jiné skutečnosti</w:t>
      </w:r>
    </w:p>
    <w:p w14:paraId="69C5D406" w14:textId="77777777" w:rsidR="00BA1743" w:rsidRDefault="00BA1743" w:rsidP="00BA1743">
      <w:pPr>
        <w:rPr>
          <w:rFonts w:asciiTheme="minorHAnsi" w:hAnsiTheme="minorHAnsi" w:cstheme="minorHAnsi"/>
          <w:i/>
          <w:sz w:val="24"/>
        </w:rPr>
      </w:pPr>
    </w:p>
    <w:tbl>
      <w:tblPr>
        <w:tblW w:w="12913" w:type="dxa"/>
        <w:tblInd w:w="55" w:type="dxa"/>
        <w:tblLayout w:type="fixed"/>
        <w:tblCellMar>
          <w:left w:w="70" w:type="dxa"/>
          <w:right w:w="70" w:type="dxa"/>
        </w:tblCellMar>
        <w:tblLook w:val="00A0" w:firstRow="1" w:lastRow="0" w:firstColumn="1" w:lastColumn="0" w:noHBand="0" w:noVBand="0"/>
      </w:tblPr>
      <w:tblGrid>
        <w:gridCol w:w="1575"/>
        <w:gridCol w:w="1059"/>
        <w:gridCol w:w="1134"/>
        <w:gridCol w:w="500"/>
        <w:gridCol w:w="1559"/>
        <w:gridCol w:w="1418"/>
        <w:gridCol w:w="1417"/>
        <w:gridCol w:w="1417"/>
        <w:gridCol w:w="1417"/>
        <w:gridCol w:w="1417"/>
      </w:tblGrid>
      <w:tr w:rsidR="000C3BDA" w14:paraId="088BB1E1" w14:textId="77777777">
        <w:trPr>
          <w:trHeight w:val="537"/>
        </w:trPr>
        <w:tc>
          <w:tcPr>
            <w:tcW w:w="1575" w:type="dxa"/>
            <w:tcBorders>
              <w:top w:val="single" w:sz="4" w:space="0" w:color="auto"/>
              <w:left w:val="single" w:sz="4" w:space="0" w:color="auto"/>
              <w:bottom w:val="single" w:sz="4" w:space="0" w:color="auto"/>
              <w:right w:val="single" w:sz="4" w:space="0" w:color="000000"/>
            </w:tcBorders>
            <w:shd w:val="clear" w:color="auto" w:fill="FFFF99"/>
            <w:vAlign w:val="center"/>
            <w:hideMark/>
          </w:tcPr>
          <w:p w14:paraId="20663435" w14:textId="77777777" w:rsidR="000C3BDA" w:rsidRDefault="000C3BDA">
            <w:pPr>
              <w:jc w:val="center"/>
              <w:rPr>
                <w:b/>
                <w:bCs/>
                <w:color w:val="000000"/>
                <w:sz w:val="18"/>
                <w:szCs w:val="18"/>
              </w:rPr>
            </w:pPr>
            <w:r>
              <w:rPr>
                <w:b/>
                <w:bCs/>
                <w:color w:val="000000"/>
                <w:sz w:val="18"/>
                <w:szCs w:val="18"/>
              </w:rPr>
              <w:t>Název produktu</w:t>
            </w:r>
          </w:p>
        </w:tc>
        <w:tc>
          <w:tcPr>
            <w:tcW w:w="1059" w:type="dxa"/>
            <w:tcBorders>
              <w:top w:val="single" w:sz="4" w:space="0" w:color="auto"/>
              <w:left w:val="single" w:sz="4" w:space="0" w:color="000000"/>
              <w:bottom w:val="single" w:sz="4" w:space="0" w:color="000000"/>
              <w:right w:val="single" w:sz="4" w:space="0" w:color="000000"/>
            </w:tcBorders>
            <w:shd w:val="clear" w:color="auto" w:fill="FFFF99"/>
            <w:vAlign w:val="center"/>
            <w:hideMark/>
          </w:tcPr>
          <w:p w14:paraId="0BEDA1AF" w14:textId="77777777" w:rsidR="000C3BDA" w:rsidRDefault="000C3BDA">
            <w:pPr>
              <w:jc w:val="center"/>
              <w:rPr>
                <w:b/>
                <w:bCs/>
                <w:color w:val="000000"/>
                <w:sz w:val="18"/>
                <w:szCs w:val="18"/>
              </w:rPr>
            </w:pPr>
            <w:r>
              <w:rPr>
                <w:b/>
                <w:bCs/>
                <w:color w:val="000000"/>
                <w:sz w:val="18"/>
                <w:szCs w:val="18"/>
              </w:rPr>
              <w:t>Jednotka (měsíc, 1rok, 2roky, 3roky, ks)</w:t>
            </w:r>
          </w:p>
        </w:tc>
        <w:tc>
          <w:tcPr>
            <w:tcW w:w="1134" w:type="dxa"/>
            <w:tcBorders>
              <w:top w:val="single" w:sz="4" w:space="0" w:color="auto"/>
              <w:left w:val="single" w:sz="4" w:space="0" w:color="000000"/>
              <w:bottom w:val="single" w:sz="4" w:space="0" w:color="000000"/>
              <w:right w:val="single" w:sz="4" w:space="0" w:color="000000"/>
            </w:tcBorders>
            <w:shd w:val="clear" w:color="auto" w:fill="FFFF99"/>
            <w:vAlign w:val="center"/>
            <w:hideMark/>
          </w:tcPr>
          <w:p w14:paraId="3660748A" w14:textId="77777777" w:rsidR="000C3BDA" w:rsidRDefault="000C3BDA">
            <w:pPr>
              <w:jc w:val="center"/>
              <w:rPr>
                <w:b/>
                <w:bCs/>
                <w:color w:val="000000"/>
                <w:sz w:val="18"/>
                <w:szCs w:val="18"/>
              </w:rPr>
            </w:pPr>
            <w:r>
              <w:rPr>
                <w:b/>
                <w:bCs/>
                <w:color w:val="000000"/>
                <w:sz w:val="18"/>
                <w:szCs w:val="18"/>
              </w:rPr>
              <w:t xml:space="preserve">Nákupní období </w:t>
            </w:r>
          </w:p>
        </w:tc>
        <w:tc>
          <w:tcPr>
            <w:tcW w:w="500" w:type="dxa"/>
            <w:tcBorders>
              <w:top w:val="single" w:sz="4" w:space="0" w:color="auto"/>
              <w:left w:val="single" w:sz="4" w:space="0" w:color="000000"/>
              <w:bottom w:val="single" w:sz="4" w:space="0" w:color="auto"/>
              <w:right w:val="single" w:sz="4" w:space="0" w:color="auto"/>
            </w:tcBorders>
            <w:shd w:val="clear" w:color="auto" w:fill="FFFF99"/>
            <w:vAlign w:val="center"/>
            <w:hideMark/>
          </w:tcPr>
          <w:p w14:paraId="2D63B44A" w14:textId="77777777" w:rsidR="000C3BDA" w:rsidRDefault="000C3BDA">
            <w:pPr>
              <w:jc w:val="center"/>
              <w:rPr>
                <w:b/>
                <w:bCs/>
                <w:color w:val="000000"/>
                <w:sz w:val="18"/>
                <w:szCs w:val="18"/>
                <w:lang w:val="de-DE"/>
              </w:rPr>
            </w:pPr>
            <w:r>
              <w:rPr>
                <w:b/>
                <w:bCs/>
                <w:color w:val="000000"/>
                <w:sz w:val="18"/>
                <w:szCs w:val="18"/>
              </w:rPr>
              <w:t>Počet ks</w:t>
            </w:r>
          </w:p>
        </w:tc>
        <w:tc>
          <w:tcPr>
            <w:tcW w:w="1559" w:type="dxa"/>
            <w:tcBorders>
              <w:top w:val="single" w:sz="4" w:space="0" w:color="auto"/>
              <w:left w:val="single" w:sz="4" w:space="0" w:color="000000"/>
              <w:bottom w:val="single" w:sz="4" w:space="0" w:color="auto"/>
              <w:right w:val="single" w:sz="4" w:space="0" w:color="auto"/>
            </w:tcBorders>
            <w:shd w:val="clear" w:color="auto" w:fill="FFFF99"/>
          </w:tcPr>
          <w:p w14:paraId="650852C6" w14:textId="77777777" w:rsidR="000C3BDA" w:rsidRDefault="000C3BDA">
            <w:pPr>
              <w:jc w:val="center"/>
              <w:rPr>
                <w:b/>
                <w:bCs/>
                <w:color w:val="000000"/>
                <w:sz w:val="18"/>
                <w:szCs w:val="18"/>
              </w:rPr>
            </w:pPr>
            <w:r>
              <w:rPr>
                <w:b/>
                <w:bCs/>
                <w:color w:val="000000"/>
                <w:sz w:val="18"/>
                <w:szCs w:val="18"/>
              </w:rPr>
              <w:t xml:space="preserve">Cena za 1 kus v Kč bez DPH </w:t>
            </w:r>
          </w:p>
        </w:tc>
        <w:tc>
          <w:tcPr>
            <w:tcW w:w="1418" w:type="dxa"/>
            <w:tcBorders>
              <w:top w:val="single" w:sz="4" w:space="0" w:color="auto"/>
              <w:left w:val="single" w:sz="4" w:space="0" w:color="000000"/>
              <w:bottom w:val="single" w:sz="4" w:space="0" w:color="auto"/>
              <w:right w:val="single" w:sz="4" w:space="0" w:color="auto"/>
            </w:tcBorders>
            <w:shd w:val="clear" w:color="auto" w:fill="FFFF99"/>
          </w:tcPr>
          <w:p w14:paraId="0B5C523F" w14:textId="77777777" w:rsidR="000C3BDA" w:rsidRDefault="000C3BDA">
            <w:pPr>
              <w:jc w:val="center"/>
              <w:rPr>
                <w:b/>
                <w:bCs/>
                <w:color w:val="000000"/>
                <w:sz w:val="18"/>
                <w:szCs w:val="18"/>
              </w:rPr>
            </w:pPr>
            <w:r>
              <w:rPr>
                <w:b/>
                <w:bCs/>
                <w:color w:val="000000"/>
                <w:sz w:val="18"/>
                <w:szCs w:val="18"/>
              </w:rPr>
              <w:t xml:space="preserve">DPH (21 %) za 1 kus </w:t>
            </w:r>
          </w:p>
        </w:tc>
        <w:tc>
          <w:tcPr>
            <w:tcW w:w="1417" w:type="dxa"/>
            <w:tcBorders>
              <w:top w:val="single" w:sz="4" w:space="0" w:color="auto"/>
              <w:left w:val="single" w:sz="4" w:space="0" w:color="000000"/>
              <w:bottom w:val="single" w:sz="4" w:space="0" w:color="auto"/>
              <w:right w:val="single" w:sz="4" w:space="0" w:color="auto"/>
            </w:tcBorders>
            <w:shd w:val="clear" w:color="auto" w:fill="FFFF99"/>
          </w:tcPr>
          <w:p w14:paraId="6FCBE5F8" w14:textId="77777777" w:rsidR="000C3BDA" w:rsidRDefault="000C3BDA">
            <w:pPr>
              <w:jc w:val="center"/>
              <w:rPr>
                <w:b/>
                <w:bCs/>
                <w:color w:val="000000"/>
                <w:sz w:val="18"/>
                <w:szCs w:val="18"/>
              </w:rPr>
            </w:pPr>
            <w:r>
              <w:rPr>
                <w:b/>
                <w:bCs/>
                <w:color w:val="000000"/>
                <w:sz w:val="18"/>
                <w:szCs w:val="18"/>
              </w:rPr>
              <w:t xml:space="preserve">Cena za 1 kus v Kč vč. DPH </w:t>
            </w:r>
          </w:p>
        </w:tc>
        <w:tc>
          <w:tcPr>
            <w:tcW w:w="1417" w:type="dxa"/>
            <w:tcBorders>
              <w:top w:val="single" w:sz="4" w:space="0" w:color="auto"/>
              <w:left w:val="single" w:sz="4" w:space="0" w:color="000000"/>
              <w:bottom w:val="single" w:sz="4" w:space="0" w:color="auto"/>
              <w:right w:val="single" w:sz="4" w:space="0" w:color="auto"/>
            </w:tcBorders>
            <w:shd w:val="clear" w:color="auto" w:fill="FFFF99"/>
          </w:tcPr>
          <w:p w14:paraId="7C4245F0" w14:textId="77777777" w:rsidR="000C3BDA" w:rsidRPr="008824EB" w:rsidRDefault="000C3BDA">
            <w:pPr>
              <w:jc w:val="center"/>
              <w:rPr>
                <w:color w:val="000000"/>
                <w:sz w:val="18"/>
                <w:szCs w:val="18"/>
              </w:rPr>
            </w:pPr>
            <w:r>
              <w:rPr>
                <w:b/>
                <w:bCs/>
                <w:color w:val="000000"/>
                <w:sz w:val="18"/>
                <w:szCs w:val="18"/>
              </w:rPr>
              <w:t>Celková cena za všechny kusy v Kč bez DPH</w:t>
            </w:r>
          </w:p>
        </w:tc>
        <w:tc>
          <w:tcPr>
            <w:tcW w:w="1417" w:type="dxa"/>
            <w:tcBorders>
              <w:top w:val="single" w:sz="4" w:space="0" w:color="auto"/>
              <w:left w:val="single" w:sz="4" w:space="0" w:color="000000"/>
              <w:bottom w:val="single" w:sz="4" w:space="0" w:color="auto"/>
              <w:right w:val="single" w:sz="4" w:space="0" w:color="auto"/>
            </w:tcBorders>
            <w:shd w:val="clear" w:color="auto" w:fill="FFFF99"/>
          </w:tcPr>
          <w:p w14:paraId="1582094B" w14:textId="77777777" w:rsidR="000C3BDA" w:rsidRDefault="000C3BDA">
            <w:pPr>
              <w:jc w:val="center"/>
              <w:rPr>
                <w:b/>
                <w:bCs/>
                <w:color w:val="000000"/>
                <w:sz w:val="18"/>
                <w:szCs w:val="18"/>
              </w:rPr>
            </w:pPr>
            <w:r>
              <w:rPr>
                <w:b/>
                <w:bCs/>
                <w:color w:val="000000"/>
                <w:sz w:val="18"/>
                <w:szCs w:val="18"/>
              </w:rPr>
              <w:t xml:space="preserve">DPH za všechny kusy </w:t>
            </w:r>
          </w:p>
          <w:p w14:paraId="38AB3486" w14:textId="77777777" w:rsidR="000C3BDA" w:rsidRDefault="000C3BDA">
            <w:pPr>
              <w:jc w:val="center"/>
              <w:rPr>
                <w:b/>
                <w:bCs/>
                <w:color w:val="000000"/>
                <w:sz w:val="18"/>
                <w:szCs w:val="18"/>
              </w:rPr>
            </w:pPr>
            <w:r>
              <w:rPr>
                <w:b/>
                <w:bCs/>
                <w:color w:val="000000"/>
                <w:sz w:val="18"/>
                <w:szCs w:val="18"/>
              </w:rPr>
              <w:t>(21 %)</w:t>
            </w:r>
          </w:p>
        </w:tc>
        <w:tc>
          <w:tcPr>
            <w:tcW w:w="1417" w:type="dxa"/>
            <w:tcBorders>
              <w:top w:val="single" w:sz="4" w:space="0" w:color="auto"/>
              <w:left w:val="single" w:sz="4" w:space="0" w:color="000000"/>
              <w:bottom w:val="single" w:sz="4" w:space="0" w:color="auto"/>
              <w:right w:val="single" w:sz="4" w:space="0" w:color="auto"/>
            </w:tcBorders>
            <w:shd w:val="clear" w:color="auto" w:fill="FFFF99"/>
          </w:tcPr>
          <w:p w14:paraId="1B0ACDF3" w14:textId="77777777" w:rsidR="000C3BDA" w:rsidRDefault="000C3BDA">
            <w:pPr>
              <w:jc w:val="center"/>
              <w:rPr>
                <w:b/>
                <w:bCs/>
                <w:color w:val="000000"/>
                <w:sz w:val="18"/>
                <w:szCs w:val="18"/>
              </w:rPr>
            </w:pPr>
            <w:r>
              <w:rPr>
                <w:b/>
                <w:bCs/>
                <w:color w:val="000000"/>
                <w:sz w:val="18"/>
                <w:szCs w:val="18"/>
              </w:rPr>
              <w:t>Celková cena za všechny kusy v Kč vč. DPH</w:t>
            </w:r>
          </w:p>
        </w:tc>
      </w:tr>
      <w:tr w:rsidR="00BE0D14" w14:paraId="21149C4E" w14:textId="77777777">
        <w:trPr>
          <w:trHeight w:val="545"/>
        </w:trPr>
        <w:tc>
          <w:tcPr>
            <w:tcW w:w="1575" w:type="dxa"/>
            <w:tcBorders>
              <w:top w:val="nil"/>
              <w:left w:val="single" w:sz="4" w:space="0" w:color="000000"/>
              <w:bottom w:val="single" w:sz="4" w:space="0" w:color="000000"/>
              <w:right w:val="single" w:sz="4" w:space="0" w:color="000000"/>
            </w:tcBorders>
            <w:vAlign w:val="center"/>
          </w:tcPr>
          <w:p w14:paraId="7233CCF7" w14:textId="77777777" w:rsidR="00BE0D14" w:rsidRDefault="00BE0D14" w:rsidP="00BE0D14">
            <w:pPr>
              <w:rPr>
                <w:color w:val="000000"/>
                <w:sz w:val="18"/>
                <w:szCs w:val="18"/>
              </w:rPr>
            </w:pPr>
            <w:r w:rsidRPr="008708D1">
              <w:rPr>
                <w:color w:val="000000"/>
                <w:sz w:val="18"/>
                <w:szCs w:val="18"/>
              </w:rPr>
              <w:t>Microsoft 365 Business Basic</w:t>
            </w:r>
          </w:p>
        </w:tc>
        <w:tc>
          <w:tcPr>
            <w:tcW w:w="1059" w:type="dxa"/>
            <w:tcBorders>
              <w:top w:val="single" w:sz="4" w:space="0" w:color="000000"/>
              <w:left w:val="nil"/>
              <w:bottom w:val="single" w:sz="4" w:space="0" w:color="000000"/>
              <w:right w:val="single" w:sz="4" w:space="0" w:color="000000"/>
            </w:tcBorders>
            <w:vAlign w:val="center"/>
          </w:tcPr>
          <w:p w14:paraId="484B23D4" w14:textId="77777777" w:rsidR="00BE0D14" w:rsidRDefault="00BE0D14" w:rsidP="00BE0D14">
            <w:pPr>
              <w:rPr>
                <w:color w:val="000000"/>
                <w:sz w:val="18"/>
                <w:szCs w:val="18"/>
              </w:rPr>
            </w:pPr>
            <w:r>
              <w:rPr>
                <w:color w:val="000000"/>
                <w:sz w:val="18"/>
                <w:szCs w:val="18"/>
              </w:rPr>
              <w:t>1 rok</w:t>
            </w:r>
          </w:p>
        </w:tc>
        <w:tc>
          <w:tcPr>
            <w:tcW w:w="1134" w:type="dxa"/>
            <w:vMerge w:val="restart"/>
            <w:tcBorders>
              <w:top w:val="single" w:sz="4" w:space="0" w:color="000000"/>
              <w:left w:val="single" w:sz="4" w:space="0" w:color="000000"/>
              <w:right w:val="single" w:sz="4" w:space="0" w:color="000000"/>
            </w:tcBorders>
            <w:vAlign w:val="center"/>
          </w:tcPr>
          <w:p w14:paraId="05AA5EDA" w14:textId="7356F588" w:rsidR="00BE0D14" w:rsidRDefault="00BE0D14" w:rsidP="00BE0D14">
            <w:pPr>
              <w:rPr>
                <w:color w:val="000000"/>
                <w:sz w:val="18"/>
                <w:szCs w:val="18"/>
              </w:rPr>
            </w:pPr>
            <w:r w:rsidRPr="0005436C">
              <w:rPr>
                <w:color w:val="000000"/>
                <w:sz w:val="18"/>
                <w:szCs w:val="18"/>
              </w:rPr>
              <w:t>2</w:t>
            </w:r>
            <w:r>
              <w:rPr>
                <w:color w:val="000000"/>
                <w:sz w:val="18"/>
                <w:szCs w:val="18"/>
              </w:rPr>
              <w:t>8</w:t>
            </w:r>
            <w:r w:rsidRPr="0005436C">
              <w:rPr>
                <w:color w:val="000000"/>
                <w:sz w:val="18"/>
                <w:szCs w:val="18"/>
              </w:rPr>
              <w:t>.9.202</w:t>
            </w:r>
            <w:r>
              <w:rPr>
                <w:color w:val="000000"/>
                <w:sz w:val="18"/>
                <w:szCs w:val="18"/>
              </w:rPr>
              <w:t>4</w:t>
            </w:r>
            <w:r w:rsidRPr="0005436C">
              <w:rPr>
                <w:color w:val="000000"/>
                <w:sz w:val="18"/>
                <w:szCs w:val="18"/>
              </w:rPr>
              <w:t xml:space="preserve"> – 2</w:t>
            </w:r>
            <w:r>
              <w:rPr>
                <w:color w:val="000000"/>
                <w:sz w:val="18"/>
                <w:szCs w:val="18"/>
              </w:rPr>
              <w:t>8</w:t>
            </w:r>
            <w:r w:rsidRPr="0005436C">
              <w:rPr>
                <w:color w:val="000000"/>
                <w:sz w:val="18"/>
                <w:szCs w:val="18"/>
              </w:rPr>
              <w:t>.9.202</w:t>
            </w:r>
            <w:r>
              <w:rPr>
                <w:color w:val="000000"/>
                <w:sz w:val="18"/>
                <w:szCs w:val="18"/>
              </w:rPr>
              <w:t>5</w:t>
            </w:r>
          </w:p>
        </w:tc>
        <w:tc>
          <w:tcPr>
            <w:tcW w:w="500" w:type="dxa"/>
            <w:tcBorders>
              <w:top w:val="nil"/>
              <w:left w:val="single" w:sz="4" w:space="0" w:color="000000"/>
              <w:bottom w:val="single" w:sz="4" w:space="0" w:color="000000"/>
              <w:right w:val="single" w:sz="4" w:space="0" w:color="000000"/>
            </w:tcBorders>
            <w:vAlign w:val="center"/>
          </w:tcPr>
          <w:p w14:paraId="740574B5" w14:textId="2D0B26AA" w:rsidR="00BE0D14" w:rsidRDefault="00BE0D14" w:rsidP="00BE0D14">
            <w:pPr>
              <w:rPr>
                <w:color w:val="000000"/>
                <w:sz w:val="18"/>
                <w:szCs w:val="18"/>
              </w:rPr>
            </w:pPr>
            <w:r>
              <w:rPr>
                <w:color w:val="000000"/>
                <w:sz w:val="18"/>
                <w:szCs w:val="18"/>
              </w:rPr>
              <w:t>7</w:t>
            </w:r>
          </w:p>
        </w:tc>
        <w:tc>
          <w:tcPr>
            <w:tcW w:w="1559" w:type="dxa"/>
            <w:tcBorders>
              <w:top w:val="nil"/>
              <w:left w:val="single" w:sz="4" w:space="0" w:color="000000"/>
              <w:bottom w:val="single" w:sz="4" w:space="0" w:color="000000"/>
              <w:right w:val="single" w:sz="4" w:space="0" w:color="000000"/>
            </w:tcBorders>
          </w:tcPr>
          <w:p w14:paraId="18DA9949" w14:textId="43A2AC70" w:rsidR="00BE0D14" w:rsidRDefault="005F177D" w:rsidP="00BE0D14">
            <w:pPr>
              <w:jc w:val="center"/>
              <w:rPr>
                <w:color w:val="000000"/>
                <w:sz w:val="18"/>
                <w:szCs w:val="18"/>
              </w:rPr>
            </w:pPr>
            <w:r w:rsidRPr="005F177D">
              <w:rPr>
                <w:rFonts w:asciiTheme="minorHAnsi" w:hAnsiTheme="minorHAnsi" w:cs="Calibri"/>
                <w:sz w:val="24"/>
              </w:rPr>
              <w:t>1 279,-</w:t>
            </w:r>
          </w:p>
        </w:tc>
        <w:tc>
          <w:tcPr>
            <w:tcW w:w="1418" w:type="dxa"/>
            <w:tcBorders>
              <w:top w:val="nil"/>
              <w:left w:val="single" w:sz="4" w:space="0" w:color="000000"/>
              <w:bottom w:val="single" w:sz="4" w:space="0" w:color="000000"/>
              <w:right w:val="single" w:sz="4" w:space="0" w:color="000000"/>
            </w:tcBorders>
          </w:tcPr>
          <w:p w14:paraId="072A0B6B" w14:textId="1A28A6EE" w:rsidR="00BE0D14" w:rsidRDefault="005F177D" w:rsidP="00BE0D14">
            <w:pPr>
              <w:jc w:val="center"/>
              <w:rPr>
                <w:color w:val="000000"/>
                <w:sz w:val="18"/>
                <w:szCs w:val="18"/>
              </w:rPr>
            </w:pPr>
            <w:r w:rsidRPr="005F177D">
              <w:rPr>
                <w:rFonts w:asciiTheme="minorHAnsi" w:hAnsiTheme="minorHAnsi" w:cs="Calibri"/>
                <w:sz w:val="24"/>
              </w:rPr>
              <w:t>268,59</w:t>
            </w:r>
          </w:p>
        </w:tc>
        <w:tc>
          <w:tcPr>
            <w:tcW w:w="1417" w:type="dxa"/>
            <w:tcBorders>
              <w:top w:val="nil"/>
              <w:left w:val="single" w:sz="4" w:space="0" w:color="000000"/>
              <w:bottom w:val="single" w:sz="4" w:space="0" w:color="000000"/>
              <w:right w:val="single" w:sz="4" w:space="0" w:color="000000"/>
            </w:tcBorders>
          </w:tcPr>
          <w:p w14:paraId="48B085E0" w14:textId="3E300DA1" w:rsidR="00BE0D14" w:rsidRPr="005F177D" w:rsidRDefault="005F177D" w:rsidP="00BE0D14">
            <w:pPr>
              <w:jc w:val="center"/>
              <w:rPr>
                <w:rFonts w:asciiTheme="minorHAnsi" w:hAnsiTheme="minorHAnsi" w:cs="Calibri"/>
                <w:sz w:val="24"/>
              </w:rPr>
            </w:pPr>
            <w:r w:rsidRPr="005F177D">
              <w:rPr>
                <w:rFonts w:asciiTheme="minorHAnsi" w:hAnsiTheme="minorHAnsi" w:cs="Calibri"/>
                <w:sz w:val="24"/>
              </w:rPr>
              <w:t>1 547,59</w:t>
            </w:r>
          </w:p>
        </w:tc>
        <w:tc>
          <w:tcPr>
            <w:tcW w:w="1417" w:type="dxa"/>
            <w:tcBorders>
              <w:top w:val="nil"/>
              <w:left w:val="single" w:sz="4" w:space="0" w:color="000000"/>
              <w:bottom w:val="single" w:sz="4" w:space="0" w:color="000000"/>
              <w:right w:val="single" w:sz="4" w:space="0" w:color="000000"/>
            </w:tcBorders>
          </w:tcPr>
          <w:p w14:paraId="7F6F3235" w14:textId="1AD4D80E" w:rsidR="00BE0D14" w:rsidRPr="005F177D" w:rsidRDefault="005F177D" w:rsidP="00BE0D14">
            <w:pPr>
              <w:jc w:val="center"/>
              <w:rPr>
                <w:rFonts w:asciiTheme="minorHAnsi" w:hAnsiTheme="minorHAnsi" w:cs="Calibri"/>
                <w:sz w:val="24"/>
              </w:rPr>
            </w:pPr>
            <w:r w:rsidRPr="005F177D">
              <w:rPr>
                <w:rFonts w:asciiTheme="minorHAnsi" w:hAnsiTheme="minorHAnsi" w:cs="Calibri"/>
                <w:sz w:val="24"/>
              </w:rPr>
              <w:t>10 833,13</w:t>
            </w:r>
          </w:p>
        </w:tc>
        <w:tc>
          <w:tcPr>
            <w:tcW w:w="1417" w:type="dxa"/>
            <w:tcBorders>
              <w:top w:val="nil"/>
              <w:left w:val="single" w:sz="4" w:space="0" w:color="000000"/>
              <w:bottom w:val="single" w:sz="4" w:space="0" w:color="000000"/>
              <w:right w:val="single" w:sz="4" w:space="0" w:color="000000"/>
            </w:tcBorders>
          </w:tcPr>
          <w:p w14:paraId="028FBFA1" w14:textId="678BC07D" w:rsidR="00BE0D14" w:rsidRPr="003C2732" w:rsidRDefault="00A9697B" w:rsidP="00BE0D14">
            <w:pPr>
              <w:jc w:val="center"/>
              <w:rPr>
                <w:color w:val="000000"/>
                <w:sz w:val="18"/>
                <w:szCs w:val="18"/>
              </w:rPr>
            </w:pPr>
            <w:r w:rsidRPr="00A9697B">
              <w:rPr>
                <w:rFonts w:asciiTheme="minorHAnsi" w:hAnsiTheme="minorHAnsi" w:cs="Calibri"/>
                <w:sz w:val="24"/>
              </w:rPr>
              <w:t>2 274,96</w:t>
            </w:r>
          </w:p>
        </w:tc>
        <w:tc>
          <w:tcPr>
            <w:tcW w:w="1417" w:type="dxa"/>
            <w:tcBorders>
              <w:top w:val="nil"/>
              <w:left w:val="single" w:sz="4" w:space="0" w:color="000000"/>
              <w:bottom w:val="single" w:sz="4" w:space="0" w:color="000000"/>
              <w:right w:val="single" w:sz="4" w:space="0" w:color="000000"/>
            </w:tcBorders>
          </w:tcPr>
          <w:p w14:paraId="14767FE1" w14:textId="4C715BB6" w:rsidR="00BE0D14" w:rsidRPr="003C2732" w:rsidRDefault="00A9697B" w:rsidP="00BE0D14">
            <w:pPr>
              <w:jc w:val="center"/>
              <w:rPr>
                <w:color w:val="000000"/>
                <w:sz w:val="18"/>
                <w:szCs w:val="18"/>
              </w:rPr>
            </w:pPr>
            <w:r w:rsidRPr="00A9697B">
              <w:rPr>
                <w:rFonts w:asciiTheme="minorHAnsi" w:hAnsiTheme="minorHAnsi" w:cs="Calibri"/>
                <w:sz w:val="24"/>
              </w:rPr>
              <w:t>13 108,08</w:t>
            </w:r>
          </w:p>
        </w:tc>
      </w:tr>
      <w:tr w:rsidR="00CD643C" w14:paraId="03F83D2F" w14:textId="77777777">
        <w:trPr>
          <w:trHeight w:val="566"/>
        </w:trPr>
        <w:tc>
          <w:tcPr>
            <w:tcW w:w="1575" w:type="dxa"/>
            <w:tcBorders>
              <w:top w:val="nil"/>
              <w:left w:val="single" w:sz="4" w:space="0" w:color="000000"/>
              <w:bottom w:val="single" w:sz="4" w:space="0" w:color="000000"/>
              <w:right w:val="single" w:sz="4" w:space="0" w:color="000000"/>
            </w:tcBorders>
            <w:vAlign w:val="center"/>
          </w:tcPr>
          <w:p w14:paraId="2EBD0D57" w14:textId="77777777" w:rsidR="00CD643C" w:rsidRDefault="00CD643C" w:rsidP="000C3BDA">
            <w:pPr>
              <w:rPr>
                <w:color w:val="000000"/>
                <w:sz w:val="18"/>
                <w:szCs w:val="18"/>
              </w:rPr>
            </w:pPr>
            <w:r w:rsidRPr="008708D1">
              <w:rPr>
                <w:color w:val="000000"/>
                <w:sz w:val="18"/>
                <w:szCs w:val="18"/>
              </w:rPr>
              <w:t>Microsoft 365 Business Premium</w:t>
            </w:r>
          </w:p>
        </w:tc>
        <w:tc>
          <w:tcPr>
            <w:tcW w:w="1059" w:type="dxa"/>
            <w:tcBorders>
              <w:top w:val="single" w:sz="4" w:space="0" w:color="000000"/>
              <w:left w:val="nil"/>
              <w:bottom w:val="single" w:sz="4" w:space="0" w:color="000000"/>
              <w:right w:val="single" w:sz="4" w:space="0" w:color="000000"/>
            </w:tcBorders>
            <w:vAlign w:val="center"/>
          </w:tcPr>
          <w:p w14:paraId="25B59481" w14:textId="77777777" w:rsidR="00CD643C" w:rsidRDefault="00CD643C" w:rsidP="000C3BDA">
            <w:pPr>
              <w:rPr>
                <w:color w:val="000000"/>
                <w:sz w:val="18"/>
                <w:szCs w:val="18"/>
              </w:rPr>
            </w:pPr>
            <w:r>
              <w:rPr>
                <w:color w:val="000000"/>
                <w:sz w:val="18"/>
                <w:szCs w:val="18"/>
              </w:rPr>
              <w:t>1 rok</w:t>
            </w:r>
          </w:p>
        </w:tc>
        <w:tc>
          <w:tcPr>
            <w:tcW w:w="1134" w:type="dxa"/>
            <w:vMerge/>
            <w:tcBorders>
              <w:left w:val="single" w:sz="4" w:space="0" w:color="000000"/>
              <w:right w:val="single" w:sz="4" w:space="0" w:color="000000"/>
            </w:tcBorders>
            <w:vAlign w:val="center"/>
          </w:tcPr>
          <w:p w14:paraId="420EE0CB" w14:textId="095BCA9B" w:rsidR="00CD643C" w:rsidRDefault="00CD643C" w:rsidP="000C3BDA">
            <w:pPr>
              <w:rPr>
                <w:color w:val="000000"/>
                <w:sz w:val="18"/>
                <w:szCs w:val="18"/>
              </w:rPr>
            </w:pPr>
          </w:p>
        </w:tc>
        <w:tc>
          <w:tcPr>
            <w:tcW w:w="500" w:type="dxa"/>
            <w:tcBorders>
              <w:top w:val="nil"/>
              <w:left w:val="single" w:sz="4" w:space="0" w:color="000000"/>
              <w:bottom w:val="single" w:sz="4" w:space="0" w:color="000000"/>
              <w:right w:val="single" w:sz="4" w:space="0" w:color="000000"/>
            </w:tcBorders>
            <w:vAlign w:val="center"/>
          </w:tcPr>
          <w:p w14:paraId="4FD2B3F9" w14:textId="0DF5A67F" w:rsidR="00CD643C" w:rsidRDefault="00CD643C" w:rsidP="000C3BDA">
            <w:pPr>
              <w:rPr>
                <w:color w:val="000000"/>
                <w:sz w:val="18"/>
                <w:szCs w:val="18"/>
              </w:rPr>
            </w:pPr>
            <w:r>
              <w:rPr>
                <w:color w:val="000000"/>
                <w:sz w:val="18"/>
                <w:szCs w:val="18"/>
              </w:rPr>
              <w:t>1</w:t>
            </w:r>
            <w:r w:rsidR="009917B0">
              <w:rPr>
                <w:color w:val="000000"/>
                <w:sz w:val="18"/>
                <w:szCs w:val="18"/>
              </w:rPr>
              <w:t>00</w:t>
            </w:r>
          </w:p>
        </w:tc>
        <w:tc>
          <w:tcPr>
            <w:tcW w:w="1559" w:type="dxa"/>
            <w:tcBorders>
              <w:top w:val="nil"/>
              <w:left w:val="single" w:sz="4" w:space="0" w:color="000000"/>
              <w:bottom w:val="single" w:sz="4" w:space="0" w:color="000000"/>
              <w:right w:val="single" w:sz="4" w:space="0" w:color="000000"/>
            </w:tcBorders>
          </w:tcPr>
          <w:p w14:paraId="3431B8A8" w14:textId="3FACF2E2" w:rsidR="00CD643C" w:rsidRDefault="00A9697B" w:rsidP="000C3BDA">
            <w:pPr>
              <w:jc w:val="center"/>
              <w:rPr>
                <w:color w:val="000000"/>
                <w:sz w:val="18"/>
                <w:szCs w:val="18"/>
              </w:rPr>
            </w:pPr>
            <w:r w:rsidRPr="00A9697B">
              <w:rPr>
                <w:rFonts w:asciiTheme="minorHAnsi" w:hAnsiTheme="minorHAnsi" w:cs="Calibri"/>
                <w:sz w:val="24"/>
              </w:rPr>
              <w:t>4 704,80</w:t>
            </w:r>
          </w:p>
        </w:tc>
        <w:tc>
          <w:tcPr>
            <w:tcW w:w="1418" w:type="dxa"/>
            <w:tcBorders>
              <w:top w:val="nil"/>
              <w:left w:val="single" w:sz="4" w:space="0" w:color="000000"/>
              <w:bottom w:val="single" w:sz="4" w:space="0" w:color="000000"/>
              <w:right w:val="single" w:sz="4" w:space="0" w:color="000000"/>
            </w:tcBorders>
          </w:tcPr>
          <w:p w14:paraId="124E5F02" w14:textId="08B98724" w:rsidR="00CD643C" w:rsidRDefault="00A9697B" w:rsidP="000C3BDA">
            <w:pPr>
              <w:jc w:val="center"/>
              <w:rPr>
                <w:color w:val="000000"/>
                <w:sz w:val="18"/>
                <w:szCs w:val="18"/>
              </w:rPr>
            </w:pPr>
            <w:r w:rsidRPr="00A9697B">
              <w:rPr>
                <w:rFonts w:asciiTheme="minorHAnsi" w:hAnsiTheme="minorHAnsi" w:cs="Calibri"/>
                <w:sz w:val="24"/>
              </w:rPr>
              <w:t>988,-</w:t>
            </w:r>
          </w:p>
        </w:tc>
        <w:tc>
          <w:tcPr>
            <w:tcW w:w="1417" w:type="dxa"/>
            <w:tcBorders>
              <w:top w:val="nil"/>
              <w:left w:val="single" w:sz="4" w:space="0" w:color="000000"/>
              <w:bottom w:val="single" w:sz="4" w:space="0" w:color="000000"/>
              <w:right w:val="single" w:sz="4" w:space="0" w:color="000000"/>
            </w:tcBorders>
          </w:tcPr>
          <w:p w14:paraId="7C70116B" w14:textId="4EB24122" w:rsidR="00CD643C" w:rsidRDefault="008670D8" w:rsidP="000C3BDA">
            <w:pPr>
              <w:jc w:val="center"/>
              <w:rPr>
                <w:color w:val="000000"/>
                <w:sz w:val="18"/>
                <w:szCs w:val="18"/>
              </w:rPr>
            </w:pPr>
            <w:r w:rsidRPr="008670D8">
              <w:rPr>
                <w:rFonts w:asciiTheme="minorHAnsi" w:hAnsiTheme="minorHAnsi" w:cs="Calibri"/>
                <w:sz w:val="24"/>
              </w:rPr>
              <w:t>5 692,80</w:t>
            </w:r>
          </w:p>
        </w:tc>
        <w:tc>
          <w:tcPr>
            <w:tcW w:w="1417" w:type="dxa"/>
            <w:tcBorders>
              <w:top w:val="nil"/>
              <w:left w:val="single" w:sz="4" w:space="0" w:color="000000"/>
              <w:bottom w:val="single" w:sz="4" w:space="0" w:color="000000"/>
              <w:right w:val="single" w:sz="4" w:space="0" w:color="000000"/>
            </w:tcBorders>
          </w:tcPr>
          <w:p w14:paraId="615A2138" w14:textId="7EA81DDC" w:rsidR="00CD643C" w:rsidRPr="003C2732" w:rsidRDefault="008670D8" w:rsidP="000C3BDA">
            <w:pPr>
              <w:jc w:val="center"/>
              <w:rPr>
                <w:color w:val="000000"/>
                <w:sz w:val="18"/>
                <w:szCs w:val="18"/>
              </w:rPr>
            </w:pPr>
            <w:r w:rsidRPr="008670D8">
              <w:rPr>
                <w:rFonts w:asciiTheme="minorHAnsi" w:hAnsiTheme="minorHAnsi" w:cs="Calibri"/>
                <w:sz w:val="24"/>
              </w:rPr>
              <w:t>470 480,-</w:t>
            </w:r>
          </w:p>
        </w:tc>
        <w:tc>
          <w:tcPr>
            <w:tcW w:w="1417" w:type="dxa"/>
            <w:tcBorders>
              <w:top w:val="nil"/>
              <w:left w:val="single" w:sz="4" w:space="0" w:color="000000"/>
              <w:bottom w:val="single" w:sz="4" w:space="0" w:color="000000"/>
              <w:right w:val="single" w:sz="4" w:space="0" w:color="000000"/>
            </w:tcBorders>
          </w:tcPr>
          <w:p w14:paraId="3578E535" w14:textId="5F656A58" w:rsidR="00CD643C" w:rsidRPr="003C2732" w:rsidRDefault="008670D8" w:rsidP="000C3BDA">
            <w:pPr>
              <w:jc w:val="center"/>
              <w:rPr>
                <w:color w:val="000000"/>
                <w:sz w:val="18"/>
                <w:szCs w:val="18"/>
              </w:rPr>
            </w:pPr>
            <w:r w:rsidRPr="008670D8">
              <w:rPr>
                <w:rFonts w:asciiTheme="minorHAnsi" w:hAnsiTheme="minorHAnsi" w:cs="Calibri"/>
                <w:sz w:val="24"/>
              </w:rPr>
              <w:t>98 800,80</w:t>
            </w:r>
          </w:p>
        </w:tc>
        <w:tc>
          <w:tcPr>
            <w:tcW w:w="1417" w:type="dxa"/>
            <w:tcBorders>
              <w:top w:val="nil"/>
              <w:left w:val="single" w:sz="4" w:space="0" w:color="000000"/>
              <w:bottom w:val="single" w:sz="4" w:space="0" w:color="000000"/>
              <w:right w:val="single" w:sz="4" w:space="0" w:color="000000"/>
            </w:tcBorders>
          </w:tcPr>
          <w:p w14:paraId="1F9A77F2" w14:textId="20809998" w:rsidR="00CD643C" w:rsidRPr="003C2732" w:rsidRDefault="008670D8" w:rsidP="000C3BDA">
            <w:pPr>
              <w:jc w:val="center"/>
              <w:rPr>
                <w:color w:val="000000"/>
                <w:sz w:val="18"/>
                <w:szCs w:val="18"/>
              </w:rPr>
            </w:pPr>
            <w:r w:rsidRPr="008670D8">
              <w:rPr>
                <w:rFonts w:asciiTheme="minorHAnsi" w:hAnsiTheme="minorHAnsi" w:cs="Calibri"/>
                <w:sz w:val="24"/>
              </w:rPr>
              <w:t>569 280,80</w:t>
            </w:r>
          </w:p>
        </w:tc>
      </w:tr>
      <w:tr w:rsidR="00CD643C" w14:paraId="7634305C" w14:textId="77777777">
        <w:trPr>
          <w:trHeight w:val="560"/>
        </w:trPr>
        <w:tc>
          <w:tcPr>
            <w:tcW w:w="1575" w:type="dxa"/>
            <w:tcBorders>
              <w:top w:val="nil"/>
              <w:left w:val="single" w:sz="4" w:space="0" w:color="000000"/>
              <w:bottom w:val="single" w:sz="4" w:space="0" w:color="auto"/>
              <w:right w:val="single" w:sz="4" w:space="0" w:color="000000"/>
            </w:tcBorders>
            <w:vAlign w:val="center"/>
          </w:tcPr>
          <w:p w14:paraId="654FE560" w14:textId="77777777" w:rsidR="00CD643C" w:rsidRDefault="00CD643C" w:rsidP="000C3BDA">
            <w:pPr>
              <w:rPr>
                <w:color w:val="000000"/>
                <w:sz w:val="18"/>
                <w:szCs w:val="18"/>
              </w:rPr>
            </w:pPr>
            <w:r w:rsidRPr="00FB35EE">
              <w:rPr>
                <w:color w:val="000000"/>
                <w:sz w:val="18"/>
                <w:szCs w:val="18"/>
              </w:rPr>
              <w:t>Microsoft 365 E5</w:t>
            </w:r>
          </w:p>
        </w:tc>
        <w:tc>
          <w:tcPr>
            <w:tcW w:w="1059" w:type="dxa"/>
            <w:tcBorders>
              <w:top w:val="single" w:sz="4" w:space="0" w:color="000000"/>
              <w:left w:val="nil"/>
              <w:bottom w:val="single" w:sz="4" w:space="0" w:color="auto"/>
              <w:right w:val="single" w:sz="4" w:space="0" w:color="000000"/>
            </w:tcBorders>
            <w:vAlign w:val="center"/>
          </w:tcPr>
          <w:p w14:paraId="451F81A5" w14:textId="77777777" w:rsidR="00CD643C" w:rsidRDefault="00CD643C" w:rsidP="000C3BDA">
            <w:pPr>
              <w:rPr>
                <w:color w:val="000000"/>
                <w:sz w:val="18"/>
                <w:szCs w:val="18"/>
              </w:rPr>
            </w:pPr>
            <w:r>
              <w:rPr>
                <w:color w:val="000000"/>
                <w:sz w:val="18"/>
                <w:szCs w:val="18"/>
              </w:rPr>
              <w:t>1 rok</w:t>
            </w:r>
          </w:p>
        </w:tc>
        <w:tc>
          <w:tcPr>
            <w:tcW w:w="1134" w:type="dxa"/>
            <w:vMerge/>
            <w:tcBorders>
              <w:left w:val="single" w:sz="4" w:space="0" w:color="000000"/>
              <w:right w:val="single" w:sz="4" w:space="0" w:color="000000"/>
            </w:tcBorders>
            <w:vAlign w:val="center"/>
          </w:tcPr>
          <w:p w14:paraId="64BD74C0" w14:textId="3CE17E49" w:rsidR="00CD643C" w:rsidRDefault="00CD643C" w:rsidP="000C3BDA">
            <w:pPr>
              <w:rPr>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14:paraId="5334D379" w14:textId="77777777" w:rsidR="00CD643C" w:rsidRDefault="00CD643C" w:rsidP="000C3BDA">
            <w:pPr>
              <w:rPr>
                <w:color w:val="000000"/>
                <w:sz w:val="18"/>
                <w:szCs w:val="18"/>
              </w:rPr>
            </w:pPr>
            <w:r>
              <w:rPr>
                <w:color w:val="000000"/>
                <w:sz w:val="18"/>
                <w:szCs w:val="18"/>
              </w:rPr>
              <w:t>2</w:t>
            </w:r>
          </w:p>
        </w:tc>
        <w:tc>
          <w:tcPr>
            <w:tcW w:w="1559" w:type="dxa"/>
            <w:tcBorders>
              <w:top w:val="nil"/>
              <w:left w:val="single" w:sz="4" w:space="0" w:color="000000"/>
              <w:bottom w:val="single" w:sz="4" w:space="0" w:color="auto"/>
              <w:right w:val="single" w:sz="4" w:space="0" w:color="000000"/>
            </w:tcBorders>
          </w:tcPr>
          <w:p w14:paraId="51A14A41" w14:textId="4B190BB7" w:rsidR="00CD643C" w:rsidRDefault="007005E1" w:rsidP="000C3BDA">
            <w:pPr>
              <w:jc w:val="center"/>
              <w:rPr>
                <w:color w:val="000000"/>
                <w:sz w:val="18"/>
                <w:szCs w:val="18"/>
              </w:rPr>
            </w:pPr>
            <w:r w:rsidRPr="007005E1">
              <w:rPr>
                <w:rFonts w:asciiTheme="minorHAnsi" w:hAnsiTheme="minorHAnsi" w:cs="Calibri"/>
                <w:sz w:val="24"/>
              </w:rPr>
              <w:t>13 178,-</w:t>
            </w:r>
          </w:p>
        </w:tc>
        <w:tc>
          <w:tcPr>
            <w:tcW w:w="1418" w:type="dxa"/>
            <w:tcBorders>
              <w:top w:val="nil"/>
              <w:left w:val="single" w:sz="4" w:space="0" w:color="000000"/>
              <w:bottom w:val="single" w:sz="4" w:space="0" w:color="auto"/>
              <w:right w:val="single" w:sz="4" w:space="0" w:color="000000"/>
            </w:tcBorders>
          </w:tcPr>
          <w:p w14:paraId="2CAC1834" w14:textId="2DBF5200" w:rsidR="00CD643C" w:rsidRDefault="007005E1" w:rsidP="000C3BDA">
            <w:pPr>
              <w:jc w:val="center"/>
              <w:rPr>
                <w:color w:val="000000"/>
                <w:sz w:val="18"/>
                <w:szCs w:val="18"/>
              </w:rPr>
            </w:pPr>
            <w:r w:rsidRPr="007005E1">
              <w:rPr>
                <w:rFonts w:asciiTheme="minorHAnsi" w:hAnsiTheme="minorHAnsi" w:cs="Calibri"/>
                <w:sz w:val="24"/>
              </w:rPr>
              <w:t>2 767,38</w:t>
            </w:r>
          </w:p>
        </w:tc>
        <w:tc>
          <w:tcPr>
            <w:tcW w:w="1417" w:type="dxa"/>
            <w:tcBorders>
              <w:top w:val="nil"/>
              <w:left w:val="single" w:sz="4" w:space="0" w:color="000000"/>
              <w:bottom w:val="single" w:sz="4" w:space="0" w:color="auto"/>
              <w:right w:val="single" w:sz="4" w:space="0" w:color="000000"/>
            </w:tcBorders>
          </w:tcPr>
          <w:p w14:paraId="0986F2BD" w14:textId="51331286" w:rsidR="00CD643C" w:rsidRDefault="007005E1" w:rsidP="000C3BDA">
            <w:pPr>
              <w:jc w:val="center"/>
              <w:rPr>
                <w:color w:val="000000"/>
                <w:sz w:val="18"/>
                <w:szCs w:val="18"/>
              </w:rPr>
            </w:pPr>
            <w:r w:rsidRPr="007005E1">
              <w:rPr>
                <w:rFonts w:asciiTheme="minorHAnsi" w:hAnsiTheme="minorHAnsi" w:cs="Calibri"/>
                <w:sz w:val="24"/>
              </w:rPr>
              <w:t>15 945,38</w:t>
            </w:r>
          </w:p>
        </w:tc>
        <w:tc>
          <w:tcPr>
            <w:tcW w:w="1417" w:type="dxa"/>
            <w:tcBorders>
              <w:top w:val="nil"/>
              <w:left w:val="single" w:sz="4" w:space="0" w:color="000000"/>
              <w:bottom w:val="single" w:sz="4" w:space="0" w:color="auto"/>
              <w:right w:val="single" w:sz="4" w:space="0" w:color="000000"/>
            </w:tcBorders>
          </w:tcPr>
          <w:p w14:paraId="0CC5D232" w14:textId="7E7D72DA" w:rsidR="00CD643C" w:rsidRPr="003C2732" w:rsidRDefault="007005E1" w:rsidP="000C3BDA">
            <w:pPr>
              <w:jc w:val="center"/>
              <w:rPr>
                <w:color w:val="000000"/>
                <w:sz w:val="18"/>
                <w:szCs w:val="18"/>
              </w:rPr>
            </w:pPr>
            <w:r w:rsidRPr="007005E1">
              <w:rPr>
                <w:rFonts w:asciiTheme="minorHAnsi" w:hAnsiTheme="minorHAnsi" w:cs="Calibri"/>
                <w:sz w:val="24"/>
              </w:rPr>
              <w:t>26 356,-</w:t>
            </w:r>
          </w:p>
        </w:tc>
        <w:tc>
          <w:tcPr>
            <w:tcW w:w="1417" w:type="dxa"/>
            <w:tcBorders>
              <w:top w:val="nil"/>
              <w:left w:val="single" w:sz="4" w:space="0" w:color="000000"/>
              <w:bottom w:val="single" w:sz="4" w:space="0" w:color="auto"/>
              <w:right w:val="single" w:sz="4" w:space="0" w:color="000000"/>
            </w:tcBorders>
          </w:tcPr>
          <w:p w14:paraId="34E03470" w14:textId="1B9CA9D7" w:rsidR="00CD643C" w:rsidRPr="003C2732" w:rsidRDefault="0096233E" w:rsidP="000C3BDA">
            <w:pPr>
              <w:jc w:val="center"/>
              <w:rPr>
                <w:color w:val="000000"/>
                <w:sz w:val="18"/>
                <w:szCs w:val="18"/>
              </w:rPr>
            </w:pPr>
            <w:r w:rsidRPr="0096233E">
              <w:rPr>
                <w:rFonts w:asciiTheme="minorHAnsi" w:hAnsiTheme="minorHAnsi" w:cs="Calibri"/>
                <w:sz w:val="24"/>
              </w:rPr>
              <w:t>5 534,76</w:t>
            </w:r>
          </w:p>
        </w:tc>
        <w:tc>
          <w:tcPr>
            <w:tcW w:w="1417" w:type="dxa"/>
            <w:tcBorders>
              <w:top w:val="nil"/>
              <w:left w:val="single" w:sz="4" w:space="0" w:color="000000"/>
              <w:bottom w:val="single" w:sz="4" w:space="0" w:color="auto"/>
              <w:right w:val="single" w:sz="4" w:space="0" w:color="000000"/>
            </w:tcBorders>
          </w:tcPr>
          <w:p w14:paraId="2ED9D7AF" w14:textId="2BBB53B6" w:rsidR="00CD643C" w:rsidRPr="003C2732" w:rsidRDefault="0096233E" w:rsidP="000C3BDA">
            <w:pPr>
              <w:jc w:val="center"/>
              <w:rPr>
                <w:color w:val="000000"/>
                <w:sz w:val="18"/>
                <w:szCs w:val="18"/>
              </w:rPr>
            </w:pPr>
            <w:r w:rsidRPr="0096233E">
              <w:rPr>
                <w:rFonts w:asciiTheme="minorHAnsi" w:hAnsiTheme="minorHAnsi" w:cs="Calibri"/>
                <w:sz w:val="24"/>
              </w:rPr>
              <w:t>31 890,76</w:t>
            </w:r>
          </w:p>
        </w:tc>
      </w:tr>
      <w:tr w:rsidR="00F52955" w14:paraId="49630CD6" w14:textId="77777777">
        <w:trPr>
          <w:trHeight w:val="560"/>
        </w:trPr>
        <w:tc>
          <w:tcPr>
            <w:tcW w:w="1575" w:type="dxa"/>
            <w:tcBorders>
              <w:top w:val="nil"/>
              <w:left w:val="single" w:sz="4" w:space="0" w:color="000000"/>
              <w:bottom w:val="single" w:sz="4" w:space="0" w:color="auto"/>
              <w:right w:val="single" w:sz="4" w:space="0" w:color="000000"/>
            </w:tcBorders>
            <w:vAlign w:val="center"/>
          </w:tcPr>
          <w:p w14:paraId="035FAF50" w14:textId="68028155" w:rsidR="00F52955" w:rsidRPr="00FB35EE" w:rsidRDefault="00F52955" w:rsidP="00F52955">
            <w:pPr>
              <w:rPr>
                <w:color w:val="000000"/>
                <w:sz w:val="18"/>
                <w:szCs w:val="18"/>
              </w:rPr>
            </w:pPr>
            <w:r>
              <w:rPr>
                <w:color w:val="000000"/>
                <w:sz w:val="18"/>
                <w:szCs w:val="18"/>
              </w:rPr>
              <w:t>Microsoft Teams Essentials</w:t>
            </w:r>
          </w:p>
        </w:tc>
        <w:tc>
          <w:tcPr>
            <w:tcW w:w="1059" w:type="dxa"/>
            <w:tcBorders>
              <w:top w:val="single" w:sz="4" w:space="0" w:color="000000"/>
              <w:left w:val="nil"/>
              <w:bottom w:val="single" w:sz="4" w:space="0" w:color="auto"/>
              <w:right w:val="single" w:sz="4" w:space="0" w:color="000000"/>
            </w:tcBorders>
            <w:vAlign w:val="center"/>
          </w:tcPr>
          <w:p w14:paraId="08D53F0C" w14:textId="2343C62B" w:rsidR="00F52955" w:rsidRDefault="00F52955" w:rsidP="00F52955">
            <w:pPr>
              <w:rPr>
                <w:color w:val="000000"/>
                <w:sz w:val="18"/>
                <w:szCs w:val="18"/>
              </w:rPr>
            </w:pPr>
            <w:r>
              <w:rPr>
                <w:color w:val="000000"/>
                <w:sz w:val="18"/>
                <w:szCs w:val="18"/>
              </w:rPr>
              <w:t>1 rok</w:t>
            </w:r>
          </w:p>
        </w:tc>
        <w:tc>
          <w:tcPr>
            <w:tcW w:w="1134" w:type="dxa"/>
            <w:vMerge/>
            <w:tcBorders>
              <w:left w:val="single" w:sz="4" w:space="0" w:color="000000"/>
              <w:right w:val="single" w:sz="4" w:space="0" w:color="000000"/>
            </w:tcBorders>
            <w:vAlign w:val="center"/>
          </w:tcPr>
          <w:p w14:paraId="77E05E90" w14:textId="77777777" w:rsidR="00F52955" w:rsidRDefault="00F52955" w:rsidP="00F52955">
            <w:pPr>
              <w:rPr>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14:paraId="7598A4C8" w14:textId="136D90CC" w:rsidR="00F52955" w:rsidRDefault="00F52955" w:rsidP="00F52955">
            <w:pPr>
              <w:rPr>
                <w:color w:val="000000"/>
                <w:sz w:val="18"/>
                <w:szCs w:val="18"/>
              </w:rPr>
            </w:pPr>
            <w:r>
              <w:rPr>
                <w:color w:val="000000"/>
                <w:sz w:val="18"/>
                <w:szCs w:val="18"/>
              </w:rPr>
              <w:t>2</w:t>
            </w:r>
          </w:p>
        </w:tc>
        <w:tc>
          <w:tcPr>
            <w:tcW w:w="1559" w:type="dxa"/>
            <w:tcBorders>
              <w:top w:val="nil"/>
              <w:left w:val="single" w:sz="4" w:space="0" w:color="000000"/>
              <w:bottom w:val="single" w:sz="4" w:space="0" w:color="auto"/>
              <w:right w:val="single" w:sz="4" w:space="0" w:color="000000"/>
            </w:tcBorders>
          </w:tcPr>
          <w:p w14:paraId="7BF69133" w14:textId="1EC209A2" w:rsidR="00F52955" w:rsidRPr="000A5DF0" w:rsidRDefault="0096233E" w:rsidP="00F52955">
            <w:pPr>
              <w:jc w:val="center"/>
              <w:rPr>
                <w:rFonts w:asciiTheme="minorHAnsi" w:hAnsiTheme="minorHAnsi" w:cs="Calibri"/>
                <w:sz w:val="24"/>
                <w:highlight w:val="yellow"/>
              </w:rPr>
            </w:pPr>
            <w:r w:rsidRPr="0096233E">
              <w:rPr>
                <w:rFonts w:asciiTheme="minorHAnsi" w:hAnsiTheme="minorHAnsi" w:cs="Calibri"/>
                <w:sz w:val="24"/>
              </w:rPr>
              <w:t>1 141,90</w:t>
            </w:r>
          </w:p>
        </w:tc>
        <w:tc>
          <w:tcPr>
            <w:tcW w:w="1418" w:type="dxa"/>
            <w:tcBorders>
              <w:top w:val="nil"/>
              <w:left w:val="single" w:sz="4" w:space="0" w:color="000000"/>
              <w:bottom w:val="single" w:sz="4" w:space="0" w:color="auto"/>
              <w:right w:val="single" w:sz="4" w:space="0" w:color="000000"/>
            </w:tcBorders>
          </w:tcPr>
          <w:p w14:paraId="3D2D5E2B" w14:textId="041CC908" w:rsidR="00F52955" w:rsidRPr="000A5DF0" w:rsidRDefault="0096233E" w:rsidP="00F52955">
            <w:pPr>
              <w:jc w:val="center"/>
              <w:rPr>
                <w:rFonts w:asciiTheme="minorHAnsi" w:hAnsiTheme="minorHAnsi" w:cs="Calibri"/>
                <w:sz w:val="24"/>
                <w:highlight w:val="yellow"/>
              </w:rPr>
            </w:pPr>
            <w:r w:rsidRPr="0096233E">
              <w:rPr>
                <w:rFonts w:asciiTheme="minorHAnsi" w:hAnsiTheme="minorHAnsi" w:cs="Calibri"/>
                <w:sz w:val="24"/>
              </w:rPr>
              <w:t>239,79</w:t>
            </w:r>
          </w:p>
        </w:tc>
        <w:tc>
          <w:tcPr>
            <w:tcW w:w="1417" w:type="dxa"/>
            <w:tcBorders>
              <w:top w:val="nil"/>
              <w:left w:val="single" w:sz="4" w:space="0" w:color="000000"/>
              <w:bottom w:val="single" w:sz="4" w:space="0" w:color="auto"/>
              <w:right w:val="single" w:sz="4" w:space="0" w:color="000000"/>
            </w:tcBorders>
          </w:tcPr>
          <w:p w14:paraId="10826F37" w14:textId="5D35DD5A" w:rsidR="00F52955" w:rsidRPr="000A5DF0" w:rsidRDefault="00C5128E" w:rsidP="00F52955">
            <w:pPr>
              <w:jc w:val="center"/>
              <w:rPr>
                <w:rFonts w:asciiTheme="minorHAnsi" w:hAnsiTheme="minorHAnsi" w:cs="Calibri"/>
                <w:sz w:val="24"/>
                <w:highlight w:val="yellow"/>
              </w:rPr>
            </w:pPr>
            <w:r w:rsidRPr="00C5128E">
              <w:rPr>
                <w:rFonts w:asciiTheme="minorHAnsi" w:hAnsiTheme="minorHAnsi" w:cs="Calibri"/>
                <w:sz w:val="24"/>
              </w:rPr>
              <w:t>1 381,69</w:t>
            </w:r>
          </w:p>
        </w:tc>
        <w:tc>
          <w:tcPr>
            <w:tcW w:w="1417" w:type="dxa"/>
            <w:tcBorders>
              <w:top w:val="nil"/>
              <w:left w:val="single" w:sz="4" w:space="0" w:color="000000"/>
              <w:bottom w:val="single" w:sz="4" w:space="0" w:color="auto"/>
              <w:right w:val="single" w:sz="4" w:space="0" w:color="000000"/>
            </w:tcBorders>
          </w:tcPr>
          <w:p w14:paraId="76F1516A" w14:textId="4F76F5C8" w:rsidR="00F52955" w:rsidRPr="000A5DF0" w:rsidRDefault="00C5128E" w:rsidP="00F52955">
            <w:pPr>
              <w:jc w:val="center"/>
              <w:rPr>
                <w:rFonts w:asciiTheme="minorHAnsi" w:hAnsiTheme="minorHAnsi" w:cs="Calibri"/>
                <w:sz w:val="24"/>
                <w:highlight w:val="yellow"/>
              </w:rPr>
            </w:pPr>
            <w:r w:rsidRPr="00C5128E">
              <w:rPr>
                <w:rFonts w:asciiTheme="minorHAnsi" w:hAnsiTheme="minorHAnsi" w:cs="Calibri"/>
                <w:sz w:val="24"/>
              </w:rPr>
              <w:t>2 283,8</w:t>
            </w:r>
            <w:r>
              <w:rPr>
                <w:rFonts w:asciiTheme="minorHAnsi" w:hAnsiTheme="minorHAnsi" w:cs="Calibri"/>
                <w:sz w:val="24"/>
              </w:rPr>
              <w:t>0</w:t>
            </w:r>
          </w:p>
        </w:tc>
        <w:tc>
          <w:tcPr>
            <w:tcW w:w="1417" w:type="dxa"/>
            <w:tcBorders>
              <w:top w:val="nil"/>
              <w:left w:val="single" w:sz="4" w:space="0" w:color="000000"/>
              <w:bottom w:val="single" w:sz="4" w:space="0" w:color="auto"/>
              <w:right w:val="single" w:sz="4" w:space="0" w:color="000000"/>
            </w:tcBorders>
          </w:tcPr>
          <w:p w14:paraId="22CD57CE" w14:textId="126C3B39" w:rsidR="00F52955" w:rsidRPr="000A5DF0" w:rsidRDefault="00C5128E" w:rsidP="00F52955">
            <w:pPr>
              <w:jc w:val="center"/>
              <w:rPr>
                <w:rFonts w:asciiTheme="minorHAnsi" w:hAnsiTheme="minorHAnsi" w:cs="Calibri"/>
                <w:sz w:val="24"/>
                <w:highlight w:val="yellow"/>
              </w:rPr>
            </w:pPr>
            <w:r w:rsidRPr="00C5128E">
              <w:rPr>
                <w:rFonts w:asciiTheme="minorHAnsi" w:hAnsiTheme="minorHAnsi" w:cs="Calibri"/>
                <w:sz w:val="24"/>
              </w:rPr>
              <w:t>479,59</w:t>
            </w:r>
          </w:p>
        </w:tc>
        <w:tc>
          <w:tcPr>
            <w:tcW w:w="1417" w:type="dxa"/>
            <w:tcBorders>
              <w:top w:val="nil"/>
              <w:left w:val="single" w:sz="4" w:space="0" w:color="000000"/>
              <w:bottom w:val="single" w:sz="4" w:space="0" w:color="auto"/>
              <w:right w:val="single" w:sz="4" w:space="0" w:color="000000"/>
            </w:tcBorders>
          </w:tcPr>
          <w:p w14:paraId="3AAE3CE6" w14:textId="30CA124B" w:rsidR="00F52955" w:rsidRPr="000A5DF0" w:rsidRDefault="00C5128E" w:rsidP="00F52955">
            <w:pPr>
              <w:jc w:val="center"/>
              <w:rPr>
                <w:rFonts w:asciiTheme="minorHAnsi" w:hAnsiTheme="minorHAnsi" w:cs="Calibri"/>
                <w:sz w:val="24"/>
                <w:highlight w:val="yellow"/>
              </w:rPr>
            </w:pPr>
            <w:r w:rsidRPr="00C5128E">
              <w:rPr>
                <w:rFonts w:asciiTheme="minorHAnsi" w:hAnsiTheme="minorHAnsi" w:cs="Calibri"/>
                <w:sz w:val="24"/>
              </w:rPr>
              <w:t>2 763,39</w:t>
            </w:r>
          </w:p>
        </w:tc>
      </w:tr>
      <w:tr w:rsidR="00F52955" w14:paraId="39A6F544" w14:textId="77777777">
        <w:trPr>
          <w:trHeight w:val="560"/>
        </w:trPr>
        <w:tc>
          <w:tcPr>
            <w:tcW w:w="1575" w:type="dxa"/>
            <w:tcBorders>
              <w:top w:val="nil"/>
              <w:left w:val="single" w:sz="4" w:space="0" w:color="000000"/>
              <w:bottom w:val="single" w:sz="4" w:space="0" w:color="auto"/>
              <w:right w:val="single" w:sz="4" w:space="0" w:color="000000"/>
            </w:tcBorders>
            <w:vAlign w:val="center"/>
          </w:tcPr>
          <w:p w14:paraId="56EDEABF" w14:textId="6824AE54" w:rsidR="00F52955" w:rsidRPr="00FB35EE" w:rsidRDefault="00F52955" w:rsidP="00F52955">
            <w:pPr>
              <w:rPr>
                <w:color w:val="000000"/>
                <w:sz w:val="18"/>
                <w:szCs w:val="18"/>
              </w:rPr>
            </w:pPr>
            <w:r>
              <w:rPr>
                <w:color w:val="000000"/>
                <w:sz w:val="18"/>
                <w:szCs w:val="18"/>
              </w:rPr>
              <w:t xml:space="preserve">Microsoft </w:t>
            </w:r>
            <w:proofErr w:type="spellStart"/>
            <w:r>
              <w:rPr>
                <w:color w:val="000000"/>
                <w:sz w:val="18"/>
                <w:szCs w:val="18"/>
              </w:rPr>
              <w:t>Copilot</w:t>
            </w:r>
            <w:proofErr w:type="spellEnd"/>
            <w:r>
              <w:rPr>
                <w:color w:val="000000"/>
                <w:sz w:val="18"/>
                <w:szCs w:val="18"/>
              </w:rPr>
              <w:t xml:space="preserve"> pro 365</w:t>
            </w:r>
          </w:p>
        </w:tc>
        <w:tc>
          <w:tcPr>
            <w:tcW w:w="1059" w:type="dxa"/>
            <w:tcBorders>
              <w:top w:val="single" w:sz="4" w:space="0" w:color="000000"/>
              <w:left w:val="nil"/>
              <w:bottom w:val="single" w:sz="4" w:space="0" w:color="auto"/>
              <w:right w:val="single" w:sz="4" w:space="0" w:color="000000"/>
            </w:tcBorders>
            <w:vAlign w:val="center"/>
          </w:tcPr>
          <w:p w14:paraId="00539588" w14:textId="21F14694" w:rsidR="00F52955" w:rsidRDefault="00F52955" w:rsidP="00F52955">
            <w:pPr>
              <w:rPr>
                <w:color w:val="000000"/>
                <w:sz w:val="18"/>
                <w:szCs w:val="18"/>
              </w:rPr>
            </w:pPr>
            <w:r>
              <w:rPr>
                <w:color w:val="000000"/>
                <w:sz w:val="18"/>
                <w:szCs w:val="18"/>
              </w:rPr>
              <w:t>1 rok</w:t>
            </w:r>
          </w:p>
        </w:tc>
        <w:tc>
          <w:tcPr>
            <w:tcW w:w="1134" w:type="dxa"/>
            <w:vMerge/>
            <w:tcBorders>
              <w:left w:val="single" w:sz="4" w:space="0" w:color="000000"/>
              <w:bottom w:val="single" w:sz="4" w:space="0" w:color="auto"/>
              <w:right w:val="single" w:sz="4" w:space="0" w:color="000000"/>
            </w:tcBorders>
            <w:vAlign w:val="center"/>
          </w:tcPr>
          <w:p w14:paraId="219C245A" w14:textId="19925617" w:rsidR="00F52955" w:rsidRPr="0005436C" w:rsidRDefault="00F52955" w:rsidP="00F52955">
            <w:pPr>
              <w:rPr>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14:paraId="7E2B4F09" w14:textId="00765454" w:rsidR="00F52955" w:rsidRDefault="00F52955" w:rsidP="00F52955">
            <w:pPr>
              <w:rPr>
                <w:color w:val="000000"/>
                <w:sz w:val="18"/>
                <w:szCs w:val="18"/>
              </w:rPr>
            </w:pPr>
            <w:r>
              <w:rPr>
                <w:color w:val="000000"/>
                <w:sz w:val="18"/>
                <w:szCs w:val="18"/>
              </w:rPr>
              <w:t>14</w:t>
            </w:r>
          </w:p>
        </w:tc>
        <w:tc>
          <w:tcPr>
            <w:tcW w:w="1559" w:type="dxa"/>
            <w:tcBorders>
              <w:top w:val="nil"/>
              <w:left w:val="single" w:sz="4" w:space="0" w:color="000000"/>
              <w:bottom w:val="single" w:sz="4" w:space="0" w:color="auto"/>
              <w:right w:val="single" w:sz="4" w:space="0" w:color="000000"/>
            </w:tcBorders>
          </w:tcPr>
          <w:p w14:paraId="5E83F94A" w14:textId="3F6F7C92" w:rsidR="00F52955" w:rsidRPr="000A5DF0" w:rsidRDefault="000278A9" w:rsidP="00F52955">
            <w:pPr>
              <w:jc w:val="center"/>
              <w:rPr>
                <w:rFonts w:asciiTheme="minorHAnsi" w:hAnsiTheme="minorHAnsi" w:cs="Calibri"/>
                <w:sz w:val="24"/>
                <w:highlight w:val="yellow"/>
              </w:rPr>
            </w:pPr>
            <w:r w:rsidRPr="000278A9">
              <w:rPr>
                <w:rFonts w:asciiTheme="minorHAnsi" w:hAnsiTheme="minorHAnsi" w:cs="Calibri"/>
                <w:sz w:val="24"/>
              </w:rPr>
              <w:t>5 191,-</w:t>
            </w:r>
          </w:p>
        </w:tc>
        <w:tc>
          <w:tcPr>
            <w:tcW w:w="1418" w:type="dxa"/>
            <w:tcBorders>
              <w:top w:val="nil"/>
              <w:left w:val="single" w:sz="4" w:space="0" w:color="000000"/>
              <w:bottom w:val="single" w:sz="4" w:space="0" w:color="auto"/>
              <w:right w:val="single" w:sz="4" w:space="0" w:color="000000"/>
            </w:tcBorders>
          </w:tcPr>
          <w:p w14:paraId="07FF70D1" w14:textId="148EABAD" w:rsidR="00F52955" w:rsidRPr="000A5DF0" w:rsidRDefault="000278A9" w:rsidP="00F52955">
            <w:pPr>
              <w:jc w:val="center"/>
              <w:rPr>
                <w:rFonts w:asciiTheme="minorHAnsi" w:hAnsiTheme="minorHAnsi" w:cs="Calibri"/>
                <w:sz w:val="24"/>
                <w:highlight w:val="yellow"/>
              </w:rPr>
            </w:pPr>
            <w:r w:rsidRPr="000278A9">
              <w:rPr>
                <w:rFonts w:asciiTheme="minorHAnsi" w:hAnsiTheme="minorHAnsi" w:cs="Calibri"/>
                <w:sz w:val="24"/>
              </w:rPr>
              <w:t>1 090,11</w:t>
            </w:r>
          </w:p>
        </w:tc>
        <w:tc>
          <w:tcPr>
            <w:tcW w:w="1417" w:type="dxa"/>
            <w:tcBorders>
              <w:top w:val="nil"/>
              <w:left w:val="single" w:sz="4" w:space="0" w:color="000000"/>
              <w:bottom w:val="single" w:sz="4" w:space="0" w:color="auto"/>
              <w:right w:val="single" w:sz="4" w:space="0" w:color="000000"/>
            </w:tcBorders>
          </w:tcPr>
          <w:p w14:paraId="6D97A8BC" w14:textId="0C68D6B7" w:rsidR="00F52955" w:rsidRPr="000A5DF0" w:rsidRDefault="000278A9" w:rsidP="00F52955">
            <w:pPr>
              <w:jc w:val="center"/>
              <w:rPr>
                <w:rFonts w:asciiTheme="minorHAnsi" w:hAnsiTheme="minorHAnsi" w:cs="Calibri"/>
                <w:sz w:val="24"/>
                <w:highlight w:val="yellow"/>
              </w:rPr>
            </w:pPr>
            <w:r w:rsidRPr="000278A9">
              <w:rPr>
                <w:rFonts w:asciiTheme="minorHAnsi" w:hAnsiTheme="minorHAnsi" w:cs="Calibri"/>
                <w:sz w:val="24"/>
              </w:rPr>
              <w:t>6 281,11</w:t>
            </w:r>
          </w:p>
        </w:tc>
        <w:tc>
          <w:tcPr>
            <w:tcW w:w="1417" w:type="dxa"/>
            <w:tcBorders>
              <w:top w:val="nil"/>
              <w:left w:val="single" w:sz="4" w:space="0" w:color="000000"/>
              <w:bottom w:val="single" w:sz="4" w:space="0" w:color="auto"/>
              <w:right w:val="single" w:sz="4" w:space="0" w:color="000000"/>
            </w:tcBorders>
          </w:tcPr>
          <w:p w14:paraId="6E3137F2" w14:textId="4644D927" w:rsidR="00F52955" w:rsidRPr="000A5DF0" w:rsidRDefault="000278A9" w:rsidP="00F52955">
            <w:pPr>
              <w:jc w:val="center"/>
              <w:rPr>
                <w:rFonts w:asciiTheme="minorHAnsi" w:hAnsiTheme="minorHAnsi" w:cs="Calibri"/>
                <w:sz w:val="24"/>
                <w:highlight w:val="yellow"/>
              </w:rPr>
            </w:pPr>
            <w:r w:rsidRPr="000278A9">
              <w:rPr>
                <w:rFonts w:asciiTheme="minorHAnsi" w:hAnsiTheme="minorHAnsi" w:cs="Calibri"/>
                <w:sz w:val="24"/>
              </w:rPr>
              <w:t>72 674,-</w:t>
            </w:r>
          </w:p>
        </w:tc>
        <w:tc>
          <w:tcPr>
            <w:tcW w:w="1417" w:type="dxa"/>
            <w:tcBorders>
              <w:top w:val="nil"/>
              <w:left w:val="single" w:sz="4" w:space="0" w:color="000000"/>
              <w:bottom w:val="single" w:sz="4" w:space="0" w:color="auto"/>
              <w:right w:val="single" w:sz="4" w:space="0" w:color="000000"/>
            </w:tcBorders>
          </w:tcPr>
          <w:p w14:paraId="713C1E4C" w14:textId="4C0F0B0B" w:rsidR="00F52955" w:rsidRPr="000A5DF0" w:rsidRDefault="000278A9" w:rsidP="00F52955">
            <w:pPr>
              <w:jc w:val="center"/>
              <w:rPr>
                <w:rFonts w:asciiTheme="minorHAnsi" w:hAnsiTheme="minorHAnsi" w:cs="Calibri"/>
                <w:sz w:val="24"/>
                <w:highlight w:val="yellow"/>
              </w:rPr>
            </w:pPr>
            <w:r w:rsidRPr="000278A9">
              <w:rPr>
                <w:rFonts w:asciiTheme="minorHAnsi" w:hAnsiTheme="minorHAnsi" w:cs="Calibri"/>
                <w:sz w:val="24"/>
              </w:rPr>
              <w:t>15 261,54</w:t>
            </w:r>
          </w:p>
        </w:tc>
        <w:tc>
          <w:tcPr>
            <w:tcW w:w="1417" w:type="dxa"/>
            <w:tcBorders>
              <w:top w:val="nil"/>
              <w:left w:val="single" w:sz="4" w:space="0" w:color="000000"/>
              <w:bottom w:val="single" w:sz="4" w:space="0" w:color="auto"/>
              <w:right w:val="single" w:sz="4" w:space="0" w:color="000000"/>
            </w:tcBorders>
          </w:tcPr>
          <w:p w14:paraId="2A632C4B" w14:textId="5A7A2E66" w:rsidR="00F52955" w:rsidRPr="000A5DF0" w:rsidRDefault="003F4AC2" w:rsidP="00F52955">
            <w:pPr>
              <w:jc w:val="center"/>
              <w:rPr>
                <w:rFonts w:asciiTheme="minorHAnsi" w:hAnsiTheme="minorHAnsi" w:cs="Calibri"/>
                <w:sz w:val="24"/>
                <w:highlight w:val="yellow"/>
              </w:rPr>
            </w:pPr>
            <w:r w:rsidRPr="003F4AC2">
              <w:rPr>
                <w:rFonts w:asciiTheme="minorHAnsi" w:hAnsiTheme="minorHAnsi" w:cs="Calibri"/>
                <w:sz w:val="24"/>
              </w:rPr>
              <w:t>87 935,54</w:t>
            </w:r>
          </w:p>
        </w:tc>
      </w:tr>
      <w:tr w:rsidR="00F52955" w14:paraId="419B0C09" w14:textId="77777777">
        <w:trPr>
          <w:trHeight w:val="840"/>
        </w:trPr>
        <w:tc>
          <w:tcPr>
            <w:tcW w:w="8662" w:type="dxa"/>
            <w:gridSpan w:val="7"/>
            <w:tcBorders>
              <w:top w:val="single" w:sz="4" w:space="0" w:color="auto"/>
              <w:left w:val="single" w:sz="4" w:space="0" w:color="auto"/>
              <w:bottom w:val="single" w:sz="4" w:space="0" w:color="auto"/>
              <w:right w:val="single" w:sz="4" w:space="0" w:color="auto"/>
            </w:tcBorders>
            <w:vAlign w:val="center"/>
          </w:tcPr>
          <w:p w14:paraId="4B3026D1" w14:textId="77777777" w:rsidR="00F52955" w:rsidRPr="002D0332" w:rsidRDefault="00F52955" w:rsidP="00F52955">
            <w:pPr>
              <w:jc w:val="center"/>
              <w:rPr>
                <w:b/>
                <w:bCs/>
                <w:color w:val="000000"/>
                <w:sz w:val="18"/>
                <w:szCs w:val="18"/>
              </w:rPr>
            </w:pPr>
            <w:r w:rsidRPr="002D0332">
              <w:rPr>
                <w:b/>
                <w:bCs/>
                <w:color w:val="000000"/>
                <w:sz w:val="18"/>
                <w:szCs w:val="18"/>
              </w:rPr>
              <w:t>CELKEM</w:t>
            </w:r>
          </w:p>
        </w:tc>
        <w:tc>
          <w:tcPr>
            <w:tcW w:w="1417" w:type="dxa"/>
            <w:tcBorders>
              <w:top w:val="single" w:sz="4" w:space="0" w:color="auto"/>
              <w:left w:val="single" w:sz="4" w:space="0" w:color="auto"/>
              <w:bottom w:val="single" w:sz="4" w:space="0" w:color="auto"/>
              <w:right w:val="single" w:sz="4" w:space="0" w:color="auto"/>
            </w:tcBorders>
          </w:tcPr>
          <w:p w14:paraId="789318F0" w14:textId="1DA6EEC0" w:rsidR="00F52955" w:rsidRPr="002D0332" w:rsidRDefault="003F4AC2" w:rsidP="00F52955">
            <w:pPr>
              <w:jc w:val="center"/>
              <w:rPr>
                <w:b/>
                <w:bCs/>
                <w:color w:val="000000"/>
                <w:sz w:val="18"/>
                <w:szCs w:val="18"/>
              </w:rPr>
            </w:pPr>
            <w:r w:rsidRPr="003F4AC2">
              <w:rPr>
                <w:rFonts w:asciiTheme="minorHAnsi" w:hAnsiTheme="minorHAnsi" w:cs="Calibri"/>
                <w:sz w:val="24"/>
              </w:rPr>
              <w:t>582 626,93</w:t>
            </w:r>
          </w:p>
        </w:tc>
        <w:tc>
          <w:tcPr>
            <w:tcW w:w="1417" w:type="dxa"/>
            <w:tcBorders>
              <w:top w:val="single" w:sz="4" w:space="0" w:color="auto"/>
              <w:left w:val="single" w:sz="4" w:space="0" w:color="auto"/>
              <w:bottom w:val="single" w:sz="4" w:space="0" w:color="auto"/>
              <w:right w:val="single" w:sz="4" w:space="0" w:color="auto"/>
            </w:tcBorders>
          </w:tcPr>
          <w:p w14:paraId="6E2F90C7" w14:textId="20ECB95B" w:rsidR="00F52955" w:rsidRPr="002D0332" w:rsidRDefault="003F4AC2" w:rsidP="00F52955">
            <w:pPr>
              <w:jc w:val="center"/>
              <w:rPr>
                <w:b/>
                <w:bCs/>
                <w:color w:val="000000"/>
                <w:sz w:val="18"/>
                <w:szCs w:val="18"/>
              </w:rPr>
            </w:pPr>
            <w:r w:rsidRPr="003F4AC2">
              <w:rPr>
                <w:rFonts w:asciiTheme="minorHAnsi" w:hAnsiTheme="minorHAnsi" w:cs="Calibri"/>
                <w:sz w:val="24"/>
              </w:rPr>
              <w:t>122 351,65</w:t>
            </w:r>
          </w:p>
        </w:tc>
        <w:tc>
          <w:tcPr>
            <w:tcW w:w="1417" w:type="dxa"/>
            <w:tcBorders>
              <w:top w:val="single" w:sz="4" w:space="0" w:color="auto"/>
              <w:left w:val="single" w:sz="4" w:space="0" w:color="auto"/>
              <w:bottom w:val="single" w:sz="4" w:space="0" w:color="auto"/>
              <w:right w:val="single" w:sz="4" w:space="0" w:color="auto"/>
            </w:tcBorders>
          </w:tcPr>
          <w:p w14:paraId="6368ABFE" w14:textId="5D091A8C" w:rsidR="00F52955" w:rsidRPr="002D0332" w:rsidRDefault="003F4AC2" w:rsidP="00F52955">
            <w:pPr>
              <w:jc w:val="center"/>
              <w:rPr>
                <w:b/>
                <w:bCs/>
                <w:color w:val="000000"/>
                <w:sz w:val="18"/>
                <w:szCs w:val="18"/>
              </w:rPr>
            </w:pPr>
            <w:r w:rsidRPr="003F4AC2">
              <w:rPr>
                <w:rFonts w:asciiTheme="minorHAnsi" w:hAnsiTheme="minorHAnsi" w:cs="Calibri"/>
                <w:sz w:val="24"/>
              </w:rPr>
              <w:t>704 978,58</w:t>
            </w:r>
          </w:p>
        </w:tc>
      </w:tr>
    </w:tbl>
    <w:p w14:paraId="0AACC09E" w14:textId="77777777" w:rsidR="000C3BDA" w:rsidRDefault="000C3BDA"/>
    <w:sectPr w:rsidR="000C3BDA" w:rsidSect="00FF34B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FBC1" w14:textId="77777777" w:rsidR="00693791" w:rsidRDefault="00693791" w:rsidP="006C3D24">
      <w:pPr>
        <w:spacing w:line="240" w:lineRule="auto"/>
      </w:pPr>
      <w:r>
        <w:separator/>
      </w:r>
    </w:p>
  </w:endnote>
  <w:endnote w:type="continuationSeparator" w:id="0">
    <w:p w14:paraId="4E5C1E39" w14:textId="77777777" w:rsidR="00693791" w:rsidRDefault="00693791" w:rsidP="006C3D24">
      <w:pPr>
        <w:spacing w:line="240" w:lineRule="auto"/>
      </w:pPr>
      <w:r>
        <w:continuationSeparator/>
      </w:r>
    </w:p>
  </w:endnote>
  <w:endnote w:type="continuationNotice" w:id="1">
    <w:p w14:paraId="076CC33A" w14:textId="77777777" w:rsidR="00693791" w:rsidRDefault="006937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alibr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B7D9" w14:textId="77777777" w:rsidR="00693791" w:rsidRDefault="00693791" w:rsidP="006C3D24">
      <w:pPr>
        <w:spacing w:line="240" w:lineRule="auto"/>
      </w:pPr>
      <w:r>
        <w:separator/>
      </w:r>
    </w:p>
  </w:footnote>
  <w:footnote w:type="continuationSeparator" w:id="0">
    <w:p w14:paraId="32CBC104" w14:textId="77777777" w:rsidR="00693791" w:rsidRDefault="00693791" w:rsidP="006C3D24">
      <w:pPr>
        <w:spacing w:line="240" w:lineRule="auto"/>
      </w:pPr>
      <w:r>
        <w:continuationSeparator/>
      </w:r>
    </w:p>
  </w:footnote>
  <w:footnote w:type="continuationNotice" w:id="1">
    <w:p w14:paraId="3CE33AA7" w14:textId="77777777" w:rsidR="00693791" w:rsidRDefault="006937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lvl>
    <w:lvl w:ilvl="2">
      <w:start w:val="1"/>
      <w:numFmt w:val="lowerRoman"/>
      <w:lvlText w:val="%3)"/>
      <w:lvlJc w:val="left"/>
      <w:pPr>
        <w:tabs>
          <w:tab w:val="num" w:pos="792"/>
        </w:tabs>
        <w:ind w:left="792" w:hanging="360"/>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927"/>
        </w:tabs>
        <w:ind w:left="927" w:hanging="360"/>
      </w:pPr>
    </w:lvl>
    <w:lvl w:ilvl="8">
      <w:start w:val="1"/>
      <w:numFmt w:val="lowerRoman"/>
      <w:lvlText w:val="%9."/>
      <w:lvlJc w:val="left"/>
      <w:pPr>
        <w:tabs>
          <w:tab w:val="num" w:pos="2952"/>
        </w:tabs>
        <w:ind w:left="2952" w:hanging="360"/>
      </w:p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b w:val="0"/>
        <w:sz w:val="24"/>
        <w:szCs w:val="24"/>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b w:val="0"/>
        <w:sz w:val="24"/>
        <w:szCs w:val="24"/>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b w:val="0"/>
        <w:sz w:val="24"/>
        <w:szCs w:val="24"/>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start w:val="1"/>
      <w:numFmt w:val="lowerRoman"/>
      <w:lvlText w:val="%9."/>
      <w:lvlJc w:val="right"/>
      <w:pPr>
        <w:tabs>
          <w:tab w:val="num" w:pos="6196"/>
        </w:tabs>
        <w:ind w:left="6196" w:hanging="180"/>
      </w:pPr>
    </w:lvl>
  </w:abstractNum>
  <w:abstractNum w:abstractNumId="5" w15:restartNumberingAfterBreak="0">
    <w:nsid w:val="355B3531"/>
    <w:multiLevelType w:val="multilevel"/>
    <w:tmpl w:val="7C46307A"/>
    <w:lvl w:ilvl="0">
      <w:start w:val="1"/>
      <w:numFmt w:val="decimal"/>
      <w:lvlText w:val="%1."/>
      <w:lvlJc w:val="left"/>
      <w:pPr>
        <w:ind w:left="676" w:hanging="360"/>
      </w:pPr>
      <w:rPr>
        <w:rFonts w:ascii="Arial" w:eastAsia="Times New Roman" w:hAnsi="Arial" w:cs="Arial" w:hint="default"/>
        <w:b/>
        <w:bCs/>
        <w:spacing w:val="-1"/>
        <w:w w:val="100"/>
        <w:sz w:val="22"/>
        <w:szCs w:val="22"/>
      </w:rPr>
    </w:lvl>
    <w:lvl w:ilvl="1">
      <w:start w:val="1"/>
      <w:numFmt w:val="decimal"/>
      <w:lvlText w:val="%1.%2."/>
      <w:lvlJc w:val="left"/>
      <w:pPr>
        <w:ind w:left="1310" w:hanging="634"/>
      </w:pPr>
      <w:rPr>
        <w:rFonts w:ascii="Arial" w:eastAsia="Times New Roman" w:hAnsi="Arial" w:cs="Arial" w:hint="default"/>
        <w:w w:val="100"/>
        <w:sz w:val="22"/>
        <w:szCs w:val="22"/>
      </w:rPr>
    </w:lvl>
    <w:lvl w:ilvl="2">
      <w:start w:val="1"/>
      <w:numFmt w:val="lowerLetter"/>
      <w:lvlText w:val="%3)"/>
      <w:lvlJc w:val="left"/>
      <w:pPr>
        <w:ind w:left="1734" w:hanging="425"/>
      </w:pPr>
      <w:rPr>
        <w:rFonts w:ascii="Arial" w:eastAsia="Times New Roman" w:hAnsi="Arial" w:cs="Arial" w:hint="default"/>
        <w:spacing w:val="-1"/>
        <w:w w:val="100"/>
        <w:sz w:val="22"/>
        <w:szCs w:val="22"/>
      </w:rPr>
    </w:lvl>
    <w:lvl w:ilvl="3">
      <w:numFmt w:val="bullet"/>
      <w:lvlText w:val="•"/>
      <w:lvlJc w:val="left"/>
      <w:pPr>
        <w:ind w:left="2723" w:hanging="425"/>
      </w:pPr>
      <w:rPr>
        <w:rFonts w:hint="default"/>
      </w:rPr>
    </w:lvl>
    <w:lvl w:ilvl="4">
      <w:numFmt w:val="bullet"/>
      <w:lvlText w:val="•"/>
      <w:lvlJc w:val="left"/>
      <w:pPr>
        <w:ind w:left="3706" w:hanging="425"/>
      </w:pPr>
      <w:rPr>
        <w:rFonts w:hint="default"/>
      </w:rPr>
    </w:lvl>
    <w:lvl w:ilvl="5">
      <w:numFmt w:val="bullet"/>
      <w:lvlText w:val="•"/>
      <w:lvlJc w:val="left"/>
      <w:pPr>
        <w:ind w:left="4689" w:hanging="425"/>
      </w:pPr>
      <w:rPr>
        <w:rFonts w:hint="default"/>
      </w:rPr>
    </w:lvl>
    <w:lvl w:ilvl="6">
      <w:numFmt w:val="bullet"/>
      <w:lvlText w:val="•"/>
      <w:lvlJc w:val="left"/>
      <w:pPr>
        <w:ind w:left="5673" w:hanging="425"/>
      </w:pPr>
      <w:rPr>
        <w:rFonts w:hint="default"/>
      </w:rPr>
    </w:lvl>
    <w:lvl w:ilvl="7">
      <w:numFmt w:val="bullet"/>
      <w:lvlText w:val="•"/>
      <w:lvlJc w:val="left"/>
      <w:pPr>
        <w:ind w:left="6656" w:hanging="425"/>
      </w:pPr>
      <w:rPr>
        <w:rFonts w:hint="default"/>
      </w:rPr>
    </w:lvl>
    <w:lvl w:ilvl="8">
      <w:numFmt w:val="bullet"/>
      <w:lvlText w:val="•"/>
      <w:lvlJc w:val="left"/>
      <w:pPr>
        <w:ind w:left="7639" w:hanging="425"/>
      </w:pPr>
      <w:rPr>
        <w:rFonts w:hint="default"/>
      </w:rPr>
    </w:lvl>
  </w:abstractNum>
  <w:abstractNum w:abstractNumId="6"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lvl>
    <w:lvl w:ilvl="2">
      <w:start w:val="1"/>
      <w:numFmt w:val="lowerRoman"/>
      <w:lvlText w:val="%3)"/>
      <w:lvlJc w:val="left"/>
      <w:pPr>
        <w:tabs>
          <w:tab w:val="num" w:pos="792"/>
        </w:tabs>
        <w:ind w:left="792" w:hanging="360"/>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927"/>
        </w:tabs>
        <w:ind w:left="927" w:hanging="360"/>
      </w:pPr>
    </w:lvl>
    <w:lvl w:ilvl="8">
      <w:start w:val="1"/>
      <w:numFmt w:val="lowerRoman"/>
      <w:lvlText w:val="%9."/>
      <w:lvlJc w:val="left"/>
      <w:pPr>
        <w:tabs>
          <w:tab w:val="num" w:pos="2952"/>
        </w:tabs>
        <w:ind w:left="2952" w:hanging="360"/>
      </w:pPr>
    </w:lvl>
  </w:abstractNum>
  <w:abstractNum w:abstractNumId="7"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start w:val="1"/>
      <w:numFmt w:val="lowerRoman"/>
      <w:lvlText w:val="%9."/>
      <w:lvlJc w:val="right"/>
      <w:pPr>
        <w:tabs>
          <w:tab w:val="num" w:pos="6196"/>
        </w:tabs>
        <w:ind w:left="6196" w:hanging="180"/>
      </w:pPr>
    </w:lvl>
  </w:abstractNum>
  <w:abstractNum w:abstractNumId="8" w15:restartNumberingAfterBreak="0">
    <w:nsid w:val="50DE10F0"/>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2C06394"/>
    <w:multiLevelType w:val="hybridMultilevel"/>
    <w:tmpl w:val="7F64A6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8753F18"/>
    <w:multiLevelType w:val="multilevel"/>
    <w:tmpl w:val="C3F64334"/>
    <w:lvl w:ilvl="0">
      <w:start w:val="1"/>
      <w:numFmt w:val="decimal"/>
      <w:pStyle w:val="Nadpis1"/>
      <w:lvlText w:val="%1"/>
      <w:lvlJc w:val="left"/>
      <w:pPr>
        <w:tabs>
          <w:tab w:val="num" w:pos="432"/>
        </w:tabs>
        <w:ind w:left="432" w:hanging="432"/>
      </w:pPr>
      <w:rPr>
        <w:color w:val="auto"/>
      </w:rPr>
    </w:lvl>
    <w:lvl w:ilvl="1">
      <w:start w:val="1"/>
      <w:numFmt w:val="decimal"/>
      <w:pStyle w:val="Nadpis2"/>
      <w:lvlText w:val="%1.%2"/>
      <w:lvlJc w:val="left"/>
      <w:pPr>
        <w:tabs>
          <w:tab w:val="num" w:pos="1002"/>
        </w:tabs>
        <w:ind w:left="1002" w:hanging="576"/>
      </w:pPr>
      <w:rPr>
        <w:rFonts w:ascii="Calibri" w:hAnsi="Calibri" w:cs="Calibri" w:hint="default"/>
        <w:i w:val="0"/>
        <w:sz w:val="24"/>
        <w:szCs w:val="24"/>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6B3C3AC8"/>
    <w:multiLevelType w:val="hybridMultilevel"/>
    <w:tmpl w:val="7F64A6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6F710D79"/>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A85085DE">
      <w:start w:val="1"/>
      <w:numFmt w:val="lowerLetter"/>
      <w:lvlText w:val="%2)"/>
      <w:lvlJc w:val="left"/>
      <w:pPr>
        <w:tabs>
          <w:tab w:val="num" w:pos="927"/>
        </w:tabs>
        <w:ind w:left="927" w:hanging="360"/>
      </w:p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start w:val="1"/>
      <w:numFmt w:val="lowerRoman"/>
      <w:lvlText w:val="%9."/>
      <w:lvlJc w:val="right"/>
      <w:pPr>
        <w:tabs>
          <w:tab w:val="num" w:pos="6196"/>
        </w:tabs>
        <w:ind w:left="6196" w:hanging="180"/>
      </w:pPr>
    </w:lvl>
  </w:abstractNum>
  <w:num w:numId="1" w16cid:durableId="1525902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446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6018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631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788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407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521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011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6680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7759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71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100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63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124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5915223">
    <w:abstractNumId w:val="5"/>
  </w:num>
  <w:num w:numId="16" w16cid:durableId="889611874">
    <w:abstractNumId w:val="1"/>
  </w:num>
  <w:num w:numId="17" w16cid:durableId="876501816">
    <w:abstractNumId w:val="3"/>
  </w:num>
  <w:num w:numId="18" w16cid:durableId="1822964902">
    <w:abstractNumId w:val="12"/>
  </w:num>
  <w:num w:numId="19" w16cid:durableId="718939562">
    <w:abstractNumId w:val="7"/>
    <w:lvlOverride w:ilvl="0">
      <w:startOverride w:val="1"/>
    </w:lvlOverride>
  </w:num>
  <w:num w:numId="20" w16cid:durableId="900554877">
    <w:abstractNumId w:val="11"/>
  </w:num>
  <w:num w:numId="21" w16cid:durableId="1611666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01338">
    <w:abstractNumId w:val="6"/>
  </w:num>
  <w:num w:numId="23" w16cid:durableId="1635020592">
    <w:abstractNumId w:val="9"/>
  </w:num>
  <w:num w:numId="24" w16cid:durableId="50537997">
    <w:abstractNumId w:val="10"/>
  </w:num>
  <w:num w:numId="25" w16cid:durableId="2003653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6735298">
    <w:abstractNumId w:val="13"/>
  </w:num>
  <w:num w:numId="27" w16cid:durableId="376012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9229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C3"/>
    <w:rsid w:val="000123C8"/>
    <w:rsid w:val="00012E85"/>
    <w:rsid w:val="000278A9"/>
    <w:rsid w:val="00034B18"/>
    <w:rsid w:val="00040079"/>
    <w:rsid w:val="00061C18"/>
    <w:rsid w:val="00076D6F"/>
    <w:rsid w:val="00082C80"/>
    <w:rsid w:val="00082DED"/>
    <w:rsid w:val="0008697E"/>
    <w:rsid w:val="0009354E"/>
    <w:rsid w:val="000B1A7B"/>
    <w:rsid w:val="000C3BDA"/>
    <w:rsid w:val="000C5BDA"/>
    <w:rsid w:val="000C74DC"/>
    <w:rsid w:val="000F50AB"/>
    <w:rsid w:val="0010705E"/>
    <w:rsid w:val="00127116"/>
    <w:rsid w:val="001324F3"/>
    <w:rsid w:val="00147518"/>
    <w:rsid w:val="00175D64"/>
    <w:rsid w:val="001B11D6"/>
    <w:rsid w:val="001D1407"/>
    <w:rsid w:val="001D7F74"/>
    <w:rsid w:val="001F49E1"/>
    <w:rsid w:val="001F603A"/>
    <w:rsid w:val="00200685"/>
    <w:rsid w:val="002461FB"/>
    <w:rsid w:val="00255AB1"/>
    <w:rsid w:val="0028092E"/>
    <w:rsid w:val="00281CC3"/>
    <w:rsid w:val="00283CB3"/>
    <w:rsid w:val="0029250C"/>
    <w:rsid w:val="00296576"/>
    <w:rsid w:val="002D4902"/>
    <w:rsid w:val="002F2835"/>
    <w:rsid w:val="00302D07"/>
    <w:rsid w:val="0032012B"/>
    <w:rsid w:val="00333D85"/>
    <w:rsid w:val="003476A7"/>
    <w:rsid w:val="00364253"/>
    <w:rsid w:val="003807E4"/>
    <w:rsid w:val="00382710"/>
    <w:rsid w:val="00386E04"/>
    <w:rsid w:val="003A4221"/>
    <w:rsid w:val="003D2E2C"/>
    <w:rsid w:val="003D5E98"/>
    <w:rsid w:val="003D715C"/>
    <w:rsid w:val="003E302B"/>
    <w:rsid w:val="003E74A3"/>
    <w:rsid w:val="003F4AC2"/>
    <w:rsid w:val="003F6DEE"/>
    <w:rsid w:val="00411612"/>
    <w:rsid w:val="00424C1F"/>
    <w:rsid w:val="004374B8"/>
    <w:rsid w:val="00455076"/>
    <w:rsid w:val="004663D2"/>
    <w:rsid w:val="004773D3"/>
    <w:rsid w:val="00497100"/>
    <w:rsid w:val="004A0E7E"/>
    <w:rsid w:val="004A222A"/>
    <w:rsid w:val="004B2238"/>
    <w:rsid w:val="004C75D1"/>
    <w:rsid w:val="004D68BF"/>
    <w:rsid w:val="004E095F"/>
    <w:rsid w:val="004F169B"/>
    <w:rsid w:val="004F3ACF"/>
    <w:rsid w:val="00500B5C"/>
    <w:rsid w:val="005217F6"/>
    <w:rsid w:val="0052792A"/>
    <w:rsid w:val="00547315"/>
    <w:rsid w:val="00553262"/>
    <w:rsid w:val="00557461"/>
    <w:rsid w:val="00573F9E"/>
    <w:rsid w:val="005775CD"/>
    <w:rsid w:val="00591FB8"/>
    <w:rsid w:val="005A7C34"/>
    <w:rsid w:val="005C40F6"/>
    <w:rsid w:val="005F177D"/>
    <w:rsid w:val="006009DB"/>
    <w:rsid w:val="00621EF5"/>
    <w:rsid w:val="00632ADD"/>
    <w:rsid w:val="00636FD9"/>
    <w:rsid w:val="006470DE"/>
    <w:rsid w:val="0065004C"/>
    <w:rsid w:val="00675236"/>
    <w:rsid w:val="00682057"/>
    <w:rsid w:val="006850C2"/>
    <w:rsid w:val="00693791"/>
    <w:rsid w:val="00693B16"/>
    <w:rsid w:val="006A0CBA"/>
    <w:rsid w:val="006C3D24"/>
    <w:rsid w:val="006C665A"/>
    <w:rsid w:val="006D0820"/>
    <w:rsid w:val="006D0BB7"/>
    <w:rsid w:val="006D550D"/>
    <w:rsid w:val="006E6AEF"/>
    <w:rsid w:val="007005E1"/>
    <w:rsid w:val="00715364"/>
    <w:rsid w:val="00723833"/>
    <w:rsid w:val="0073410A"/>
    <w:rsid w:val="00736C99"/>
    <w:rsid w:val="00741EC1"/>
    <w:rsid w:val="007610D0"/>
    <w:rsid w:val="00795B81"/>
    <w:rsid w:val="007A501E"/>
    <w:rsid w:val="007A5907"/>
    <w:rsid w:val="007E32B8"/>
    <w:rsid w:val="007F66C9"/>
    <w:rsid w:val="007F7F6F"/>
    <w:rsid w:val="00813FC2"/>
    <w:rsid w:val="008329F3"/>
    <w:rsid w:val="00843C46"/>
    <w:rsid w:val="00855937"/>
    <w:rsid w:val="008670D8"/>
    <w:rsid w:val="00883513"/>
    <w:rsid w:val="008863A2"/>
    <w:rsid w:val="0089351B"/>
    <w:rsid w:val="008959CA"/>
    <w:rsid w:val="008C65E2"/>
    <w:rsid w:val="008E3D15"/>
    <w:rsid w:val="00900AE7"/>
    <w:rsid w:val="00902A35"/>
    <w:rsid w:val="0090416C"/>
    <w:rsid w:val="00912F30"/>
    <w:rsid w:val="0096233E"/>
    <w:rsid w:val="00987094"/>
    <w:rsid w:val="009917B0"/>
    <w:rsid w:val="00991B1D"/>
    <w:rsid w:val="009923FC"/>
    <w:rsid w:val="009B4647"/>
    <w:rsid w:val="009B4DEE"/>
    <w:rsid w:val="009B69E5"/>
    <w:rsid w:val="009C5502"/>
    <w:rsid w:val="009D112F"/>
    <w:rsid w:val="00A0108C"/>
    <w:rsid w:val="00A07855"/>
    <w:rsid w:val="00A123CC"/>
    <w:rsid w:val="00A37D0C"/>
    <w:rsid w:val="00A57A80"/>
    <w:rsid w:val="00A90763"/>
    <w:rsid w:val="00A9697B"/>
    <w:rsid w:val="00A971B0"/>
    <w:rsid w:val="00A9773D"/>
    <w:rsid w:val="00AB00BA"/>
    <w:rsid w:val="00AB0A10"/>
    <w:rsid w:val="00AB7E50"/>
    <w:rsid w:val="00AD4B4B"/>
    <w:rsid w:val="00AE2C15"/>
    <w:rsid w:val="00AE3632"/>
    <w:rsid w:val="00B17D6D"/>
    <w:rsid w:val="00B2528E"/>
    <w:rsid w:val="00B40ABD"/>
    <w:rsid w:val="00B50EFB"/>
    <w:rsid w:val="00B5331F"/>
    <w:rsid w:val="00B60CBC"/>
    <w:rsid w:val="00B64358"/>
    <w:rsid w:val="00B67985"/>
    <w:rsid w:val="00B80E3D"/>
    <w:rsid w:val="00B81CBF"/>
    <w:rsid w:val="00B84A7F"/>
    <w:rsid w:val="00B90B19"/>
    <w:rsid w:val="00BA1743"/>
    <w:rsid w:val="00BE0D14"/>
    <w:rsid w:val="00BE7EAA"/>
    <w:rsid w:val="00C04C5D"/>
    <w:rsid w:val="00C06A5C"/>
    <w:rsid w:val="00C11EBC"/>
    <w:rsid w:val="00C25601"/>
    <w:rsid w:val="00C41351"/>
    <w:rsid w:val="00C5128E"/>
    <w:rsid w:val="00CA059C"/>
    <w:rsid w:val="00CA327A"/>
    <w:rsid w:val="00CA3A31"/>
    <w:rsid w:val="00CC41CB"/>
    <w:rsid w:val="00CD643C"/>
    <w:rsid w:val="00CE211A"/>
    <w:rsid w:val="00CF01C7"/>
    <w:rsid w:val="00CF0FA8"/>
    <w:rsid w:val="00D03DD1"/>
    <w:rsid w:val="00D26372"/>
    <w:rsid w:val="00D60A53"/>
    <w:rsid w:val="00D618EC"/>
    <w:rsid w:val="00D873BE"/>
    <w:rsid w:val="00DA183B"/>
    <w:rsid w:val="00DA395C"/>
    <w:rsid w:val="00DB0800"/>
    <w:rsid w:val="00DB3BCF"/>
    <w:rsid w:val="00DC2181"/>
    <w:rsid w:val="00E15067"/>
    <w:rsid w:val="00E3177F"/>
    <w:rsid w:val="00E325D3"/>
    <w:rsid w:val="00E4444A"/>
    <w:rsid w:val="00E618F9"/>
    <w:rsid w:val="00EA04DC"/>
    <w:rsid w:val="00EA2DFA"/>
    <w:rsid w:val="00EA5E00"/>
    <w:rsid w:val="00EC1175"/>
    <w:rsid w:val="00EE232E"/>
    <w:rsid w:val="00EE753E"/>
    <w:rsid w:val="00EF747B"/>
    <w:rsid w:val="00F07E85"/>
    <w:rsid w:val="00F11E1A"/>
    <w:rsid w:val="00F2322A"/>
    <w:rsid w:val="00F269FA"/>
    <w:rsid w:val="00F52955"/>
    <w:rsid w:val="00F53AA6"/>
    <w:rsid w:val="00F94B8D"/>
    <w:rsid w:val="00F94F94"/>
    <w:rsid w:val="00F971AF"/>
    <w:rsid w:val="00FE3819"/>
    <w:rsid w:val="00FF34B9"/>
    <w:rsid w:val="01E94CD5"/>
    <w:rsid w:val="16E3FC0F"/>
    <w:rsid w:val="17EDCA1D"/>
    <w:rsid w:val="186A4380"/>
    <w:rsid w:val="22F373D6"/>
    <w:rsid w:val="3462D819"/>
    <w:rsid w:val="35AB5217"/>
    <w:rsid w:val="363B5B63"/>
    <w:rsid w:val="36FA15AE"/>
    <w:rsid w:val="3CF5453B"/>
    <w:rsid w:val="46BB63F8"/>
    <w:rsid w:val="46D9296F"/>
    <w:rsid w:val="47CD24BD"/>
    <w:rsid w:val="57A1037F"/>
    <w:rsid w:val="5CEC9C0F"/>
    <w:rsid w:val="616D778E"/>
    <w:rsid w:val="6191B7D2"/>
    <w:rsid w:val="66094C9B"/>
    <w:rsid w:val="6798121F"/>
    <w:rsid w:val="7C477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D8E0"/>
  <w15:chartTrackingRefBased/>
  <w15:docId w15:val="{BE3B40BD-D5AF-4820-AE13-050EADE9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743"/>
    <w:pPr>
      <w:spacing w:after="0" w:line="288" w:lineRule="auto"/>
      <w:jc w:val="both"/>
    </w:pPr>
    <w:rPr>
      <w:rFonts w:ascii="Century Gothic" w:eastAsia="Calibri" w:hAnsi="Century Gothic" w:cs="Times New Roman"/>
      <w:sz w:val="20"/>
      <w:szCs w:val="24"/>
      <w:lang w:eastAsia="cs-CZ"/>
    </w:rPr>
  </w:style>
  <w:style w:type="paragraph" w:styleId="Nadpis1">
    <w:name w:val="heading 1"/>
    <w:basedOn w:val="Normln"/>
    <w:next w:val="Normln"/>
    <w:link w:val="Nadpis1Char"/>
    <w:qFormat/>
    <w:rsid w:val="00C04C5D"/>
    <w:pPr>
      <w:keepNext/>
      <w:numPr>
        <w:numId w:val="20"/>
      </w:numPr>
      <w:spacing w:before="240" w:after="60" w:line="240" w:lineRule="auto"/>
      <w:jc w:val="left"/>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C04C5D"/>
    <w:pPr>
      <w:keepNext/>
      <w:numPr>
        <w:ilvl w:val="1"/>
        <w:numId w:val="20"/>
      </w:numPr>
      <w:spacing w:before="240" w:after="60" w:line="240" w:lineRule="auto"/>
      <w:jc w:val="left"/>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C04C5D"/>
    <w:pPr>
      <w:keepNext/>
      <w:numPr>
        <w:ilvl w:val="2"/>
        <w:numId w:val="20"/>
      </w:numPr>
      <w:spacing w:before="240" w:after="60" w:line="240" w:lineRule="auto"/>
      <w:jc w:val="left"/>
      <w:outlineLvl w:val="2"/>
    </w:pPr>
    <w:rPr>
      <w:rFonts w:ascii="Arial" w:eastAsia="Times New Roman" w:hAnsi="Arial" w:cs="Arial"/>
      <w:b/>
      <w:bCs/>
      <w:sz w:val="26"/>
      <w:szCs w:val="26"/>
    </w:rPr>
  </w:style>
  <w:style w:type="paragraph" w:styleId="Nadpis4">
    <w:name w:val="heading 4"/>
    <w:basedOn w:val="Normln"/>
    <w:next w:val="Normln"/>
    <w:link w:val="Nadpis4Char"/>
    <w:qFormat/>
    <w:rsid w:val="00C04C5D"/>
    <w:pPr>
      <w:keepNext/>
      <w:numPr>
        <w:ilvl w:val="3"/>
        <w:numId w:val="20"/>
      </w:numPr>
      <w:spacing w:before="240" w:after="60" w:line="240" w:lineRule="auto"/>
      <w:jc w:val="left"/>
      <w:outlineLvl w:val="3"/>
    </w:pPr>
    <w:rPr>
      <w:rFonts w:ascii="Times New Roman" w:eastAsia="Times New Roman" w:hAnsi="Times New Roman"/>
      <w:b/>
      <w:bCs/>
      <w:sz w:val="28"/>
      <w:szCs w:val="28"/>
    </w:rPr>
  </w:style>
  <w:style w:type="paragraph" w:styleId="Nadpis5">
    <w:name w:val="heading 5"/>
    <w:basedOn w:val="Normln"/>
    <w:next w:val="Normln"/>
    <w:link w:val="Nadpis5Char"/>
    <w:qFormat/>
    <w:rsid w:val="00C04C5D"/>
    <w:pPr>
      <w:numPr>
        <w:ilvl w:val="4"/>
        <w:numId w:val="20"/>
      </w:numPr>
      <w:spacing w:before="240" w:after="60" w:line="240" w:lineRule="auto"/>
      <w:jc w:val="left"/>
      <w:outlineLvl w:val="4"/>
    </w:pPr>
    <w:rPr>
      <w:rFonts w:ascii="Calibri" w:eastAsia="Times New Roman" w:hAnsi="Calibri"/>
      <w:b/>
      <w:bCs/>
      <w:i/>
      <w:iCs/>
      <w:sz w:val="26"/>
      <w:szCs w:val="26"/>
    </w:rPr>
  </w:style>
  <w:style w:type="paragraph" w:styleId="Nadpis6">
    <w:name w:val="heading 6"/>
    <w:basedOn w:val="Normln"/>
    <w:next w:val="Normln"/>
    <w:link w:val="Nadpis6Char"/>
    <w:qFormat/>
    <w:rsid w:val="00C04C5D"/>
    <w:pPr>
      <w:numPr>
        <w:ilvl w:val="5"/>
        <w:numId w:val="20"/>
      </w:numPr>
      <w:spacing w:before="240" w:after="60" w:line="240" w:lineRule="auto"/>
      <w:jc w:val="left"/>
      <w:outlineLvl w:val="5"/>
    </w:pPr>
    <w:rPr>
      <w:rFonts w:ascii="Times New Roman" w:eastAsia="Times New Roman" w:hAnsi="Times New Roman"/>
      <w:b/>
      <w:bCs/>
      <w:sz w:val="22"/>
      <w:szCs w:val="22"/>
    </w:rPr>
  </w:style>
  <w:style w:type="paragraph" w:styleId="Nadpis7">
    <w:name w:val="heading 7"/>
    <w:basedOn w:val="Normln"/>
    <w:next w:val="Normln"/>
    <w:link w:val="Nadpis7Char"/>
    <w:qFormat/>
    <w:rsid w:val="00C04C5D"/>
    <w:pPr>
      <w:numPr>
        <w:ilvl w:val="6"/>
        <w:numId w:val="20"/>
      </w:numPr>
      <w:spacing w:before="240" w:after="60" w:line="240" w:lineRule="auto"/>
      <w:jc w:val="left"/>
      <w:outlineLvl w:val="6"/>
    </w:pPr>
    <w:rPr>
      <w:rFonts w:ascii="Times New Roman" w:eastAsia="Times New Roman" w:hAnsi="Times New Roman"/>
      <w:sz w:val="24"/>
    </w:rPr>
  </w:style>
  <w:style w:type="paragraph" w:styleId="Nadpis8">
    <w:name w:val="heading 8"/>
    <w:basedOn w:val="Normln"/>
    <w:next w:val="Normln"/>
    <w:link w:val="Nadpis8Char"/>
    <w:qFormat/>
    <w:rsid w:val="00C04C5D"/>
    <w:pPr>
      <w:numPr>
        <w:ilvl w:val="7"/>
        <w:numId w:val="20"/>
      </w:numPr>
      <w:spacing w:before="240" w:after="60" w:line="240" w:lineRule="auto"/>
      <w:jc w:val="left"/>
      <w:outlineLvl w:val="7"/>
    </w:pPr>
    <w:rPr>
      <w:rFonts w:ascii="Times New Roman" w:eastAsia="Times New Roman" w:hAnsi="Times New Roman"/>
      <w:i/>
      <w:iCs/>
      <w:sz w:val="24"/>
    </w:rPr>
  </w:style>
  <w:style w:type="paragraph" w:styleId="Nadpis9">
    <w:name w:val="heading 9"/>
    <w:basedOn w:val="Normln"/>
    <w:next w:val="Normln"/>
    <w:link w:val="Nadpis9Char"/>
    <w:qFormat/>
    <w:rsid w:val="00C04C5D"/>
    <w:pPr>
      <w:numPr>
        <w:ilvl w:val="8"/>
        <w:numId w:val="20"/>
      </w:numPr>
      <w:spacing w:before="240" w:after="60" w:line="240" w:lineRule="auto"/>
      <w:jc w:val="left"/>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A1743"/>
    <w:rPr>
      <w:color w:val="0563C1" w:themeColor="hyperlink"/>
      <w:u w:val="single"/>
    </w:rPr>
  </w:style>
  <w:style w:type="character" w:customStyle="1" w:styleId="OdstavecseseznamemChar">
    <w:name w:val="Odstavec se seznamem Char"/>
    <w:link w:val="Odstavecseseznamem"/>
    <w:uiPriority w:val="34"/>
    <w:locked/>
    <w:rsid w:val="00BA1743"/>
    <w:rPr>
      <w:rFonts w:ascii="Century Gothic" w:eastAsia="Calibri" w:hAnsi="Century Gothic"/>
      <w:szCs w:val="24"/>
    </w:rPr>
  </w:style>
  <w:style w:type="paragraph" w:styleId="Odstavecseseznamem">
    <w:name w:val="List Paragraph"/>
    <w:basedOn w:val="Normln"/>
    <w:link w:val="OdstavecseseznamemChar"/>
    <w:uiPriority w:val="34"/>
    <w:qFormat/>
    <w:rsid w:val="00BA1743"/>
    <w:pPr>
      <w:ind w:left="708"/>
    </w:pPr>
    <w:rPr>
      <w:rFonts w:cstheme="minorBidi"/>
      <w:sz w:val="22"/>
      <w:lang w:eastAsia="en-US"/>
    </w:rPr>
  </w:style>
  <w:style w:type="paragraph" w:customStyle="1" w:styleId="CZNzevlnku">
    <w:name w:val="CZ Název článku"/>
    <w:basedOn w:val="Normln"/>
    <w:rsid w:val="00BA1743"/>
    <w:pPr>
      <w:spacing w:after="240"/>
      <w:jc w:val="center"/>
    </w:pPr>
    <w:rPr>
      <w:b/>
    </w:rPr>
  </w:style>
  <w:style w:type="paragraph" w:customStyle="1" w:styleId="CZslolnku">
    <w:name w:val="CZ číslo článku"/>
    <w:next w:val="CZNzevlnku"/>
    <w:rsid w:val="00BA1743"/>
    <w:pPr>
      <w:numPr>
        <w:numId w:val="1"/>
      </w:numPr>
      <w:spacing w:before="360" w:after="120" w:line="240" w:lineRule="auto"/>
      <w:jc w:val="center"/>
    </w:pPr>
    <w:rPr>
      <w:rFonts w:ascii="Century Gothic" w:eastAsia="Calibri" w:hAnsi="Century Gothic" w:cs="Times New Roman"/>
      <w:b/>
      <w:sz w:val="20"/>
      <w:szCs w:val="24"/>
      <w:lang w:eastAsia="cs-CZ"/>
    </w:rPr>
  </w:style>
  <w:style w:type="character" w:customStyle="1" w:styleId="CZodstavecChar1">
    <w:name w:val="CZ odstavec Char1"/>
    <w:basedOn w:val="Standardnpsmoodstavce"/>
    <w:link w:val="CZodstavec"/>
    <w:locked/>
    <w:rsid w:val="00BA1743"/>
    <w:rPr>
      <w:rFonts w:ascii="Century Gothic" w:eastAsia="Calibri" w:hAnsi="Century Gothic"/>
      <w:szCs w:val="24"/>
    </w:rPr>
  </w:style>
  <w:style w:type="paragraph" w:customStyle="1" w:styleId="CZodstavec">
    <w:name w:val="CZ odstavec"/>
    <w:link w:val="CZodstavecChar1"/>
    <w:rsid w:val="00BA1743"/>
    <w:pPr>
      <w:spacing w:after="120" w:line="288" w:lineRule="auto"/>
      <w:jc w:val="both"/>
    </w:pPr>
    <w:rPr>
      <w:rFonts w:ascii="Century Gothic" w:eastAsia="Calibri" w:hAnsi="Century Gothic"/>
      <w:szCs w:val="24"/>
    </w:rPr>
  </w:style>
  <w:style w:type="paragraph" w:customStyle="1" w:styleId="CZZkladntexttun">
    <w:name w:val="CZ Základní text tučně"/>
    <w:basedOn w:val="Normln"/>
    <w:rsid w:val="00BA1743"/>
    <w:rPr>
      <w:b/>
    </w:rPr>
  </w:style>
  <w:style w:type="paragraph" w:customStyle="1" w:styleId="Styl1">
    <w:name w:val="Styl1"/>
    <w:basedOn w:val="CZodstavec"/>
    <w:qFormat/>
    <w:rsid w:val="00BA1743"/>
    <w:pPr>
      <w:numPr>
        <w:ilvl w:val="1"/>
        <w:numId w:val="1"/>
      </w:numPr>
      <w:tabs>
        <w:tab w:val="clear" w:pos="502"/>
        <w:tab w:val="num" w:pos="360"/>
      </w:tabs>
      <w:ind w:left="0" w:firstLine="0"/>
    </w:pPr>
    <w:rPr>
      <w:rFonts w:asciiTheme="minorHAnsi" w:hAnsiTheme="minorHAnsi" w:cstheme="minorHAnsi"/>
      <w:sz w:val="24"/>
    </w:rPr>
  </w:style>
  <w:style w:type="character" w:customStyle="1" w:styleId="CZZkladntexttunChar">
    <w:name w:val="CZ Základní text tučně Char"/>
    <w:rsid w:val="00BA1743"/>
    <w:rPr>
      <w:rFonts w:ascii="Century Gothic" w:eastAsia="Calibri" w:hAnsi="Century Gothic" w:hint="default"/>
      <w:b/>
      <w:bCs w:val="0"/>
      <w:szCs w:val="24"/>
      <w:lang w:val="cs-CZ" w:eastAsia="cs-CZ" w:bidi="ar-SA"/>
    </w:rPr>
  </w:style>
  <w:style w:type="paragraph" w:styleId="Zkladntext">
    <w:name w:val="Body Text"/>
    <w:basedOn w:val="Normln"/>
    <w:link w:val="ZkladntextChar"/>
    <w:rsid w:val="00EA2DFA"/>
    <w:pPr>
      <w:widowControl w:val="0"/>
      <w:autoSpaceDE w:val="0"/>
      <w:autoSpaceDN w:val="0"/>
      <w:spacing w:before="60" w:line="240" w:lineRule="auto"/>
      <w:ind w:left="1310"/>
      <w:jc w:val="left"/>
    </w:pPr>
    <w:rPr>
      <w:rFonts w:ascii="Arial" w:eastAsia="Times New Roman" w:hAnsi="Arial" w:cs="Arial"/>
      <w:sz w:val="22"/>
      <w:szCs w:val="22"/>
    </w:rPr>
  </w:style>
  <w:style w:type="character" w:customStyle="1" w:styleId="ZkladntextChar">
    <w:name w:val="Základní text Char"/>
    <w:basedOn w:val="Standardnpsmoodstavce"/>
    <w:link w:val="Zkladntext"/>
    <w:rsid w:val="00EA2DFA"/>
    <w:rPr>
      <w:rFonts w:ascii="Arial" w:eastAsia="Times New Roman" w:hAnsi="Arial" w:cs="Arial"/>
      <w:lang w:eastAsia="cs-CZ"/>
    </w:rPr>
  </w:style>
  <w:style w:type="paragraph" w:customStyle="1" w:styleId="paragraph">
    <w:name w:val="paragraph"/>
    <w:basedOn w:val="Normln"/>
    <w:rsid w:val="00EA2DFA"/>
    <w:pPr>
      <w:spacing w:before="100" w:beforeAutospacing="1" w:after="100" w:afterAutospacing="1" w:line="240" w:lineRule="auto"/>
      <w:jc w:val="left"/>
    </w:pPr>
    <w:rPr>
      <w:rFonts w:ascii="Calibri" w:hAnsi="Calibri" w:cs="Calibri"/>
      <w:sz w:val="22"/>
      <w:szCs w:val="22"/>
    </w:rPr>
  </w:style>
  <w:style w:type="character" w:customStyle="1" w:styleId="normaltextrun">
    <w:name w:val="normaltextrun"/>
    <w:basedOn w:val="Standardnpsmoodstavce"/>
    <w:rsid w:val="00EA2DFA"/>
  </w:style>
  <w:style w:type="character" w:customStyle="1" w:styleId="eop">
    <w:name w:val="eop"/>
    <w:basedOn w:val="Standardnpsmoodstavce"/>
    <w:rsid w:val="00EA2DFA"/>
  </w:style>
  <w:style w:type="character" w:customStyle="1" w:styleId="spellingerror">
    <w:name w:val="spellingerror"/>
    <w:basedOn w:val="Standardnpsmoodstavce"/>
    <w:rsid w:val="00EA2DFA"/>
  </w:style>
  <w:style w:type="character" w:styleId="Odkaznakoment">
    <w:name w:val="annotation reference"/>
    <w:basedOn w:val="Standardnpsmoodstavce"/>
    <w:uiPriority w:val="99"/>
    <w:unhideWhenUsed/>
    <w:rsid w:val="00424C1F"/>
    <w:rPr>
      <w:sz w:val="16"/>
      <w:szCs w:val="16"/>
    </w:rPr>
  </w:style>
  <w:style w:type="paragraph" w:styleId="Textkomente">
    <w:name w:val="annotation text"/>
    <w:basedOn w:val="Normln"/>
    <w:link w:val="TextkomenteChar"/>
    <w:uiPriority w:val="99"/>
    <w:unhideWhenUsed/>
    <w:rsid w:val="00424C1F"/>
    <w:pPr>
      <w:spacing w:line="240" w:lineRule="auto"/>
    </w:pPr>
    <w:rPr>
      <w:szCs w:val="20"/>
    </w:rPr>
  </w:style>
  <w:style w:type="character" w:customStyle="1" w:styleId="TextkomenteChar">
    <w:name w:val="Text komentáře Char"/>
    <w:basedOn w:val="Standardnpsmoodstavce"/>
    <w:link w:val="Textkomente"/>
    <w:uiPriority w:val="99"/>
    <w:rsid w:val="00424C1F"/>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24C1F"/>
    <w:rPr>
      <w:b/>
      <w:bCs/>
    </w:rPr>
  </w:style>
  <w:style w:type="character" w:customStyle="1" w:styleId="PedmtkomenteChar">
    <w:name w:val="Předmět komentáře Char"/>
    <w:basedOn w:val="TextkomenteChar"/>
    <w:link w:val="Pedmtkomente"/>
    <w:uiPriority w:val="99"/>
    <w:semiHidden/>
    <w:rsid w:val="00424C1F"/>
    <w:rPr>
      <w:rFonts w:ascii="Century Gothic" w:eastAsia="Calibri" w:hAnsi="Century Gothic" w:cs="Times New Roman"/>
      <w:b/>
      <w:bCs/>
      <w:sz w:val="20"/>
      <w:szCs w:val="20"/>
      <w:lang w:eastAsia="cs-CZ"/>
    </w:rPr>
  </w:style>
  <w:style w:type="character" w:styleId="Nevyeenzmnka">
    <w:name w:val="Unresolved Mention"/>
    <w:basedOn w:val="Standardnpsmoodstavce"/>
    <w:uiPriority w:val="99"/>
    <w:semiHidden/>
    <w:unhideWhenUsed/>
    <w:rsid w:val="00175D64"/>
    <w:rPr>
      <w:color w:val="605E5C"/>
      <w:shd w:val="clear" w:color="auto" w:fill="E1DFDD"/>
    </w:rPr>
  </w:style>
  <w:style w:type="paragraph" w:customStyle="1" w:styleId="Odstavecseseznamem1">
    <w:name w:val="Odstavec se seznamem1"/>
    <w:basedOn w:val="Normln"/>
    <w:rsid w:val="004C75D1"/>
    <w:pPr>
      <w:widowControl w:val="0"/>
      <w:autoSpaceDE w:val="0"/>
      <w:autoSpaceDN w:val="0"/>
      <w:spacing w:before="60" w:line="240" w:lineRule="auto"/>
      <w:ind w:left="1310" w:hanging="634"/>
    </w:pPr>
    <w:rPr>
      <w:rFonts w:ascii="Arial" w:eastAsia="Times New Roman" w:hAnsi="Arial" w:cs="Arial"/>
      <w:sz w:val="22"/>
      <w:szCs w:val="22"/>
    </w:rPr>
  </w:style>
  <w:style w:type="paragraph" w:styleId="Textbubliny">
    <w:name w:val="Balloon Text"/>
    <w:basedOn w:val="Normln"/>
    <w:link w:val="TextbublinyChar"/>
    <w:semiHidden/>
    <w:rsid w:val="004C75D1"/>
    <w:pPr>
      <w:widowControl w:val="0"/>
      <w:autoSpaceDE w:val="0"/>
      <w:autoSpaceDN w:val="0"/>
      <w:spacing w:line="240" w:lineRule="auto"/>
      <w:jc w:val="lef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4C75D1"/>
    <w:rPr>
      <w:rFonts w:ascii="Tahoma" w:eastAsia="Times New Roman" w:hAnsi="Tahoma" w:cs="Tahoma"/>
      <w:sz w:val="16"/>
      <w:szCs w:val="16"/>
      <w:lang w:eastAsia="cs-CZ"/>
    </w:rPr>
  </w:style>
  <w:style w:type="character" w:customStyle="1" w:styleId="Nadpis1Char">
    <w:name w:val="Nadpis 1 Char"/>
    <w:basedOn w:val="Standardnpsmoodstavce"/>
    <w:link w:val="Nadpis1"/>
    <w:rsid w:val="00C04C5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04C5D"/>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C04C5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04C5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04C5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C04C5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04C5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04C5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04C5D"/>
    <w:rPr>
      <w:rFonts w:ascii="Arial" w:eastAsia="Times New Roman" w:hAnsi="Arial" w:cs="Arial"/>
      <w:lang w:eastAsia="cs-CZ"/>
    </w:rPr>
  </w:style>
  <w:style w:type="paragraph" w:styleId="Zhlav">
    <w:name w:val="header"/>
    <w:basedOn w:val="Normln"/>
    <w:link w:val="ZhlavChar"/>
    <w:uiPriority w:val="99"/>
    <w:semiHidden/>
    <w:unhideWhenUsed/>
    <w:rsid w:val="005775CD"/>
    <w:pPr>
      <w:tabs>
        <w:tab w:val="center" w:pos="4680"/>
        <w:tab w:val="right" w:pos="9360"/>
      </w:tabs>
      <w:spacing w:line="240" w:lineRule="auto"/>
    </w:pPr>
  </w:style>
  <w:style w:type="character" w:customStyle="1" w:styleId="ZhlavChar">
    <w:name w:val="Záhlaví Char"/>
    <w:basedOn w:val="Standardnpsmoodstavce"/>
    <w:link w:val="Zhlav"/>
    <w:uiPriority w:val="99"/>
    <w:semiHidden/>
    <w:rsid w:val="00333D85"/>
    <w:rPr>
      <w:rFonts w:ascii="Century Gothic" w:eastAsia="Calibri" w:hAnsi="Century Gothic" w:cs="Times New Roman"/>
      <w:sz w:val="20"/>
      <w:szCs w:val="24"/>
      <w:lang w:eastAsia="cs-CZ"/>
    </w:rPr>
  </w:style>
  <w:style w:type="paragraph" w:styleId="Zpat">
    <w:name w:val="footer"/>
    <w:basedOn w:val="Normln"/>
    <w:link w:val="ZpatChar"/>
    <w:uiPriority w:val="99"/>
    <w:semiHidden/>
    <w:unhideWhenUsed/>
    <w:rsid w:val="005775CD"/>
    <w:pPr>
      <w:tabs>
        <w:tab w:val="center" w:pos="4680"/>
        <w:tab w:val="right" w:pos="9360"/>
      </w:tabs>
      <w:spacing w:line="240" w:lineRule="auto"/>
    </w:pPr>
  </w:style>
  <w:style w:type="character" w:customStyle="1" w:styleId="ZpatChar">
    <w:name w:val="Zápatí Char"/>
    <w:basedOn w:val="Standardnpsmoodstavce"/>
    <w:link w:val="Zpat"/>
    <w:uiPriority w:val="99"/>
    <w:semiHidden/>
    <w:rsid w:val="00333D85"/>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enia.cz" TargetMode="External"/><Relationship Id="rId3" Type="http://schemas.openxmlformats.org/officeDocument/2006/relationships/settings" Target="settings.xml"/><Relationship Id="rId7" Type="http://schemas.openxmlformats.org/officeDocument/2006/relationships/hyperlink" Target="mailto:sekretariat@ceni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crosoft.com/licensing/terms/welcome/welcomepage" TargetMode="External"/><Relationship Id="rId4" Type="http://schemas.openxmlformats.org/officeDocument/2006/relationships/webSettings" Target="webSettings.xml"/><Relationship Id="rId9" Type="http://schemas.openxmlformats.org/officeDocument/2006/relationships/hyperlink" Target="mailto:tomas.kotrc@ceni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2328</Words>
  <Characters>13736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16032</CharactersWithSpaces>
  <SharedDoc>false</SharedDoc>
  <HLinks>
    <vt:vector size="24" baseType="variant">
      <vt:variant>
        <vt:i4>589903</vt:i4>
      </vt:variant>
      <vt:variant>
        <vt:i4>9</vt:i4>
      </vt:variant>
      <vt:variant>
        <vt:i4>0</vt:i4>
      </vt:variant>
      <vt:variant>
        <vt:i4>5</vt:i4>
      </vt:variant>
      <vt:variant>
        <vt:lpwstr>https://www.microsoft.com/licensing/terms/welcome/welcomepage</vt:lpwstr>
      </vt:variant>
      <vt:variant>
        <vt:lpwstr/>
      </vt:variant>
      <vt:variant>
        <vt:i4>8060949</vt:i4>
      </vt:variant>
      <vt:variant>
        <vt:i4>6</vt:i4>
      </vt:variant>
      <vt:variant>
        <vt:i4>0</vt:i4>
      </vt:variant>
      <vt:variant>
        <vt:i4>5</vt:i4>
      </vt:variant>
      <vt:variant>
        <vt:lpwstr>mailto:tomas.kotrc@cenia.cz</vt:lpwstr>
      </vt:variant>
      <vt:variant>
        <vt:lpwstr/>
      </vt:variant>
      <vt:variant>
        <vt:i4>45</vt:i4>
      </vt:variant>
      <vt:variant>
        <vt:i4>3</vt:i4>
      </vt:variant>
      <vt:variant>
        <vt:i4>0</vt:i4>
      </vt:variant>
      <vt:variant>
        <vt:i4>5</vt:i4>
      </vt:variant>
      <vt:variant>
        <vt:lpwstr>mailto:podatelna@cenia.cz</vt:lpwstr>
      </vt:variant>
      <vt:variant>
        <vt:lpwstr/>
      </vt:variant>
      <vt:variant>
        <vt:i4>7077976</vt:i4>
      </vt:variant>
      <vt:variant>
        <vt:i4>0</vt:i4>
      </vt:variant>
      <vt:variant>
        <vt:i4>0</vt:i4>
      </vt:variant>
      <vt:variant>
        <vt:i4>5</vt:i4>
      </vt:variant>
      <vt:variant>
        <vt:lpwstr>mailto:sekretariat@cenia.cz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 Michael</dc:creator>
  <cp:keywords/>
  <dc:description/>
  <cp:lastModifiedBy>Šulc Michael</cp:lastModifiedBy>
  <cp:revision>154</cp:revision>
  <dcterms:created xsi:type="dcterms:W3CDTF">2022-08-04T16:25:00Z</dcterms:created>
  <dcterms:modified xsi:type="dcterms:W3CDTF">2024-09-17T12:18:00Z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2022-08-04T07:26:17Z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1468194f-4fb4-4904-8dbf-c770e6a81a3b</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