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54" w:rsidRDefault="00A3760B">
      <w:pPr>
        <w:pStyle w:val="Style2"/>
        <w:framePr w:w="6379" w:h="499" w:wrap="none" w:hAnchor="page" w:x="1018" w:y="462"/>
        <w:shd w:val="clear" w:color="auto" w:fill="auto"/>
        <w:ind w:right="0"/>
      </w:pPr>
      <w:proofErr w:type="spellStart"/>
      <w:r>
        <w:t>Priloha</w:t>
      </w:r>
      <w:proofErr w:type="spellEnd"/>
      <w:r>
        <w:t xml:space="preserve"> c.1- </w:t>
      </w:r>
      <w:proofErr w:type="spellStart"/>
      <w:r>
        <w:t>Oceneny</w:t>
      </w:r>
      <w:proofErr w:type="spellEnd"/>
      <w:r>
        <w:t xml:space="preserve"> soupis </w:t>
      </w:r>
      <w:proofErr w:type="spellStart"/>
      <w:r>
        <w:t>praci</w:t>
      </w:r>
      <w:proofErr w:type="spellEnd"/>
      <w:r>
        <w:t xml:space="preserve"> </w:t>
      </w:r>
      <w:proofErr w:type="spellStart"/>
      <w:r>
        <w:t>zmen</w:t>
      </w:r>
      <w:proofErr w:type="spellEnd"/>
      <w:r>
        <w:t xml:space="preserve"> </w:t>
      </w:r>
      <w:proofErr w:type="spellStart"/>
      <w:r>
        <w:t>zavazku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974"/>
        <w:gridCol w:w="917"/>
        <w:gridCol w:w="806"/>
        <w:gridCol w:w="878"/>
        <w:gridCol w:w="840"/>
      </w:tblGrid>
      <w:tr w:rsidR="00344B5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Příloha č. 1 - Ceník potápěčských prací - 2023-2024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49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left="1980"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1723" w:type="dxa"/>
            <w:gridSpan w:val="2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Kč</w:t>
            </w: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bez DPH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49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Potápěčské práce stavební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4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jednotka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spacing w:line="34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počet jednotek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spacing w:line="34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Kč za jednotku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celkem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2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01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Celkem: Potápěčské práce </w:t>
            </w:r>
            <w:proofErr w:type="gramStart"/>
            <w:r>
              <w:rPr>
                <w:b/>
                <w:bCs/>
                <w:sz w:val="12"/>
                <w:szCs w:val="12"/>
              </w:rPr>
              <w:t>stavební - VD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Jirkov -</w:t>
            </w:r>
            <w:r>
              <w:rPr>
                <w:b/>
                <w:bCs/>
                <w:sz w:val="12"/>
                <w:szCs w:val="12"/>
              </w:rPr>
              <w:t xml:space="preserve"> kontrola a oprava rozmrazovacího zařízení, nátoku do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01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MVE a</w:t>
            </w: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FFFF01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214 850,00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492" w:type="dxa"/>
            <w:gridSpan w:val="2"/>
            <w:tcBorders>
              <w:left w:val="single" w:sz="4" w:space="0" w:color="auto"/>
            </w:tcBorders>
            <w:shd w:val="clear" w:color="auto" w:fill="FFFF01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odběrných oken, potápěčské práce 2024, č. akce 201 742 MÉNĚPRÁCE</w:t>
            </w:r>
          </w:p>
        </w:tc>
        <w:tc>
          <w:tcPr>
            <w:tcW w:w="917" w:type="dxa"/>
            <w:shd w:val="clear" w:color="auto" w:fill="FFFF01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01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01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FFFF01"/>
            <w:vAlign w:val="bottom"/>
          </w:tcPr>
          <w:p w:rsidR="00344B54" w:rsidRDefault="00344B54">
            <w:pPr>
              <w:framePr w:w="7934" w:h="13296" w:wrap="none" w:hAnchor="page" w:x="1037" w:y="1153"/>
            </w:pP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Potápěčské práce prováděné nad hladinou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69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1 999,00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137 931,00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Potápěčské práce prováděné pod </w:t>
            </w:r>
            <w:r>
              <w:rPr>
                <w:b/>
                <w:bCs/>
                <w:sz w:val="12"/>
                <w:szCs w:val="12"/>
              </w:rPr>
              <w:t>hladinou do 13 m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1 999,00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Potápěčské práce prováděné pod hladinou od 13 m do 40 m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16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3 499,00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00"/>
              <w:jc w:val="both"/>
            </w:pPr>
            <w:r>
              <w:t>55 984,00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Potápěčské práce prováděné pod hladinou od 40 m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proofErr w:type="spellStart"/>
            <w:r>
              <w:t>osobohodin</w:t>
            </w:r>
            <w:proofErr w:type="spellEnd"/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3 999,00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Potápěčská technika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jednotka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spacing w:line="334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počet </w:t>
            </w:r>
            <w:r>
              <w:rPr>
                <w:b/>
                <w:bCs/>
                <w:sz w:val="12"/>
                <w:szCs w:val="12"/>
              </w:rPr>
              <w:t>jednotek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spacing w:line="34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cena Kč za jednotku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spacing w:line="34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Kč bez DPH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stavební kompresor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nákladní přívěs do 3,5 t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3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 xml:space="preserve">mini </w:t>
            </w:r>
            <w:proofErr w:type="spellStart"/>
            <w:r>
              <w:t>jeřab</w:t>
            </w:r>
            <w:proofErr w:type="spellEnd"/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3 000,00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4a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pracovní člun plast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5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4 995,00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4b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pracovní člun plast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-3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 xml:space="preserve">-2 </w:t>
            </w:r>
            <w:r>
              <w:t>997,00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5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pracovní člun vč. motoru 115 HP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3 199,00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6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pracovní člun hliník vč. motoru 40 HP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1 999,00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7a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lodní motor do 10 HP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5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2 495,00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7b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lodní motor do 10 HP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-3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-1 497,00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8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skládací plovoucí plošina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 xml:space="preserve">1 </w:t>
            </w:r>
            <w:r>
              <w:t>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9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vysokotlaký vodní zdroj 400 bar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1 999,00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10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vysokotlaký vodní zdroj 700 bar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4 099,00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11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 xml:space="preserve">vysokotlaký vodní zdroj 200 </w:t>
            </w:r>
            <w:proofErr w:type="gramStart"/>
            <w:r>
              <w:t>bar - elektro</w:t>
            </w:r>
            <w:proofErr w:type="gramEnd"/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12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odsávací zařízení elektro průměr 100 mm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13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odsávací zařízení vzduchové průměr 100 mm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14</w:t>
            </w:r>
          </w:p>
        </w:tc>
        <w:tc>
          <w:tcPr>
            <w:tcW w:w="3974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odsávací zařízení vzduchové průměr 150 mm</w:t>
            </w:r>
          </w:p>
        </w:tc>
        <w:tc>
          <w:tcPr>
            <w:tcW w:w="917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15</w:t>
            </w:r>
          </w:p>
        </w:tc>
        <w:tc>
          <w:tcPr>
            <w:tcW w:w="3974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výtlačná hadice průměr 100 mm (každých započatých 20 m)</w:t>
            </w:r>
          </w:p>
        </w:tc>
        <w:tc>
          <w:tcPr>
            <w:tcW w:w="917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16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 xml:space="preserve">výtlačná hadice průměr 150 mm (každých započatých 20 </w:t>
            </w:r>
            <w:r>
              <w:t>m)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17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ponorné čerpadlo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18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speciální přilbová souprava do kontaminované vody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7 499,00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19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technická souprava pro umělé dýchací směsi NITROX-TRIMIX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5 999,00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20a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elektrocentrála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5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2 495,00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20b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elektrocentrála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-3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-1 497,00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21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elektrická svářečka do 600 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22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elektrická svářečka do 300 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23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svářecí souprava pod vodu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24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pálicí souprava pod vodu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25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 xml:space="preserve">ocelový </w:t>
            </w:r>
            <w:r>
              <w:t>pracovní ponton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1 999,00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26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vzduchový vrátek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49,00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27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 xml:space="preserve">vzduchový </w:t>
            </w:r>
            <w:proofErr w:type="spellStart"/>
            <w:r>
              <w:t>otloukač</w:t>
            </w:r>
            <w:proofErr w:type="spellEnd"/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28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sbíjecí kladivo pod vodou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29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vrtací kladivo pod vodou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30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vzduchová bruska pod vodou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31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vzduchová vrtačka pod vodou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32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vzduchová řetězová pila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399,00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33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 xml:space="preserve">jádrová vrtačka s </w:t>
            </w:r>
            <w:proofErr w:type="spellStart"/>
            <w:r>
              <w:t>diam</w:t>
            </w:r>
            <w:proofErr w:type="spellEnd"/>
            <w:r>
              <w:t>. vrtákem, vzduchová UW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1 999,00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34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 xml:space="preserve">jádrová vrtačka s </w:t>
            </w:r>
            <w:proofErr w:type="spellStart"/>
            <w:r>
              <w:t>diam</w:t>
            </w:r>
            <w:proofErr w:type="spellEnd"/>
            <w:r>
              <w:t>. vrtákem, elektrická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vMerge w:val="restart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5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1 499,00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35a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fotoaparát pod vodou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vMerge/>
            <w:shd w:val="clear" w:color="auto" w:fill="FFFFFF"/>
            <w:vAlign w:val="bottom"/>
          </w:tcPr>
          <w:p w:rsidR="00344B54" w:rsidRDefault="00344B54">
            <w:pPr>
              <w:framePr w:w="7934" w:h="13296" w:wrap="none" w:hAnchor="page" w:x="1037" w:y="1153"/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4 995,00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35b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fotoaparát pod vodou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-3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-2 997,00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36a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proofErr w:type="spellStart"/>
            <w:r>
              <w:t>videosystém</w:t>
            </w:r>
            <w:proofErr w:type="spellEnd"/>
            <w:r>
              <w:t xml:space="preserve"> pod vodou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5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4 995,00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49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</w:t>
            </w:r>
            <w:r>
              <w:rPr>
                <w:sz w:val="12"/>
                <w:szCs w:val="12"/>
                <w:vertAlign w:val="superscript"/>
              </w:rPr>
              <w:t>3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sz w:val="12"/>
                <w:szCs w:val="12"/>
                <w:vertAlign w:val="superscript"/>
              </w:rPr>
              <w:t>6</w:t>
            </w:r>
            <w:r>
              <w:rPr>
                <w:b/>
                <w:bCs/>
                <w:sz w:val="12"/>
                <w:szCs w:val="12"/>
              </w:rPr>
              <w:t>m</w:t>
            </w:r>
            <w:r>
              <w:rPr>
                <w:sz w:val="12"/>
                <w:szCs w:val="12"/>
                <w:vertAlign w:val="superscript"/>
              </w:rPr>
              <w:t>b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5 </w:t>
            </w:r>
            <w:proofErr w:type="spellStart"/>
            <w:r>
              <w:rPr>
                <w:b/>
                <w:bCs/>
                <w:sz w:val="12"/>
                <w:szCs w:val="12"/>
              </w:rPr>
              <w:t>P</w:t>
            </w:r>
            <w:r>
              <w:rPr>
                <w:sz w:val="12"/>
                <w:szCs w:val="12"/>
                <w:vertAlign w:val="superscript"/>
              </w:rPr>
              <w:t>v</w:t>
            </w:r>
            <w:r>
              <w:rPr>
                <w:b/>
                <w:bCs/>
                <w:sz w:val="12"/>
                <w:szCs w:val="12"/>
              </w:rPr>
              <w:t>o</w:t>
            </w:r>
            <w:r>
              <w:rPr>
                <w:sz w:val="12"/>
                <w:szCs w:val="12"/>
                <w:vertAlign w:val="superscript"/>
              </w:rPr>
              <w:t>i</w:t>
            </w:r>
            <w:r>
              <w:rPr>
                <w:b/>
                <w:bCs/>
                <w:sz w:val="12"/>
                <w:szCs w:val="12"/>
              </w:rPr>
              <w:t>t</w:t>
            </w:r>
            <w:r>
              <w:rPr>
                <w:sz w:val="12"/>
                <w:szCs w:val="12"/>
                <w:vertAlign w:val="superscript"/>
              </w:rPr>
              <w:t>d</w:t>
            </w:r>
            <w:r>
              <w:rPr>
                <w:b/>
                <w:bCs/>
                <w:sz w:val="12"/>
                <w:szCs w:val="12"/>
              </w:rPr>
              <w:t>á</w:t>
            </w:r>
            <w:r>
              <w:rPr>
                <w:sz w:val="12"/>
                <w:szCs w:val="12"/>
                <w:vertAlign w:val="superscript"/>
              </w:rPr>
              <w:t>e</w:t>
            </w:r>
            <w:r>
              <w:rPr>
                <w:b/>
                <w:bCs/>
                <w:sz w:val="12"/>
                <w:szCs w:val="12"/>
              </w:rPr>
              <w:t>p</w:t>
            </w:r>
            <w:r>
              <w:rPr>
                <w:sz w:val="12"/>
                <w:szCs w:val="12"/>
                <w:vertAlign w:val="superscript"/>
              </w:rPr>
              <w:t>o</w:t>
            </w:r>
            <w:r>
              <w:rPr>
                <w:b/>
                <w:bCs/>
                <w:sz w:val="12"/>
                <w:szCs w:val="12"/>
              </w:rPr>
              <w:t>ě</w:t>
            </w:r>
            <w:r>
              <w:rPr>
                <w:sz w:val="12"/>
                <w:szCs w:val="12"/>
                <w:vertAlign w:val="superscript"/>
              </w:rPr>
              <w:t>s</w:t>
            </w:r>
            <w:r>
              <w:rPr>
                <w:b/>
                <w:bCs/>
                <w:sz w:val="12"/>
                <w:szCs w:val="12"/>
              </w:rPr>
              <w:t>č</w:t>
            </w:r>
            <w:r>
              <w:rPr>
                <w:sz w:val="12"/>
                <w:szCs w:val="12"/>
                <w:vertAlign w:val="superscript"/>
              </w:rPr>
              <w:t>y</w:t>
            </w:r>
            <w:r>
              <w:rPr>
                <w:b/>
                <w:bCs/>
                <w:sz w:val="12"/>
                <w:szCs w:val="12"/>
              </w:rPr>
              <w:t>s</w:t>
            </w:r>
            <w:r>
              <w:rPr>
                <w:sz w:val="12"/>
                <w:szCs w:val="12"/>
                <w:vertAlign w:val="superscript"/>
              </w:rPr>
              <w:t>s</w:t>
            </w:r>
            <w:r>
              <w:rPr>
                <w:b/>
                <w:bCs/>
                <w:sz w:val="12"/>
                <w:szCs w:val="12"/>
              </w:rPr>
              <w:t>k</w:t>
            </w:r>
            <w:r>
              <w:rPr>
                <w:sz w:val="12"/>
                <w:szCs w:val="12"/>
                <w:vertAlign w:val="superscript"/>
              </w:rPr>
              <w:t>t</w:t>
            </w:r>
            <w:r>
              <w:rPr>
                <w:b/>
                <w:bCs/>
                <w:sz w:val="12"/>
                <w:szCs w:val="12"/>
              </w:rPr>
              <w:t>á</w:t>
            </w:r>
            <w:r>
              <w:rPr>
                <w:sz w:val="12"/>
                <w:szCs w:val="12"/>
                <w:vertAlign w:val="superscript"/>
              </w:rPr>
              <w:t>ém</w:t>
            </w:r>
            <w:r>
              <w:rPr>
                <w:b/>
                <w:bCs/>
                <w:sz w:val="12"/>
                <w:szCs w:val="12"/>
              </w:rPr>
              <w:t>tec</w:t>
            </w:r>
            <w:r>
              <w:rPr>
                <w:sz w:val="12"/>
                <w:szCs w:val="12"/>
                <w:vertAlign w:val="superscript"/>
              </w:rPr>
              <w:t>p</w:t>
            </w:r>
            <w:r>
              <w:rPr>
                <w:b/>
                <w:bCs/>
                <w:sz w:val="12"/>
                <w:szCs w:val="12"/>
              </w:rPr>
              <w:t>h</w:t>
            </w:r>
            <w:r>
              <w:rPr>
                <w:sz w:val="12"/>
                <w:szCs w:val="12"/>
                <w:vertAlign w:val="superscript"/>
              </w:rPr>
              <w:t>o</w:t>
            </w:r>
            <w:r>
              <w:rPr>
                <w:b/>
                <w:bCs/>
                <w:sz w:val="12"/>
                <w:szCs w:val="12"/>
              </w:rPr>
              <w:t>n</w:t>
            </w:r>
            <w:r>
              <w:rPr>
                <w:sz w:val="12"/>
                <w:szCs w:val="12"/>
                <w:vertAlign w:val="superscript"/>
              </w:rPr>
              <w:t>d</w:t>
            </w:r>
            <w:r>
              <w:rPr>
                <w:b/>
                <w:bCs/>
                <w:sz w:val="12"/>
                <w:szCs w:val="12"/>
              </w:rPr>
              <w:t>ik</w:t>
            </w:r>
            <w:r>
              <w:rPr>
                <w:sz w:val="12"/>
                <w:szCs w:val="12"/>
                <w:vertAlign w:val="superscript"/>
              </w:rPr>
              <w:t>v</w:t>
            </w:r>
            <w:r>
              <w:rPr>
                <w:b/>
                <w:bCs/>
                <w:sz w:val="12"/>
                <w:szCs w:val="12"/>
              </w:rPr>
              <w:t>a</w:t>
            </w:r>
            <w:r>
              <w:rPr>
                <w:sz w:val="12"/>
                <w:szCs w:val="12"/>
                <w:vertAlign w:val="superscript"/>
              </w:rPr>
              <w:t>odou</w:t>
            </w:r>
            <w:proofErr w:type="spellEnd"/>
          </w:p>
        </w:tc>
        <w:tc>
          <w:tcPr>
            <w:tcW w:w="917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-3</w:t>
            </w:r>
          </w:p>
        </w:tc>
        <w:tc>
          <w:tcPr>
            <w:tcW w:w="878" w:type="dxa"/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-2 997,00</w:t>
            </w:r>
          </w:p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7 990,00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Ostatní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4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jednotka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spacing w:line="334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počet jednotek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spacing w:line="334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cena Kč za </w:t>
            </w:r>
            <w:r>
              <w:rPr>
                <w:b/>
                <w:bCs/>
                <w:sz w:val="12"/>
                <w:szCs w:val="12"/>
              </w:rPr>
              <w:t>jednotku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spacing w:line="343" w:lineRule="auto"/>
              <w:ind w:firstLine="0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Kč bez DPH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1a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zpracování videozáznamu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hod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3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1 497,00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proofErr w:type="gramStart"/>
            <w:r>
              <w:t>1b</w:t>
            </w:r>
            <w:proofErr w:type="gramEnd"/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zpracování videozáznamu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hod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-1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-499,00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2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zpracování plánu BOZP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2 999,00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3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aktualizace plánu BOPZ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1 499,00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4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ubytování pracovníků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den</w:t>
            </w:r>
          </w:p>
        </w:tc>
        <w:tc>
          <w:tcPr>
            <w:tcW w:w="806" w:type="dxa"/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380"/>
              <w:jc w:val="both"/>
            </w:pPr>
            <w:r>
              <w:t>999,00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540"/>
              <w:jc w:val="both"/>
            </w:pPr>
            <w:r>
              <w:t>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5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vypracování nálezové zprávy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ks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1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60"/>
              <w:jc w:val="both"/>
            </w:pPr>
            <w:r>
              <w:t>8 899,00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8 899,00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20"/>
            </w:pPr>
            <w:r>
              <w:t>6</w:t>
            </w:r>
          </w:p>
        </w:tc>
        <w:tc>
          <w:tcPr>
            <w:tcW w:w="3974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</w:pPr>
            <w:r>
              <w:t>doprava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</w:pPr>
            <w:r>
              <w:t>km</w:t>
            </w:r>
          </w:p>
        </w:tc>
        <w:tc>
          <w:tcPr>
            <w:tcW w:w="806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48</w:t>
            </w:r>
          </w:p>
        </w:tc>
        <w:tc>
          <w:tcPr>
            <w:tcW w:w="878" w:type="dxa"/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jc w:val="right"/>
            </w:pPr>
            <w:r>
              <w:t>55,00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80"/>
              <w:jc w:val="both"/>
            </w:pPr>
            <w:r>
              <w:t>2 640,00</w:t>
            </w:r>
          </w:p>
        </w:tc>
      </w:tr>
      <w:tr w:rsidR="00344B5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Celkem 6 Ostatní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FFFFFF"/>
          </w:tcPr>
          <w:p w:rsidR="00344B54" w:rsidRDefault="00344B54">
            <w:pPr>
              <w:framePr w:w="7934" w:h="13296" w:wrap="none" w:hAnchor="page" w:x="1037" w:y="115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B54" w:rsidRDefault="00A3760B">
            <w:pPr>
              <w:pStyle w:val="Style4"/>
              <w:framePr w:w="7934" w:h="13296" w:wrap="none" w:hAnchor="page" w:x="1037" w:y="1153"/>
              <w:shd w:val="clear" w:color="auto" w:fill="auto"/>
              <w:ind w:firstLine="20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12 537,00</w:t>
            </w:r>
          </w:p>
        </w:tc>
      </w:tr>
    </w:tbl>
    <w:p w:rsidR="00344B54" w:rsidRDefault="00344B54">
      <w:pPr>
        <w:framePr w:w="7934" w:h="13296" w:wrap="none" w:hAnchor="page" w:x="1037" w:y="1153"/>
        <w:spacing w:line="1" w:lineRule="exact"/>
      </w:pPr>
    </w:p>
    <w:p w:rsidR="00344B54" w:rsidRDefault="00A3760B">
      <w:pPr>
        <w:pStyle w:val="Style9"/>
        <w:framePr w:w="2256" w:h="1435" w:wrap="none" w:hAnchor="page" w:x="1023" w:y="14574"/>
        <w:shd w:val="clear" w:color="auto" w:fill="auto"/>
        <w:spacing w:after="220" w:line="266" w:lineRule="auto"/>
        <w:rPr>
          <w:sz w:val="13"/>
          <w:szCs w:val="13"/>
        </w:rPr>
      </w:pPr>
      <w:r>
        <w:rPr>
          <w:b/>
          <w:bCs/>
          <w:sz w:val="12"/>
          <w:szCs w:val="12"/>
        </w:rPr>
        <w:t xml:space="preserve">Materiál: </w:t>
      </w:r>
      <w:r>
        <w:rPr>
          <w:sz w:val="13"/>
          <w:szCs w:val="13"/>
        </w:rPr>
        <w:t>těsnící gumičky trysek</w:t>
      </w:r>
    </w:p>
    <w:p w:rsidR="00344B54" w:rsidRDefault="00A3760B">
      <w:pPr>
        <w:pStyle w:val="Style9"/>
        <w:framePr w:w="3374" w:h="1061" w:wrap="none" w:hAnchor="page" w:x="5592" w:y="14574"/>
        <w:shd w:val="clear" w:color="auto" w:fill="auto"/>
        <w:tabs>
          <w:tab w:val="left" w:pos="1387"/>
          <w:tab w:val="left" w:pos="2088"/>
          <w:tab w:val="left" w:pos="2899"/>
        </w:tabs>
        <w:spacing w:after="220"/>
        <w:rPr>
          <w:sz w:val="12"/>
          <w:szCs w:val="12"/>
        </w:rPr>
      </w:pPr>
      <w:r>
        <w:rPr>
          <w:sz w:val="13"/>
          <w:szCs w:val="13"/>
        </w:rPr>
        <w:t>ks</w:t>
      </w:r>
      <w:r>
        <w:rPr>
          <w:sz w:val="13"/>
          <w:szCs w:val="13"/>
        </w:rPr>
        <w:tab/>
        <w:t>24</w:t>
      </w:r>
      <w:r>
        <w:rPr>
          <w:sz w:val="13"/>
          <w:szCs w:val="13"/>
        </w:rPr>
        <w:tab/>
        <w:t>17,00</w:t>
      </w:r>
      <w:r>
        <w:rPr>
          <w:sz w:val="13"/>
          <w:szCs w:val="13"/>
        </w:rPr>
        <w:tab/>
      </w:r>
      <w:r>
        <w:rPr>
          <w:b/>
          <w:bCs/>
          <w:sz w:val="12"/>
          <w:szCs w:val="12"/>
        </w:rPr>
        <w:t>408,00</w:t>
      </w:r>
    </w:p>
    <w:p w:rsidR="00344B54" w:rsidRDefault="00344B54" w:rsidP="00706E14">
      <w:pPr>
        <w:pStyle w:val="Style2"/>
        <w:framePr w:w="3374" w:h="1061" w:wrap="none" w:hAnchor="page" w:x="5592" w:y="14574"/>
        <w:shd w:val="clear" w:color="auto" w:fill="auto"/>
        <w:ind w:right="180"/>
        <w:jc w:val="center"/>
        <w:rPr>
          <w:sz w:val="26"/>
          <w:szCs w:val="26"/>
        </w:rPr>
      </w:pPr>
    </w:p>
    <w:p w:rsidR="00344B54" w:rsidRDefault="00A3760B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633730</wp:posOffset>
            </wp:positionH>
            <wp:positionV relativeFrom="margin">
              <wp:posOffset>692150</wp:posOffset>
            </wp:positionV>
            <wp:extent cx="5081270" cy="84823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81270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line="360" w:lineRule="exact"/>
      </w:pPr>
    </w:p>
    <w:p w:rsidR="00344B54" w:rsidRDefault="00344B54">
      <w:pPr>
        <w:spacing w:after="541" w:line="1" w:lineRule="exact"/>
      </w:pPr>
    </w:p>
    <w:p w:rsidR="00344B54" w:rsidRDefault="00344B54">
      <w:pPr>
        <w:spacing w:line="1" w:lineRule="exact"/>
      </w:pPr>
    </w:p>
    <w:sectPr w:rsidR="00344B54">
      <w:footerReference w:type="default" r:id="rId8"/>
      <w:pgSz w:w="11909" w:h="16834"/>
      <w:pgMar w:top="7" w:right="912" w:bottom="584" w:left="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60B" w:rsidRDefault="00A3760B">
      <w:r>
        <w:separator/>
      </w:r>
    </w:p>
  </w:endnote>
  <w:endnote w:type="continuationSeparator" w:id="0">
    <w:p w:rsidR="00A3760B" w:rsidRDefault="00A3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54" w:rsidRDefault="00A3760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6860540</wp:posOffset>
              </wp:positionH>
              <wp:positionV relativeFrom="page">
                <wp:posOffset>10255250</wp:posOffset>
              </wp:positionV>
              <wp:extent cx="45720" cy="1282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4B54" w:rsidRDefault="00A3760B">
                          <w:pPr>
                            <w:pStyle w:val="Style19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40.2pt;margin-top:807.5pt;width:3.6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" filled="f" stroked="f">
              <v:textbox style="mso-fit-shape-to-text:t" inset="0,0,0,0">
                <w:txbxContent>
                  <w:p w:rsidR="00344B54" w:rsidRDefault="00A3760B">
                    <w:pPr>
                      <w:pStyle w:val="Style19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60B" w:rsidRDefault="00A3760B"/>
  </w:footnote>
  <w:footnote w:type="continuationSeparator" w:id="0">
    <w:p w:rsidR="00A3760B" w:rsidRDefault="00A376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54"/>
    <w:rsid w:val="00344B54"/>
    <w:rsid w:val="00706E14"/>
    <w:rsid w:val="00A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D602"/>
  <w15:docId w15:val="{C7E3B874-B031-4CF7-9DAD-3F4BFA3A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ind w:right="9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ind w:firstLine="160"/>
    </w:pPr>
    <w:rPr>
      <w:rFonts w:ascii="Arial" w:eastAsia="Arial" w:hAnsi="Arial" w:cs="Arial"/>
      <w:sz w:val="13"/>
      <w:szCs w:val="13"/>
    </w:rPr>
  </w:style>
  <w:style w:type="paragraph" w:customStyle="1" w:styleId="Style9">
    <w:name w:val="Style 9"/>
    <w:basedOn w:val="Normln"/>
    <w:link w:val="CharStyle10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09" w:lineRule="auto"/>
    </w:pPr>
    <w:rPr>
      <w:rFonts w:ascii="Arial" w:eastAsia="Arial" w:hAnsi="Arial" w:cs="Arial"/>
      <w:sz w:val="16"/>
      <w:szCs w:val="16"/>
    </w:rPr>
  </w:style>
  <w:style w:type="paragraph" w:customStyle="1" w:styleId="Style19">
    <w:name w:val="Style 19"/>
    <w:basedOn w:val="Normln"/>
    <w:link w:val="CharStyle20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cp:lastModifiedBy>Michaela Toušková (Povodí Ohře)</cp:lastModifiedBy>
  <cp:revision>3</cp:revision>
  <dcterms:created xsi:type="dcterms:W3CDTF">2024-09-18T09:37:00Z</dcterms:created>
  <dcterms:modified xsi:type="dcterms:W3CDTF">2024-09-18T09:38:00Z</dcterms:modified>
</cp:coreProperties>
</file>