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32EE6" w14:textId="77777777" w:rsidR="004B0C2E" w:rsidRDefault="004B0C2E">
      <w:pPr>
        <w:spacing w:line="1" w:lineRule="exact"/>
      </w:pPr>
    </w:p>
    <w:p w14:paraId="19FB01A0" w14:textId="122F895B" w:rsidR="004B0C2E" w:rsidRDefault="006E3E20" w:rsidP="0003115D">
      <w:pPr>
        <w:pStyle w:val="Bodytext10"/>
        <w:framePr w:w="10478" w:h="14194" w:hRule="exact" w:wrap="none" w:vAnchor="page" w:hAnchor="page" w:x="275" w:y="894"/>
        <w:spacing w:after="0" w:line="240" w:lineRule="auto"/>
        <w:ind w:left="592" w:firstLine="708"/>
        <w:rPr>
          <w:sz w:val="24"/>
          <w:szCs w:val="24"/>
        </w:rPr>
      </w:pPr>
      <w:r>
        <w:rPr>
          <w:rFonts w:ascii="Arial" w:eastAsia="Arial" w:hAnsi="Arial" w:cs="Arial"/>
          <w:sz w:val="13"/>
          <w:szCs w:val="13"/>
        </w:rPr>
        <w:t xml:space="preserve"> </w:t>
      </w:r>
      <w:r>
        <w:rPr>
          <w:b/>
          <w:bCs/>
          <w:sz w:val="24"/>
          <w:szCs w:val="24"/>
        </w:rPr>
        <w:t>Národní muzeum</w:t>
      </w:r>
    </w:p>
    <w:p w14:paraId="4D7A2952" w14:textId="45D60CD6" w:rsidR="004B0C2E" w:rsidRDefault="004B0C2E">
      <w:pPr>
        <w:pStyle w:val="Bodytext10"/>
        <w:framePr w:w="10478" w:h="14194" w:hRule="exact" w:wrap="none" w:vAnchor="page" w:hAnchor="page" w:x="275" w:y="894"/>
        <w:spacing w:after="0" w:line="204" w:lineRule="auto"/>
        <w:rPr>
          <w:sz w:val="24"/>
          <w:szCs w:val="24"/>
        </w:rPr>
      </w:pPr>
    </w:p>
    <w:p w14:paraId="62901297" w14:textId="77777777" w:rsidR="004B0C2E" w:rsidRDefault="006E3E20">
      <w:pPr>
        <w:pStyle w:val="Bodytext10"/>
        <w:framePr w:w="10478" w:h="14194" w:hRule="exact" w:wrap="none" w:vAnchor="page" w:hAnchor="page" w:x="275" w:y="894"/>
        <w:spacing w:after="180" w:line="214" w:lineRule="auto"/>
        <w:ind w:left="1300"/>
      </w:pPr>
      <w:r>
        <w:t>IČO: 000 23 272</w:t>
      </w:r>
    </w:p>
    <w:p w14:paraId="4C2628F6" w14:textId="77777777" w:rsidR="004B0C2E" w:rsidRDefault="006E3E20">
      <w:pPr>
        <w:pStyle w:val="Bodytext10"/>
        <w:framePr w:w="10478" w:h="14194" w:hRule="exact" w:wrap="none" w:vAnchor="page" w:hAnchor="page" w:x="275" w:y="894"/>
        <w:spacing w:line="300" w:lineRule="auto"/>
        <w:ind w:left="1300"/>
        <w:jc w:val="both"/>
      </w:pPr>
      <w:r>
        <w:t>se sídlem: Václavské náměstí 1700/68, 11000, Praha, Nové Město</w:t>
      </w:r>
    </w:p>
    <w:p w14:paraId="6EFE33BD" w14:textId="77777777" w:rsidR="004B0C2E" w:rsidRDefault="006E3E20">
      <w:pPr>
        <w:pStyle w:val="Bodytext10"/>
        <w:framePr w:w="10478" w:h="14194" w:hRule="exact" w:wrap="none" w:vAnchor="page" w:hAnchor="page" w:x="275" w:y="894"/>
        <w:spacing w:after="0" w:line="300" w:lineRule="auto"/>
        <w:ind w:left="1300"/>
        <w:jc w:val="both"/>
      </w:pPr>
      <w:r>
        <w:t>jehož jménem jedná Ing. Rudolf Pohl, provozní náměstek</w:t>
      </w:r>
    </w:p>
    <w:p w14:paraId="2913D9B7" w14:textId="77777777" w:rsidR="004B0C2E" w:rsidRDefault="006E3E20">
      <w:pPr>
        <w:pStyle w:val="Bodytext10"/>
        <w:framePr w:w="10478" w:h="14194" w:hRule="exact" w:wrap="none" w:vAnchor="page" w:hAnchor="page" w:x="275" w:y="894"/>
        <w:spacing w:after="0" w:line="878" w:lineRule="exact"/>
        <w:ind w:left="1300" w:firstLine="20"/>
        <w:jc w:val="both"/>
      </w:pPr>
      <w:r>
        <w:t xml:space="preserve">na straně jedné (dále též jako </w:t>
      </w:r>
      <w:r>
        <w:rPr>
          <w:b/>
          <w:bCs/>
          <w:sz w:val="24"/>
          <w:szCs w:val="24"/>
        </w:rPr>
        <w:t xml:space="preserve">„Objednatel“) </w:t>
      </w:r>
      <w:r>
        <w:t>a</w:t>
      </w:r>
    </w:p>
    <w:p w14:paraId="7994054A" w14:textId="77777777" w:rsidR="004B0C2E" w:rsidRDefault="006E3E20">
      <w:pPr>
        <w:pStyle w:val="Heading210"/>
        <w:framePr w:w="10478" w:h="14194" w:hRule="exact" w:wrap="none" w:vAnchor="page" w:hAnchor="page" w:x="275" w:y="894"/>
        <w:spacing w:after="180" w:line="878" w:lineRule="exact"/>
        <w:ind w:left="1300" w:firstLine="20"/>
        <w:jc w:val="both"/>
      </w:pPr>
      <w:bookmarkStart w:id="0" w:name="bookmark0"/>
      <w:bookmarkStart w:id="1" w:name="bookmark1"/>
      <w:bookmarkStart w:id="2" w:name="bookmark2"/>
      <w:proofErr w:type="spellStart"/>
      <w:r>
        <w:t>FortiFox</w:t>
      </w:r>
      <w:proofErr w:type="spellEnd"/>
      <w:r>
        <w:t xml:space="preserve"> Technologies, a.s.</w:t>
      </w:r>
      <w:bookmarkEnd w:id="0"/>
      <w:bookmarkEnd w:id="1"/>
      <w:bookmarkEnd w:id="2"/>
    </w:p>
    <w:p w14:paraId="3E9BD07C" w14:textId="77777777" w:rsidR="004B0C2E" w:rsidRDefault="006E3E20">
      <w:pPr>
        <w:pStyle w:val="Bodytext10"/>
        <w:framePr w:w="10478" w:h="14194" w:hRule="exact" w:wrap="none" w:vAnchor="page" w:hAnchor="page" w:x="275" w:y="894"/>
        <w:spacing w:line="300" w:lineRule="auto"/>
        <w:ind w:left="1300" w:firstLine="20"/>
        <w:jc w:val="both"/>
      </w:pPr>
      <w:r>
        <w:t xml:space="preserve">IČO: </w:t>
      </w:r>
      <w:r>
        <w:t>176 62 087</w:t>
      </w:r>
    </w:p>
    <w:p w14:paraId="7A99EE66" w14:textId="77777777" w:rsidR="004B0C2E" w:rsidRDefault="006E3E20">
      <w:pPr>
        <w:pStyle w:val="Bodytext10"/>
        <w:framePr w:w="10478" w:h="14194" w:hRule="exact" w:wrap="none" w:vAnchor="page" w:hAnchor="page" w:x="275" w:y="894"/>
        <w:spacing w:line="300" w:lineRule="auto"/>
        <w:ind w:left="1300" w:firstLine="20"/>
        <w:jc w:val="both"/>
      </w:pPr>
      <w:r>
        <w:t>se sídlem: Rohanské nábřeží 671/15, Karlín, 186 00 Praha 8</w:t>
      </w:r>
    </w:p>
    <w:p w14:paraId="7E5BB896" w14:textId="77777777" w:rsidR="004B0C2E" w:rsidRDefault="006E3E20">
      <w:pPr>
        <w:pStyle w:val="Bodytext10"/>
        <w:framePr w:w="10478" w:h="14194" w:hRule="exact" w:wrap="none" w:vAnchor="page" w:hAnchor="page" w:x="275" w:y="894"/>
        <w:spacing w:line="300" w:lineRule="auto"/>
        <w:ind w:left="1300"/>
        <w:jc w:val="both"/>
      </w:pPr>
      <w:r>
        <w:t>zapsaná v obchodním rejstříku vedeném Městským soudem v Praze, oddíl B, vložka 27684</w:t>
      </w:r>
    </w:p>
    <w:p w14:paraId="1FC54450" w14:textId="77777777" w:rsidR="004B0C2E" w:rsidRDefault="006E3E20">
      <w:pPr>
        <w:pStyle w:val="Bodytext10"/>
        <w:framePr w:w="10478" w:h="14194" w:hRule="exact" w:wrap="none" w:vAnchor="page" w:hAnchor="page" w:x="275" w:y="894"/>
        <w:spacing w:line="300" w:lineRule="auto"/>
        <w:ind w:left="1300"/>
        <w:jc w:val="both"/>
      </w:pPr>
      <w:r>
        <w:t>zastoupena: Milošem Vrábelem, předsedou správní rady</w:t>
      </w:r>
    </w:p>
    <w:p w14:paraId="6DDA613D" w14:textId="77777777" w:rsidR="004B0C2E" w:rsidRDefault="006E3E20">
      <w:pPr>
        <w:pStyle w:val="Bodytext10"/>
        <w:framePr w:w="10478" w:h="14194" w:hRule="exact" w:wrap="none" w:vAnchor="page" w:hAnchor="page" w:x="275" w:y="894"/>
        <w:spacing w:line="300" w:lineRule="auto"/>
        <w:jc w:val="center"/>
      </w:pPr>
      <w:r>
        <w:t>Ing. Ondřejem Rolníkem, členem správní rady</w:t>
      </w:r>
    </w:p>
    <w:p w14:paraId="6DD1597E" w14:textId="4763DAC8" w:rsidR="004B0C2E" w:rsidRDefault="006E3E20">
      <w:pPr>
        <w:pStyle w:val="Bodytext10"/>
        <w:framePr w:w="10478" w:h="14194" w:hRule="exact" w:wrap="none" w:vAnchor="page" w:hAnchor="page" w:x="275" w:y="894"/>
        <w:spacing w:line="300" w:lineRule="auto"/>
        <w:ind w:left="1300"/>
      </w:pPr>
      <w:r>
        <w:t xml:space="preserve">číslo účtu: </w:t>
      </w:r>
      <w:r w:rsidR="00695339">
        <w:t>XXXXXXXXXXXXXXXXX</w:t>
      </w:r>
    </w:p>
    <w:p w14:paraId="13632C30" w14:textId="77777777" w:rsidR="004B0C2E" w:rsidRDefault="006E3E20">
      <w:pPr>
        <w:pStyle w:val="Bodytext10"/>
        <w:framePr w:w="10478" w:h="14194" w:hRule="exact" w:wrap="none" w:vAnchor="page" w:hAnchor="page" w:x="275" w:y="894"/>
        <w:spacing w:after="560" w:line="276" w:lineRule="auto"/>
        <w:ind w:left="1300" w:firstLine="20"/>
        <w:jc w:val="both"/>
        <w:rPr>
          <w:sz w:val="24"/>
          <w:szCs w:val="24"/>
        </w:rPr>
      </w:pPr>
      <w:r>
        <w:t xml:space="preserve">na straně druhé (dále též jako </w:t>
      </w:r>
      <w:r>
        <w:rPr>
          <w:b/>
          <w:bCs/>
          <w:sz w:val="24"/>
          <w:szCs w:val="24"/>
        </w:rPr>
        <w:t>„Zhotovitel“)</w:t>
      </w:r>
    </w:p>
    <w:p w14:paraId="5EA2F930" w14:textId="77777777" w:rsidR="004B0C2E" w:rsidRDefault="006E3E20">
      <w:pPr>
        <w:pStyle w:val="Bodytext10"/>
        <w:framePr w:w="10478" w:h="14194" w:hRule="exact" w:wrap="none" w:vAnchor="page" w:hAnchor="page" w:x="275" w:y="894"/>
        <w:spacing w:after="560" w:line="298" w:lineRule="auto"/>
        <w:ind w:left="1300" w:firstLine="20"/>
        <w:jc w:val="both"/>
      </w:pPr>
      <w:r>
        <w:t xml:space="preserve">uzavírají níže uvedeného dne, měsíce a roku ve smyslu ustanovení § 2586 a násl. zákona č. 89/2012 </w:t>
      </w:r>
      <w:proofErr w:type="spellStart"/>
      <w:proofErr w:type="gramStart"/>
      <w:r>
        <w:t>Sb</w:t>
      </w:r>
      <w:proofErr w:type="spellEnd"/>
      <w:r>
        <w:t>„ občanský</w:t>
      </w:r>
      <w:proofErr w:type="gramEnd"/>
      <w:r>
        <w:t xml:space="preserve"> zákoník, ve znění pozdějších předpisů (dále též jako „Občanský zákoník“), tuto</w:t>
      </w:r>
    </w:p>
    <w:p w14:paraId="2D3E98C8" w14:textId="77777777" w:rsidR="004B0C2E" w:rsidRDefault="006E3E20">
      <w:pPr>
        <w:pStyle w:val="Heading110"/>
        <w:framePr w:w="10478" w:h="14194" w:hRule="exact" w:wrap="none" w:vAnchor="page" w:hAnchor="page" w:x="275" w:y="894"/>
      </w:pPr>
      <w:bookmarkStart w:id="3" w:name="bookmark3"/>
      <w:bookmarkStart w:id="4" w:name="bookmark4"/>
      <w:bookmarkStart w:id="5" w:name="bookmark5"/>
      <w:r>
        <w:t>SMLOUVU O DÍLO</w:t>
      </w:r>
      <w:bookmarkEnd w:id="3"/>
      <w:bookmarkEnd w:id="4"/>
      <w:bookmarkEnd w:id="5"/>
    </w:p>
    <w:p w14:paraId="5577EB2D" w14:textId="77777777" w:rsidR="004B0C2E" w:rsidRDefault="006E3E20">
      <w:pPr>
        <w:pStyle w:val="Heading210"/>
        <w:framePr w:w="10478" w:h="14194" w:hRule="exact" w:wrap="none" w:vAnchor="page" w:hAnchor="page" w:x="275" w:y="894"/>
      </w:pPr>
      <w:bookmarkStart w:id="6" w:name="bookmark6"/>
      <w:bookmarkStart w:id="7" w:name="bookmark7"/>
      <w:bookmarkStart w:id="8" w:name="bookmark8"/>
      <w:r>
        <w:t>i.</w:t>
      </w:r>
      <w:bookmarkEnd w:id="6"/>
      <w:bookmarkEnd w:id="7"/>
      <w:bookmarkEnd w:id="8"/>
    </w:p>
    <w:p w14:paraId="7485F1DD" w14:textId="77777777" w:rsidR="004B0C2E" w:rsidRDefault="006E3E20">
      <w:pPr>
        <w:pStyle w:val="Bodytext10"/>
        <w:framePr w:w="10478" w:h="14194" w:hRule="exact" w:wrap="none" w:vAnchor="page" w:hAnchor="page" w:x="275" w:y="894"/>
        <w:spacing w:after="560"/>
        <w:ind w:left="1300" w:firstLine="20"/>
        <w:jc w:val="both"/>
      </w:pPr>
      <w:r>
        <w:t xml:space="preserve">Předmětem této smlouvy je úprava práv a povinností smluvních stran souvisejících se závazkem Zhotovitele provést pro Objednatele na svůj náklad a nebezpečí dílo níže specifikované a se závazkem Objednatele dílo převzít a </w:t>
      </w:r>
      <w:r>
        <w:t>zaplatit Zhotoviteli cenu, to vše za podmínek touto smlouvou stanovených.</w:t>
      </w:r>
    </w:p>
    <w:p w14:paraId="519CA74A" w14:textId="77777777" w:rsidR="004B0C2E" w:rsidRDefault="006E3E20">
      <w:pPr>
        <w:pStyle w:val="Heading210"/>
        <w:framePr w:w="10478" w:h="14194" w:hRule="exact" w:wrap="none" w:vAnchor="page" w:hAnchor="page" w:x="275" w:y="894"/>
      </w:pPr>
      <w:bookmarkStart w:id="9" w:name="bookmark10"/>
      <w:bookmarkStart w:id="10" w:name="bookmark11"/>
      <w:bookmarkStart w:id="11" w:name="bookmark9"/>
      <w:r>
        <w:t>II.</w:t>
      </w:r>
      <w:bookmarkEnd w:id="9"/>
      <w:bookmarkEnd w:id="10"/>
      <w:bookmarkEnd w:id="11"/>
    </w:p>
    <w:p w14:paraId="01CAB367" w14:textId="77777777" w:rsidR="004B0C2E" w:rsidRDefault="006E3E20">
      <w:pPr>
        <w:pStyle w:val="Bodytext10"/>
        <w:framePr w:w="10478" w:h="14194" w:hRule="exact" w:wrap="none" w:vAnchor="page" w:hAnchor="page" w:x="275" w:y="894"/>
        <w:numPr>
          <w:ilvl w:val="0"/>
          <w:numId w:val="1"/>
        </w:numPr>
        <w:tabs>
          <w:tab w:val="left" w:pos="1872"/>
        </w:tabs>
        <w:spacing w:line="298" w:lineRule="auto"/>
        <w:ind w:left="1880" w:hanging="560"/>
        <w:jc w:val="both"/>
      </w:pPr>
      <w:bookmarkStart w:id="12" w:name="bookmark12"/>
      <w:bookmarkEnd w:id="12"/>
      <w:r>
        <w:t>Zhotovitel se touto smlouvou zavazuje provést pro Objednatele za podmínek touto smlouvou stanovených následující dílo:</w:t>
      </w:r>
    </w:p>
    <w:p w14:paraId="58513103" w14:textId="77777777" w:rsidR="004B0C2E" w:rsidRDefault="006E3E20">
      <w:pPr>
        <w:pStyle w:val="Bodytext10"/>
        <w:framePr w:w="10478" w:h="14194" w:hRule="exact" w:wrap="none" w:vAnchor="page" w:hAnchor="page" w:x="275" w:y="894"/>
        <w:spacing w:after="0" w:line="298" w:lineRule="auto"/>
        <w:ind w:left="2440" w:hanging="560"/>
        <w:jc w:val="both"/>
      </w:pPr>
      <w:r>
        <w:t>• Demontáž pokladny v NBNM vč. elektra a elektroinstalace pro nově zřízené pokladny (dále též jako „Dílo“).</w:t>
      </w:r>
    </w:p>
    <w:p w14:paraId="3DD21B95" w14:textId="77777777" w:rsidR="004B0C2E" w:rsidRDefault="006E3E20">
      <w:pPr>
        <w:pStyle w:val="Headerorfooter10"/>
        <w:framePr w:w="115" w:h="235" w:hRule="exact" w:wrap="none" w:vAnchor="page" w:hAnchor="page" w:x="6087" w:y="15740"/>
        <w:jc w:val="center"/>
      </w:pPr>
      <w:r>
        <w:t>1</w:t>
      </w:r>
    </w:p>
    <w:p w14:paraId="4078E54A" w14:textId="77777777" w:rsidR="004B0C2E" w:rsidRDefault="004B0C2E">
      <w:pPr>
        <w:spacing w:line="1" w:lineRule="exact"/>
        <w:sectPr w:rsidR="004B0C2E">
          <w:pgSz w:w="11900" w:h="16840"/>
          <w:pgMar w:top="360" w:right="360" w:bottom="360" w:left="360" w:header="0" w:footer="3" w:gutter="0"/>
          <w:cols w:space="720"/>
          <w:noEndnote/>
          <w:docGrid w:linePitch="360"/>
        </w:sectPr>
      </w:pPr>
    </w:p>
    <w:p w14:paraId="790130A1" w14:textId="77777777" w:rsidR="004B0C2E" w:rsidRDefault="004B0C2E">
      <w:pPr>
        <w:spacing w:line="1" w:lineRule="exact"/>
      </w:pPr>
    </w:p>
    <w:p w14:paraId="3DB38E25" w14:textId="77777777" w:rsidR="004B0C2E" w:rsidRDefault="006E3E20">
      <w:pPr>
        <w:pStyle w:val="Bodytext10"/>
        <w:framePr w:w="10478" w:h="14477" w:hRule="exact" w:wrap="none" w:vAnchor="page" w:hAnchor="page" w:x="275" w:y="894"/>
        <w:numPr>
          <w:ilvl w:val="0"/>
          <w:numId w:val="1"/>
        </w:numPr>
        <w:tabs>
          <w:tab w:val="left" w:pos="1902"/>
        </w:tabs>
        <w:spacing w:after="100"/>
        <w:ind w:left="1880" w:hanging="540"/>
        <w:jc w:val="both"/>
      </w:pPr>
      <w:bookmarkStart w:id="13" w:name="bookmark13"/>
      <w:bookmarkEnd w:id="13"/>
      <w:r>
        <w:t xml:space="preserve">Smluvní strany pro vyloučení pochybností konstatují, že Dílo bude provedeno v souladu s nabídkou Zhotovitele podanou v rámci předmětného zadávacího řízení uvedenou v příloze č. </w:t>
      </w:r>
      <w:r>
        <w:t xml:space="preserve">1, která </w:t>
      </w:r>
      <w:proofErr w:type="gramStart"/>
      <w:r>
        <w:t>tvoří</w:t>
      </w:r>
      <w:proofErr w:type="gramEnd"/>
      <w:r>
        <w:t xml:space="preserve"> nedílnou součást této smlouvy, a v souladu se zadávacími podmínkami předmětné veřejné zakázky.</w:t>
      </w:r>
    </w:p>
    <w:p w14:paraId="2C60EC72" w14:textId="77777777" w:rsidR="004B0C2E" w:rsidRDefault="006E3E20">
      <w:pPr>
        <w:pStyle w:val="Bodytext10"/>
        <w:framePr w:w="10478" w:h="14477" w:hRule="exact" w:wrap="none" w:vAnchor="page" w:hAnchor="page" w:x="275" w:y="894"/>
        <w:numPr>
          <w:ilvl w:val="0"/>
          <w:numId w:val="1"/>
        </w:numPr>
        <w:tabs>
          <w:tab w:val="left" w:pos="1902"/>
        </w:tabs>
        <w:spacing w:after="100" w:line="300" w:lineRule="auto"/>
        <w:ind w:left="1880" w:hanging="540"/>
        <w:jc w:val="both"/>
      </w:pPr>
      <w:bookmarkStart w:id="14" w:name="bookmark14"/>
      <w:bookmarkEnd w:id="14"/>
      <w:r>
        <w:t>Dílo bude Zhotovitelem provedeno na adrese Nová budova Národního muzea, Vinohradská 1/52, 110 00 Praha 1.</w:t>
      </w:r>
    </w:p>
    <w:p w14:paraId="1D5BA470" w14:textId="77777777" w:rsidR="004B0C2E" w:rsidRDefault="006E3E20">
      <w:pPr>
        <w:pStyle w:val="Bodytext10"/>
        <w:framePr w:w="10478" w:h="14477" w:hRule="exact" w:wrap="none" w:vAnchor="page" w:hAnchor="page" w:x="275" w:y="894"/>
        <w:numPr>
          <w:ilvl w:val="0"/>
          <w:numId w:val="1"/>
        </w:numPr>
        <w:tabs>
          <w:tab w:val="left" w:pos="1902"/>
        </w:tabs>
        <w:spacing w:after="540" w:line="305" w:lineRule="auto"/>
        <w:ind w:left="1880" w:hanging="540"/>
        <w:jc w:val="both"/>
      </w:pPr>
      <w:bookmarkStart w:id="15" w:name="bookmark15"/>
      <w:bookmarkEnd w:id="15"/>
      <w:r>
        <w:t xml:space="preserve">Zhotovitel se zavazuje, že </w:t>
      </w:r>
      <w:r>
        <w:t>provede Dílo a všechny jeho součásti v souladu se všemi obecně závaznými právními předpisy, odborným a kvalitním způsobem, který lze očekávat od příslušně kvalifikovaného a kompetentního zhotovitele, který má zkušenost s realizací prací podobného charakteru a rozsahu, jakým je Dílo dle této smlouvy.</w:t>
      </w:r>
    </w:p>
    <w:p w14:paraId="5FC01A0D" w14:textId="77777777" w:rsidR="004B0C2E" w:rsidRDefault="006E3E20">
      <w:pPr>
        <w:pStyle w:val="Heading210"/>
        <w:framePr w:w="10478" w:h="14477" w:hRule="exact" w:wrap="none" w:vAnchor="page" w:hAnchor="page" w:x="275" w:y="894"/>
        <w:spacing w:after="100"/>
        <w:ind w:left="5700"/>
        <w:jc w:val="both"/>
      </w:pPr>
      <w:bookmarkStart w:id="16" w:name="bookmark18"/>
      <w:bookmarkStart w:id="17" w:name="bookmark16"/>
      <w:bookmarkStart w:id="18" w:name="bookmark17"/>
      <w:bookmarkStart w:id="19" w:name="bookmark19"/>
      <w:r>
        <w:t>I</w:t>
      </w:r>
      <w:bookmarkEnd w:id="16"/>
      <w:r>
        <w:t>II.</w:t>
      </w:r>
      <w:bookmarkEnd w:id="17"/>
      <w:bookmarkEnd w:id="18"/>
      <w:bookmarkEnd w:id="19"/>
    </w:p>
    <w:p w14:paraId="67B45BDB" w14:textId="77777777" w:rsidR="004B0C2E" w:rsidRDefault="006E3E20">
      <w:pPr>
        <w:pStyle w:val="Bodytext10"/>
        <w:framePr w:w="10478" w:h="14477" w:hRule="exact" w:wrap="none" w:vAnchor="page" w:hAnchor="page" w:x="275" w:y="894"/>
        <w:numPr>
          <w:ilvl w:val="0"/>
          <w:numId w:val="2"/>
        </w:numPr>
        <w:tabs>
          <w:tab w:val="left" w:pos="1902"/>
        </w:tabs>
        <w:spacing w:after="100" w:line="310" w:lineRule="auto"/>
        <w:ind w:left="1880" w:hanging="540"/>
        <w:jc w:val="both"/>
      </w:pPr>
      <w:bookmarkStart w:id="20" w:name="bookmark20"/>
      <w:bookmarkEnd w:id="20"/>
      <w:r>
        <w:t>Zhotovitel se zavazuje provést Dílo ve lhůtě do čtyř (4) měsíců ode dne účinnosti této smlouvy.</w:t>
      </w:r>
    </w:p>
    <w:p w14:paraId="0D34D96C" w14:textId="77777777" w:rsidR="004B0C2E" w:rsidRDefault="006E3E20">
      <w:pPr>
        <w:pStyle w:val="Bodytext10"/>
        <w:framePr w:w="10478" w:h="14477" w:hRule="exact" w:wrap="none" w:vAnchor="page" w:hAnchor="page" w:x="275" w:y="894"/>
        <w:numPr>
          <w:ilvl w:val="0"/>
          <w:numId w:val="2"/>
        </w:numPr>
        <w:tabs>
          <w:tab w:val="left" w:pos="1902"/>
        </w:tabs>
        <w:spacing w:after="100"/>
        <w:ind w:left="1320"/>
        <w:jc w:val="both"/>
      </w:pPr>
      <w:bookmarkStart w:id="21" w:name="bookmark21"/>
      <w:bookmarkEnd w:id="21"/>
      <w:r>
        <w:t>Dílo je provedeno, je-li Zhotovitelem dokončeno a předáno Objednateli.</w:t>
      </w:r>
    </w:p>
    <w:p w14:paraId="3F85B730" w14:textId="77777777" w:rsidR="004B0C2E" w:rsidRDefault="006E3E20">
      <w:pPr>
        <w:pStyle w:val="Bodytext10"/>
        <w:framePr w:w="10478" w:h="14477" w:hRule="exact" w:wrap="none" w:vAnchor="page" w:hAnchor="page" w:x="275" w:y="894"/>
        <w:numPr>
          <w:ilvl w:val="0"/>
          <w:numId w:val="2"/>
        </w:numPr>
        <w:tabs>
          <w:tab w:val="left" w:pos="1902"/>
        </w:tabs>
        <w:spacing w:after="100" w:line="305" w:lineRule="auto"/>
        <w:ind w:left="1880" w:hanging="540"/>
        <w:jc w:val="both"/>
      </w:pPr>
      <w:bookmarkStart w:id="22" w:name="bookmark22"/>
      <w:bookmarkEnd w:id="22"/>
      <w:r>
        <w:t>Dílo je dokončeno, je-li provedeno bez vad a nedodělků a je předvedena jeho způsobilost sloužit svému účelu.</w:t>
      </w:r>
    </w:p>
    <w:p w14:paraId="07D173B3" w14:textId="77777777" w:rsidR="004B0C2E" w:rsidRDefault="006E3E20">
      <w:pPr>
        <w:pStyle w:val="Bodytext10"/>
        <w:framePr w:w="10478" w:h="14477" w:hRule="exact" w:wrap="none" w:vAnchor="page" w:hAnchor="page" w:x="275" w:y="894"/>
        <w:numPr>
          <w:ilvl w:val="0"/>
          <w:numId w:val="2"/>
        </w:numPr>
        <w:tabs>
          <w:tab w:val="left" w:pos="1902"/>
        </w:tabs>
        <w:spacing w:after="100"/>
        <w:ind w:left="1320"/>
        <w:jc w:val="both"/>
      </w:pPr>
      <w:bookmarkStart w:id="23" w:name="bookmark23"/>
      <w:bookmarkEnd w:id="23"/>
      <w:r>
        <w:t>Objednatel se zavazuje dokončené Dílo od Zhotovitele převzít.</w:t>
      </w:r>
    </w:p>
    <w:p w14:paraId="0950438B" w14:textId="77777777" w:rsidR="004B0C2E" w:rsidRDefault="006E3E20">
      <w:pPr>
        <w:pStyle w:val="Bodytext10"/>
        <w:framePr w:w="10478" w:h="14477" w:hRule="exact" w:wrap="none" w:vAnchor="page" w:hAnchor="page" w:x="275" w:y="894"/>
        <w:numPr>
          <w:ilvl w:val="0"/>
          <w:numId w:val="2"/>
        </w:numPr>
        <w:tabs>
          <w:tab w:val="left" w:pos="1902"/>
        </w:tabs>
        <w:spacing w:after="100"/>
        <w:ind w:left="1880" w:hanging="540"/>
        <w:jc w:val="both"/>
      </w:pPr>
      <w:bookmarkStart w:id="24" w:name="bookmark24"/>
      <w:bookmarkEnd w:id="24"/>
      <w:r>
        <w:t xml:space="preserve">Smluvní strany </w:t>
      </w:r>
      <w:proofErr w:type="gramStart"/>
      <w:r>
        <w:t>sepíší</w:t>
      </w:r>
      <w:proofErr w:type="gramEnd"/>
      <w:r>
        <w:t xml:space="preserve"> o předání a převzetí Díla předávací protokol. Smluvní strany pro vyloučení pochybností </w:t>
      </w:r>
      <w:r>
        <w:t>konstatují, že odmítne-li Objednatel neoprávněně Dílo převzít, považuje se Dílo za předané okamžikem, kdy Objednatel neoprávněně odmítl Dílo převzít.</w:t>
      </w:r>
    </w:p>
    <w:p w14:paraId="673BD0BC" w14:textId="77777777" w:rsidR="004B0C2E" w:rsidRDefault="006E3E20">
      <w:pPr>
        <w:pStyle w:val="Bodytext10"/>
        <w:framePr w:w="10478" w:h="14477" w:hRule="exact" w:wrap="none" w:vAnchor="page" w:hAnchor="page" w:x="275" w:y="894"/>
        <w:numPr>
          <w:ilvl w:val="0"/>
          <w:numId w:val="2"/>
        </w:numPr>
        <w:tabs>
          <w:tab w:val="left" w:pos="1902"/>
        </w:tabs>
        <w:spacing w:after="100" w:line="300" w:lineRule="auto"/>
        <w:ind w:left="1880" w:hanging="540"/>
        <w:jc w:val="both"/>
      </w:pPr>
      <w:bookmarkStart w:id="25" w:name="bookmark25"/>
      <w:bookmarkEnd w:id="25"/>
      <w:r>
        <w:t>Objednatel je oprávněn Dílo nepřevzít v případě, že Dílo bude trpět vadami či nedodělky. Zhotovitel se zavazuje všechny vady či nedodělky Díla zjištěné při předávání Díla odstranit nejpozději do třiceti (30) dnů ode dne předání Díla.</w:t>
      </w:r>
    </w:p>
    <w:p w14:paraId="7CC3A0B3" w14:textId="77777777" w:rsidR="004B0C2E" w:rsidRDefault="006E3E20">
      <w:pPr>
        <w:pStyle w:val="Bodytext10"/>
        <w:framePr w:w="10478" w:h="14477" w:hRule="exact" w:wrap="none" w:vAnchor="page" w:hAnchor="page" w:x="275" w:y="894"/>
        <w:numPr>
          <w:ilvl w:val="0"/>
          <w:numId w:val="2"/>
        </w:numPr>
        <w:tabs>
          <w:tab w:val="left" w:pos="1902"/>
        </w:tabs>
        <w:spacing w:after="100" w:line="300" w:lineRule="auto"/>
        <w:ind w:left="1880" w:hanging="540"/>
        <w:jc w:val="both"/>
      </w:pPr>
      <w:bookmarkStart w:id="26" w:name="bookmark26"/>
      <w:bookmarkEnd w:id="26"/>
      <w:r>
        <w:t>Nebezpečí škody na Díle přechází na Objednatele okamžikem předání / převzetí Díla a/nebo okamžikem, kdy Objednatel neoprávněně odmítl Dílo převzít.</w:t>
      </w:r>
    </w:p>
    <w:p w14:paraId="77F8DC26" w14:textId="77777777" w:rsidR="004B0C2E" w:rsidRDefault="006E3E20">
      <w:pPr>
        <w:pStyle w:val="Bodytext10"/>
        <w:framePr w:w="10478" w:h="14477" w:hRule="exact" w:wrap="none" w:vAnchor="page" w:hAnchor="page" w:x="275" w:y="894"/>
        <w:numPr>
          <w:ilvl w:val="0"/>
          <w:numId w:val="2"/>
        </w:numPr>
        <w:tabs>
          <w:tab w:val="left" w:pos="1902"/>
        </w:tabs>
        <w:spacing w:after="100" w:line="305" w:lineRule="auto"/>
        <w:ind w:left="1880" w:hanging="540"/>
        <w:jc w:val="both"/>
      </w:pPr>
      <w:bookmarkStart w:id="27" w:name="bookmark27"/>
      <w:bookmarkEnd w:id="27"/>
      <w:r>
        <w:t>Objednatel se zavazuje poskytnout Zhotoviteli pro provedení Díla veškerou potřebnou součinnost.</w:t>
      </w:r>
    </w:p>
    <w:p w14:paraId="21229804" w14:textId="77777777" w:rsidR="004B0C2E" w:rsidRDefault="006E3E20">
      <w:pPr>
        <w:pStyle w:val="Bodytext10"/>
        <w:framePr w:w="10478" w:h="14477" w:hRule="exact" w:wrap="none" w:vAnchor="page" w:hAnchor="page" w:x="275" w:y="894"/>
        <w:numPr>
          <w:ilvl w:val="0"/>
          <w:numId w:val="2"/>
        </w:numPr>
        <w:tabs>
          <w:tab w:val="left" w:pos="1902"/>
        </w:tabs>
        <w:spacing w:after="100" w:line="305" w:lineRule="auto"/>
        <w:ind w:left="1880" w:hanging="540"/>
        <w:jc w:val="both"/>
      </w:pPr>
      <w:bookmarkStart w:id="28" w:name="bookmark28"/>
      <w:bookmarkEnd w:id="28"/>
      <w:r>
        <w:t>Zhotovitel bude mít na místě plnění zajištěnou dodávku elektrické energie (220 V), vody a možnost využívat toaletu.</w:t>
      </w:r>
    </w:p>
    <w:p w14:paraId="472E8ED2" w14:textId="77777777" w:rsidR="004B0C2E" w:rsidRDefault="006E3E20">
      <w:pPr>
        <w:pStyle w:val="Bodytext10"/>
        <w:framePr w:w="10478" w:h="14477" w:hRule="exact" w:wrap="none" w:vAnchor="page" w:hAnchor="page" w:x="275" w:y="894"/>
        <w:numPr>
          <w:ilvl w:val="0"/>
          <w:numId w:val="2"/>
        </w:numPr>
        <w:tabs>
          <w:tab w:val="left" w:pos="1902"/>
        </w:tabs>
        <w:spacing w:after="540"/>
        <w:ind w:left="1880" w:hanging="540"/>
        <w:jc w:val="both"/>
      </w:pPr>
      <w:bookmarkStart w:id="29" w:name="bookmark29"/>
      <w:bookmarkEnd w:id="29"/>
      <w:r>
        <w:t xml:space="preserve">Zhotovitel prohlašuje, že je pojištěn pro případ škody způsobené třetí osobě s limitem pojistného plnění ve výši </w:t>
      </w:r>
      <w:proofErr w:type="gramStart"/>
      <w:r>
        <w:t>50.000.000,-</w:t>
      </w:r>
      <w:proofErr w:type="gramEnd"/>
      <w:r>
        <w:t xml:space="preserve"> Kč. Zhotovitel bude takovou pojistnou smlouvu udržovat v platnosti po celou dobu provádění Díla.</w:t>
      </w:r>
    </w:p>
    <w:p w14:paraId="6029DF0F" w14:textId="77777777" w:rsidR="004B0C2E" w:rsidRDefault="006E3E20">
      <w:pPr>
        <w:pStyle w:val="Heading210"/>
        <w:framePr w:w="10478" w:h="14477" w:hRule="exact" w:wrap="none" w:vAnchor="page" w:hAnchor="page" w:x="275" w:y="894"/>
        <w:spacing w:after="100"/>
        <w:ind w:left="5700"/>
        <w:jc w:val="both"/>
      </w:pPr>
      <w:bookmarkStart w:id="30" w:name="bookmark32"/>
      <w:bookmarkStart w:id="31" w:name="bookmark30"/>
      <w:bookmarkStart w:id="32" w:name="bookmark31"/>
      <w:bookmarkStart w:id="33" w:name="bookmark33"/>
      <w:r>
        <w:t>I</w:t>
      </w:r>
      <w:bookmarkEnd w:id="30"/>
      <w:r>
        <w:t>V.</w:t>
      </w:r>
      <w:bookmarkEnd w:id="31"/>
      <w:bookmarkEnd w:id="32"/>
      <w:bookmarkEnd w:id="33"/>
    </w:p>
    <w:p w14:paraId="415F3B4F" w14:textId="77777777" w:rsidR="004B0C2E" w:rsidRDefault="006E3E20">
      <w:pPr>
        <w:pStyle w:val="Bodytext10"/>
        <w:framePr w:w="10478" w:h="14477" w:hRule="exact" w:wrap="none" w:vAnchor="page" w:hAnchor="page" w:x="275" w:y="894"/>
        <w:numPr>
          <w:ilvl w:val="0"/>
          <w:numId w:val="3"/>
        </w:numPr>
        <w:tabs>
          <w:tab w:val="left" w:pos="1902"/>
        </w:tabs>
        <w:spacing w:after="0"/>
        <w:ind w:left="1880" w:hanging="540"/>
        <w:jc w:val="both"/>
      </w:pPr>
      <w:bookmarkStart w:id="34" w:name="bookmark34"/>
      <w:bookmarkEnd w:id="34"/>
      <w:r>
        <w:t xml:space="preserve">Smluvní strany se dohodly, že cena za </w:t>
      </w:r>
      <w:r>
        <w:t xml:space="preserve">provedení Díla činí částku ve výši </w:t>
      </w:r>
      <w:proofErr w:type="gramStart"/>
      <w:r>
        <w:t>194.000,-</w:t>
      </w:r>
      <w:proofErr w:type="gramEnd"/>
      <w:r>
        <w:t xml:space="preserve"> Kč (slovy: jedno sto devadesát čtyři tisíc korun českých) bez DPH. Ke sjednané ceně bude připočtena a aplikována DPH dle účinných předpisů.</w:t>
      </w:r>
    </w:p>
    <w:p w14:paraId="7D731F03" w14:textId="77777777" w:rsidR="004B0C2E" w:rsidRDefault="006E3E20">
      <w:pPr>
        <w:pStyle w:val="Headerorfooter10"/>
        <w:framePr w:w="158" w:h="235" w:hRule="exact" w:wrap="none" w:vAnchor="page" w:hAnchor="page" w:x="6092" w:y="15682"/>
        <w:jc w:val="center"/>
      </w:pPr>
      <w:r>
        <w:t>2</w:t>
      </w:r>
    </w:p>
    <w:p w14:paraId="4479A3B6" w14:textId="77777777" w:rsidR="004B0C2E" w:rsidRDefault="004B0C2E">
      <w:pPr>
        <w:spacing w:line="1" w:lineRule="exact"/>
        <w:sectPr w:rsidR="004B0C2E">
          <w:pgSz w:w="11900" w:h="16840"/>
          <w:pgMar w:top="360" w:right="360" w:bottom="360" w:left="360" w:header="0" w:footer="3" w:gutter="0"/>
          <w:cols w:space="720"/>
          <w:noEndnote/>
          <w:docGrid w:linePitch="360"/>
        </w:sectPr>
      </w:pPr>
    </w:p>
    <w:p w14:paraId="098A4D12" w14:textId="77777777" w:rsidR="004B0C2E" w:rsidRDefault="004B0C2E">
      <w:pPr>
        <w:spacing w:line="1" w:lineRule="exact"/>
      </w:pPr>
    </w:p>
    <w:p w14:paraId="19BB57C0" w14:textId="77777777" w:rsidR="004B0C2E" w:rsidRDefault="006E3E20">
      <w:pPr>
        <w:pStyle w:val="Bodytext10"/>
        <w:framePr w:w="10478" w:h="13920" w:hRule="exact" w:wrap="none" w:vAnchor="page" w:hAnchor="page" w:x="275" w:y="894"/>
        <w:numPr>
          <w:ilvl w:val="0"/>
          <w:numId w:val="3"/>
        </w:numPr>
        <w:tabs>
          <w:tab w:val="left" w:pos="1565"/>
        </w:tabs>
        <w:spacing w:line="298" w:lineRule="auto"/>
        <w:ind w:left="1560" w:hanging="560"/>
      </w:pPr>
      <w:bookmarkStart w:id="35" w:name="bookmark35"/>
      <w:bookmarkEnd w:id="35"/>
      <w:r>
        <w:t>Sjednaná cena je úplná a konečná a zahrnuje veškeré náklady potřebné pro provedení Díla a vyčištění a vyklizení staveniště.</w:t>
      </w:r>
    </w:p>
    <w:p w14:paraId="43221AAB" w14:textId="77777777" w:rsidR="004B0C2E" w:rsidRDefault="006E3E20">
      <w:pPr>
        <w:pStyle w:val="Bodytext10"/>
        <w:framePr w:w="10478" w:h="13920" w:hRule="exact" w:wrap="none" w:vAnchor="page" w:hAnchor="page" w:x="275" w:y="894"/>
        <w:numPr>
          <w:ilvl w:val="0"/>
          <w:numId w:val="3"/>
        </w:numPr>
        <w:tabs>
          <w:tab w:val="left" w:pos="1565"/>
        </w:tabs>
        <w:spacing w:line="300" w:lineRule="auto"/>
        <w:ind w:left="1560" w:hanging="560"/>
      </w:pPr>
      <w:bookmarkStart w:id="36" w:name="bookmark36"/>
      <w:bookmarkEnd w:id="36"/>
      <w:r>
        <w:t>Sjednanou cenu lze zvýšit pouze při změnách plnění požadovaných Objednatelem nad rámec této smlouvy.</w:t>
      </w:r>
    </w:p>
    <w:p w14:paraId="0E65FBA0" w14:textId="77777777" w:rsidR="004B0C2E" w:rsidRDefault="006E3E20">
      <w:pPr>
        <w:pStyle w:val="Bodytext10"/>
        <w:framePr w:w="10478" w:h="13920" w:hRule="exact" w:wrap="none" w:vAnchor="page" w:hAnchor="page" w:x="275" w:y="894"/>
        <w:numPr>
          <w:ilvl w:val="0"/>
          <w:numId w:val="3"/>
        </w:numPr>
        <w:tabs>
          <w:tab w:val="left" w:pos="1565"/>
        </w:tabs>
        <w:ind w:firstLine="980"/>
      </w:pPr>
      <w:bookmarkStart w:id="37" w:name="bookmark37"/>
      <w:bookmarkEnd w:id="37"/>
      <w:r>
        <w:t>Cena Díla je splatná po provedení Díla.</w:t>
      </w:r>
    </w:p>
    <w:p w14:paraId="7972D302" w14:textId="02707741" w:rsidR="004B0C2E" w:rsidRDefault="006E3E20">
      <w:pPr>
        <w:pStyle w:val="Bodytext10"/>
        <w:framePr w:w="10478" w:h="13920" w:hRule="exact" w:wrap="none" w:vAnchor="page" w:hAnchor="page" w:x="275" w:y="894"/>
        <w:numPr>
          <w:ilvl w:val="0"/>
          <w:numId w:val="3"/>
        </w:numPr>
        <w:tabs>
          <w:tab w:val="left" w:pos="1565"/>
        </w:tabs>
        <w:spacing w:line="305" w:lineRule="auto"/>
        <w:ind w:left="1560" w:hanging="560"/>
        <w:jc w:val="both"/>
      </w:pPr>
      <w:bookmarkStart w:id="38" w:name="bookmark38"/>
      <w:bookmarkEnd w:id="38"/>
      <w:r>
        <w:t xml:space="preserve">Cena Díla je splatná na základě faktury doručené Objednateli, a to do 30 dnů ode dne vystavení faktury. Zhotovitel je povinen Objednateli fakturu doručit nejpozději následující pracovní den po jejím vystavení. Smluvní strany se dohodly, že Zhotovitel je oprávněn fakturu vystavit elektronicky a tuto Objednateli doručit na e-mailovou adresu </w:t>
      </w:r>
      <w:hyperlink r:id="rId7" w:history="1">
        <w:r w:rsidR="009C08DF">
          <w:t>XXXXXXXXXXXXXX</w:t>
        </w:r>
      </w:hyperlink>
      <w:r>
        <w:t>.</w:t>
      </w:r>
    </w:p>
    <w:p w14:paraId="4515E22C" w14:textId="77777777" w:rsidR="004B0C2E" w:rsidRDefault="006E3E20">
      <w:pPr>
        <w:pStyle w:val="Bodytext10"/>
        <w:framePr w:w="10478" w:h="13920" w:hRule="exact" w:wrap="none" w:vAnchor="page" w:hAnchor="page" w:x="275" w:y="894"/>
        <w:numPr>
          <w:ilvl w:val="0"/>
          <w:numId w:val="3"/>
        </w:numPr>
        <w:tabs>
          <w:tab w:val="left" w:pos="1565"/>
        </w:tabs>
        <w:spacing w:after="540"/>
        <w:ind w:left="1560" w:hanging="560"/>
        <w:jc w:val="both"/>
      </w:pPr>
      <w:bookmarkStart w:id="39" w:name="bookmark39"/>
      <w:bookmarkEnd w:id="39"/>
      <w:r>
        <w:t>Každý daňový doklad (faktura) musí obsahovat všechny náležitosti daňového dokladu ve smyslu účinných právních předpisů, zejména zákona č. 235/2004 Sb., o dani z přidané hodnoty, v platném znění a zákona č. 563/1991 Sb., o účetnictví, v platném znění, a dle ustanovení § 435 Občanského zákoníku. V případě, že daňový doklad (faktura) nebude obsahovat všechny náležitosti dle tohoto bodu nebo bude obsahovat nesprávné údaje, je Objednatel oprávněn vrátit ji do pěti (5) dnů od jejího doručení zpět Zhotoviteli, ani</w:t>
      </w:r>
      <w:r>
        <w:t>ž se dostává do prodlení s placením ceny. Vrácením daňového dokladu (faktury) se doba určená pro splatnost daňového dokladu (faktury) přerušuje a po dodání opraveného dokladu počíná běžet lhůta nová.</w:t>
      </w:r>
    </w:p>
    <w:p w14:paraId="739281EE" w14:textId="77777777" w:rsidR="004B0C2E" w:rsidRDefault="006E3E20">
      <w:pPr>
        <w:pStyle w:val="Heading210"/>
        <w:framePr w:w="10478" w:h="13920" w:hRule="exact" w:wrap="none" w:vAnchor="page" w:hAnchor="page" w:x="275" w:y="894"/>
      </w:pPr>
      <w:bookmarkStart w:id="40" w:name="bookmark42"/>
      <w:bookmarkStart w:id="41" w:name="bookmark40"/>
      <w:bookmarkStart w:id="42" w:name="bookmark41"/>
      <w:bookmarkStart w:id="43" w:name="bookmark43"/>
      <w:r>
        <w:t>V</w:t>
      </w:r>
      <w:bookmarkEnd w:id="40"/>
      <w:r>
        <w:t>.</w:t>
      </w:r>
      <w:bookmarkEnd w:id="41"/>
      <w:bookmarkEnd w:id="42"/>
      <w:bookmarkEnd w:id="43"/>
    </w:p>
    <w:p w14:paraId="568F8065" w14:textId="77777777" w:rsidR="004B0C2E" w:rsidRDefault="006E3E20">
      <w:pPr>
        <w:pStyle w:val="Bodytext10"/>
        <w:framePr w:w="10478" w:h="13920" w:hRule="exact" w:wrap="none" w:vAnchor="page" w:hAnchor="page" w:x="275" w:y="894"/>
        <w:numPr>
          <w:ilvl w:val="0"/>
          <w:numId w:val="4"/>
        </w:numPr>
        <w:tabs>
          <w:tab w:val="left" w:pos="1565"/>
        </w:tabs>
        <w:spacing w:line="300" w:lineRule="auto"/>
        <w:ind w:left="1560" w:hanging="560"/>
        <w:jc w:val="both"/>
      </w:pPr>
      <w:bookmarkStart w:id="44" w:name="bookmark44"/>
      <w:bookmarkEnd w:id="44"/>
      <w:r>
        <w:t>V případě, že Zhotovitel bude v prodlení s provedením Díla, zavazuje se zaplatit Objednateli smluvní pokutu ve výši 0,05 % z ceny Díla za každý započatý den prodlení.</w:t>
      </w:r>
    </w:p>
    <w:p w14:paraId="5A3D831F" w14:textId="77777777" w:rsidR="004B0C2E" w:rsidRDefault="006E3E20">
      <w:pPr>
        <w:pStyle w:val="Bodytext10"/>
        <w:framePr w:w="10478" w:h="13920" w:hRule="exact" w:wrap="none" w:vAnchor="page" w:hAnchor="page" w:x="275" w:y="894"/>
        <w:numPr>
          <w:ilvl w:val="0"/>
          <w:numId w:val="4"/>
        </w:numPr>
        <w:tabs>
          <w:tab w:val="left" w:pos="1565"/>
        </w:tabs>
        <w:spacing w:after="540" w:line="298" w:lineRule="auto"/>
        <w:ind w:left="1560" w:hanging="560"/>
        <w:jc w:val="both"/>
      </w:pPr>
      <w:bookmarkStart w:id="45" w:name="bookmark45"/>
      <w:bookmarkEnd w:id="45"/>
      <w:r>
        <w:t>V případě, že Objednatel bude v prodlení se zaplacením ceny, zavazuje se Objednatel zaplatit Zhotoviteli úrok z prodlení v zákonné výši.</w:t>
      </w:r>
    </w:p>
    <w:p w14:paraId="04DC33B4" w14:textId="77777777" w:rsidR="004B0C2E" w:rsidRDefault="006E3E20">
      <w:pPr>
        <w:pStyle w:val="Heading210"/>
        <w:framePr w:w="10478" w:h="13920" w:hRule="exact" w:wrap="none" w:vAnchor="page" w:hAnchor="page" w:x="275" w:y="894"/>
      </w:pPr>
      <w:bookmarkStart w:id="46" w:name="bookmark48"/>
      <w:bookmarkStart w:id="47" w:name="bookmark46"/>
      <w:bookmarkStart w:id="48" w:name="bookmark47"/>
      <w:bookmarkStart w:id="49" w:name="bookmark49"/>
      <w:r>
        <w:t>V</w:t>
      </w:r>
      <w:bookmarkEnd w:id="46"/>
      <w:r>
        <w:t>I.</w:t>
      </w:r>
      <w:bookmarkEnd w:id="47"/>
      <w:bookmarkEnd w:id="48"/>
      <w:bookmarkEnd w:id="49"/>
    </w:p>
    <w:p w14:paraId="0EB82209" w14:textId="77777777" w:rsidR="004B0C2E" w:rsidRDefault="006E3E20">
      <w:pPr>
        <w:pStyle w:val="Bodytext10"/>
        <w:framePr w:w="10478" w:h="13920" w:hRule="exact" w:wrap="none" w:vAnchor="page" w:hAnchor="page" w:x="275" w:y="894"/>
        <w:spacing w:after="540"/>
        <w:ind w:left="980" w:firstLine="20"/>
        <w:jc w:val="both"/>
      </w:pPr>
      <w:r>
        <w:t>Případné odstoupení od této smlouvy je možné za podmínky, že smluvní strana, která chce od smlouvy odstoupit, druhou smluvní stranu písemně upozorní na to, že tato druhá smluvní strana porušuje tuto smlouvu (s konkrétní specifikací, v čem je porušení smlouvy spatřováno) a druhá smluvní strana nezjedná nápravu ani v dodatečné přiměřené lhůtě, která nesmí být kratší, než patnáct (15) dnů.</w:t>
      </w:r>
    </w:p>
    <w:p w14:paraId="48FE7C1A" w14:textId="77777777" w:rsidR="004B0C2E" w:rsidRDefault="006E3E20">
      <w:pPr>
        <w:pStyle w:val="Heading210"/>
        <w:framePr w:w="10478" w:h="13920" w:hRule="exact" w:wrap="none" w:vAnchor="page" w:hAnchor="page" w:x="275" w:y="894"/>
      </w:pPr>
      <w:bookmarkStart w:id="50" w:name="bookmark50"/>
      <w:bookmarkStart w:id="51" w:name="bookmark51"/>
      <w:bookmarkStart w:id="52" w:name="bookmark52"/>
      <w:r>
        <w:t>VIL</w:t>
      </w:r>
      <w:bookmarkEnd w:id="50"/>
      <w:bookmarkEnd w:id="51"/>
      <w:bookmarkEnd w:id="52"/>
    </w:p>
    <w:p w14:paraId="65EBBA33" w14:textId="77777777" w:rsidR="004B0C2E" w:rsidRDefault="006E3E20">
      <w:pPr>
        <w:pStyle w:val="Bodytext10"/>
        <w:framePr w:w="10478" w:h="13920" w:hRule="exact" w:wrap="none" w:vAnchor="page" w:hAnchor="page" w:x="275" w:y="894"/>
        <w:numPr>
          <w:ilvl w:val="0"/>
          <w:numId w:val="5"/>
        </w:numPr>
        <w:tabs>
          <w:tab w:val="left" w:pos="1565"/>
        </w:tabs>
        <w:spacing w:line="298" w:lineRule="auto"/>
        <w:ind w:left="1560" w:hanging="560"/>
      </w:pPr>
      <w:bookmarkStart w:id="53" w:name="bookmark53"/>
      <w:bookmarkEnd w:id="53"/>
      <w:r>
        <w:t>Tato smlouva nabývá platnosti dnem jejího podpisu oběma smluvními stranami a účinnosti dnem zveřejnění v registru smluv.</w:t>
      </w:r>
    </w:p>
    <w:p w14:paraId="1F531EAE" w14:textId="77777777" w:rsidR="004B0C2E" w:rsidRDefault="006E3E20">
      <w:pPr>
        <w:pStyle w:val="Bodytext10"/>
        <w:framePr w:w="10478" w:h="13920" w:hRule="exact" w:wrap="none" w:vAnchor="page" w:hAnchor="page" w:x="275" w:y="894"/>
        <w:numPr>
          <w:ilvl w:val="0"/>
          <w:numId w:val="5"/>
        </w:numPr>
        <w:tabs>
          <w:tab w:val="left" w:pos="1565"/>
        </w:tabs>
        <w:spacing w:after="0" w:line="300" w:lineRule="auto"/>
        <w:ind w:left="1560" w:hanging="560"/>
      </w:pPr>
      <w:bookmarkStart w:id="54" w:name="bookmark54"/>
      <w:bookmarkEnd w:id="54"/>
      <w:r>
        <w:t xml:space="preserve">Tuto smlouvu je možné měnit, doplňovat či rušit pouze písemnou </w:t>
      </w:r>
      <w:r>
        <w:t>formou; rovněž toto ujednání může být měněno výlučně písemně.</w:t>
      </w:r>
    </w:p>
    <w:p w14:paraId="52CCBF1E" w14:textId="77777777" w:rsidR="004B0C2E" w:rsidRDefault="006E3E20">
      <w:pPr>
        <w:pStyle w:val="Headerorfooter10"/>
        <w:framePr w:wrap="none" w:vAnchor="page" w:hAnchor="page" w:x="5761" w:y="15697"/>
      </w:pPr>
      <w:r>
        <w:t>3</w:t>
      </w:r>
    </w:p>
    <w:p w14:paraId="13CCCDCC" w14:textId="77777777" w:rsidR="004B0C2E" w:rsidRDefault="004B0C2E">
      <w:pPr>
        <w:spacing w:line="1" w:lineRule="exact"/>
        <w:sectPr w:rsidR="004B0C2E">
          <w:pgSz w:w="11900" w:h="16840"/>
          <w:pgMar w:top="360" w:right="360" w:bottom="360" w:left="360" w:header="0" w:footer="3" w:gutter="0"/>
          <w:cols w:space="720"/>
          <w:noEndnote/>
          <w:docGrid w:linePitch="360"/>
        </w:sectPr>
      </w:pPr>
    </w:p>
    <w:p w14:paraId="32FFD42A" w14:textId="23F6E7FD" w:rsidR="004B0C2E" w:rsidRDefault="006E3E20">
      <w:pPr>
        <w:spacing w:line="1" w:lineRule="exact"/>
      </w:pPr>
      <w:r>
        <w:rPr>
          <w:noProof/>
        </w:rPr>
        <w:lastRenderedPageBreak/>
        <mc:AlternateContent>
          <mc:Choice Requires="wps">
            <w:drawing>
              <wp:anchor distT="0" distB="0" distL="114300" distR="114300" simplePos="0" relativeHeight="251659264" behindDoc="1" locked="0" layoutInCell="1" allowOverlap="1" wp14:anchorId="4B1AAF9F" wp14:editId="4ED83D4C">
                <wp:simplePos x="0" y="0"/>
                <wp:positionH relativeFrom="page">
                  <wp:posOffset>3924300</wp:posOffset>
                </wp:positionH>
                <wp:positionV relativeFrom="page">
                  <wp:posOffset>6144260</wp:posOffset>
                </wp:positionV>
                <wp:extent cx="2367915" cy="0"/>
                <wp:effectExtent l="0" t="0" r="0" b="0"/>
                <wp:wrapNone/>
                <wp:docPr id="1068827769" name="Shape 1"/>
                <wp:cNvGraphicFramePr/>
                <a:graphic xmlns:a="http://schemas.openxmlformats.org/drawingml/2006/main">
                  <a:graphicData uri="http://schemas.microsoft.com/office/word/2010/wordprocessingShape">
                    <wps:wsp>
                      <wps:cNvCnPr/>
                      <wps:spPr>
                        <a:xfrm>
                          <a:off x="0" y="0"/>
                          <a:ext cx="2367915" cy="0"/>
                        </a:xfrm>
                        <a:prstGeom prst="straightConnector1">
                          <a:avLst/>
                        </a:prstGeom>
                        <a:ln w="8890">
                          <a:solidFill/>
                        </a:ln>
                      </wps:spPr>
                      <wps:bodyPr/>
                    </wps:wsp>
                  </a:graphicData>
                </a:graphic>
              </wp:anchor>
            </w:drawing>
          </mc:Choice>
          <mc:Fallback>
            <w:pict>
              <v:shapetype w14:anchorId="4B367229" id="_x0000_t32" coordsize="21600,21600" o:spt="32" o:oned="t" path="m,l21600,21600e" filled="f">
                <v:path arrowok="t" fillok="f" o:connecttype="none"/>
                <o:lock v:ext="edit" shapetype="t"/>
              </v:shapetype>
              <v:shape id="Shape 1" o:spid="_x0000_s1026" type="#_x0000_t32" style="position:absolute;margin-left:309pt;margin-top:483.8pt;width:186.4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" strokeweight=".7pt">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3DB0010" wp14:editId="539E2BCB">
                <wp:simplePos x="0" y="0"/>
                <wp:positionH relativeFrom="page">
                  <wp:posOffset>826135</wp:posOffset>
                </wp:positionH>
                <wp:positionV relativeFrom="page">
                  <wp:posOffset>6141720</wp:posOffset>
                </wp:positionV>
                <wp:extent cx="2367915" cy="0"/>
                <wp:effectExtent l="0" t="0" r="0" b="0"/>
                <wp:wrapNone/>
                <wp:docPr id="1" name="Shape 1"/>
                <wp:cNvGraphicFramePr/>
                <a:graphic xmlns:a="http://schemas.openxmlformats.org/drawingml/2006/main">
                  <a:graphicData uri="http://schemas.microsoft.com/office/word/2010/wordprocessingShape">
                    <wps:wsp>
                      <wps:cNvCnPr/>
                      <wps:spPr>
                        <a:xfrm>
                          <a:off x="0" y="0"/>
                          <a:ext cx="2367915" cy="0"/>
                        </a:xfrm>
                        <a:prstGeom prst="straightConnector1">
                          <a:avLst/>
                        </a:prstGeom>
                        <a:ln w="8890">
                          <a:solidFill/>
                        </a:ln>
                      </wps:spPr>
                      <wps:bodyPr/>
                    </wps:wsp>
                  </a:graphicData>
                </a:graphic>
              </wp:anchor>
            </w:drawing>
          </mc:Choice>
          <mc:Fallback>
            <w:pict>
              <v:shape o:spt="32" o:oned="true" path="m,l21600,21600e" style="position:absolute;margin-left:65.049999999999997pt;margin-top:483.60000000000002pt;width:186.45000000000002pt;height:0;z-index:-251658240;mso-position-horizontal-relative:page;mso-position-vertical-relative:page">
                <v:stroke weight="0.70000000000000007pt"/>
              </v:shape>
            </w:pict>
          </mc:Fallback>
        </mc:AlternateContent>
      </w:r>
    </w:p>
    <w:p w14:paraId="1B7B2CEC" w14:textId="77777777" w:rsidR="004B0C2E" w:rsidRDefault="006E3E20">
      <w:pPr>
        <w:pStyle w:val="Bodytext10"/>
        <w:framePr w:w="10478" w:h="6254" w:hRule="exact" w:wrap="none" w:vAnchor="page" w:hAnchor="page" w:x="275" w:y="894"/>
        <w:numPr>
          <w:ilvl w:val="0"/>
          <w:numId w:val="5"/>
        </w:numPr>
        <w:tabs>
          <w:tab w:val="left" w:pos="1570"/>
        </w:tabs>
        <w:spacing w:after="100" w:line="305" w:lineRule="auto"/>
        <w:ind w:left="1560" w:right="355" w:hanging="560"/>
        <w:jc w:val="both"/>
      </w:pPr>
      <w:bookmarkStart w:id="55" w:name="bookmark55"/>
      <w:bookmarkEnd w:id="55"/>
      <w:r>
        <w:t>Pokud jakékoli ustanovení této smlouvy bude shledáno nebo se stane neplatným /</w:t>
      </w:r>
      <w:r>
        <w:br/>
        <w:t xml:space="preserve">nevymahatelným / zdánlivým, nebude to mít vliv na platnost, účinnost a </w:t>
      </w:r>
      <w:r>
        <w:t>vymahatelnost</w:t>
      </w:r>
      <w:r>
        <w:br/>
        <w:t>ostatních ustanovení této smlouvy. Smluvní strany se zavazují nahradit takovéto neplatné</w:t>
      </w:r>
      <w:r>
        <w:br/>
        <w:t>/ nevymahatelné / zdánlivé ustanovení novým, platným / účinným / vymahatelným</w:t>
      </w:r>
      <w:r>
        <w:br/>
        <w:t>ustanovením, jehož znění bude nejlépe odpovídat záměru vyjádřenému původním</w:t>
      </w:r>
      <w:r>
        <w:br/>
        <w:t>ustanovením a touto smlouvou jako celkem, a to do deseti (10) dnů ode dne vyzvání</w:t>
      </w:r>
      <w:r>
        <w:br/>
        <w:t>kterékoliv smluvní strany.</w:t>
      </w:r>
    </w:p>
    <w:p w14:paraId="5F770F28" w14:textId="77777777" w:rsidR="004B0C2E" w:rsidRDefault="006E3E20">
      <w:pPr>
        <w:pStyle w:val="Bodytext10"/>
        <w:framePr w:w="10478" w:h="6254" w:hRule="exact" w:wrap="none" w:vAnchor="page" w:hAnchor="page" w:x="275" w:y="894"/>
        <w:numPr>
          <w:ilvl w:val="0"/>
          <w:numId w:val="5"/>
        </w:numPr>
        <w:tabs>
          <w:tab w:val="left" w:pos="1570"/>
        </w:tabs>
        <w:spacing w:after="100" w:line="307" w:lineRule="auto"/>
        <w:ind w:left="1560" w:right="355" w:hanging="560"/>
        <w:jc w:val="both"/>
      </w:pPr>
      <w:bookmarkStart w:id="56" w:name="bookmark56"/>
      <w:bookmarkEnd w:id="56"/>
      <w:r>
        <w:t>Práva a povinnosti vzniklé z této smlouvy nesmí být, ani zčásti, postoupena/převedena ve</w:t>
      </w:r>
      <w:r>
        <w:br/>
        <w:t xml:space="preserve">smyslu </w:t>
      </w:r>
      <w:proofErr w:type="spellStart"/>
      <w:r>
        <w:t>ust</w:t>
      </w:r>
      <w:proofErr w:type="spellEnd"/>
      <w:r>
        <w:t>. § 1895 a násl. Občanského zákoníku bez předchozího písemného souhlasu</w:t>
      </w:r>
      <w:r>
        <w:br/>
        <w:t>druhé smluvní strany.</w:t>
      </w:r>
    </w:p>
    <w:p w14:paraId="758D5EEC" w14:textId="77777777" w:rsidR="004B0C2E" w:rsidRDefault="006E3E20">
      <w:pPr>
        <w:pStyle w:val="Bodytext10"/>
        <w:framePr w:w="10478" w:h="6254" w:hRule="exact" w:wrap="none" w:vAnchor="page" w:hAnchor="page" w:x="275" w:y="894"/>
        <w:numPr>
          <w:ilvl w:val="0"/>
          <w:numId w:val="5"/>
        </w:numPr>
        <w:tabs>
          <w:tab w:val="left" w:pos="1570"/>
        </w:tabs>
        <w:spacing w:after="100" w:line="305" w:lineRule="auto"/>
        <w:ind w:left="1560" w:right="355" w:hanging="560"/>
        <w:jc w:val="both"/>
      </w:pPr>
      <w:bookmarkStart w:id="57" w:name="bookmark57"/>
      <w:bookmarkEnd w:id="57"/>
      <w:r>
        <w:t>Práva a povinnosti smluvních stran výslovně touto smlouvou neupravené se řídí</w:t>
      </w:r>
      <w:r>
        <w:br/>
        <w:t>ustanoveními Občanského zákoníku, resp. i jinými platnými a účinnými právními</w:t>
      </w:r>
      <w:r>
        <w:br/>
        <w:t>předpisy České republiky.</w:t>
      </w:r>
    </w:p>
    <w:p w14:paraId="4B7F8B6E" w14:textId="77777777" w:rsidR="004B0C2E" w:rsidRDefault="006E3E20">
      <w:pPr>
        <w:pStyle w:val="Bodytext10"/>
        <w:framePr w:w="10478" w:h="6254" w:hRule="exact" w:wrap="none" w:vAnchor="page" w:hAnchor="page" w:x="275" w:y="894"/>
        <w:numPr>
          <w:ilvl w:val="0"/>
          <w:numId w:val="5"/>
        </w:numPr>
        <w:tabs>
          <w:tab w:val="left" w:pos="1570"/>
        </w:tabs>
        <w:spacing w:after="100" w:line="305" w:lineRule="auto"/>
        <w:ind w:left="1560" w:right="355" w:hanging="560"/>
        <w:jc w:val="both"/>
      </w:pPr>
      <w:bookmarkStart w:id="58" w:name="bookmark58"/>
      <w:bookmarkEnd w:id="58"/>
      <w:r>
        <w:t xml:space="preserve">Tato smlouvaje vyhotovena ve třech (3) vyhotoveních, z nichž Objednatel </w:t>
      </w:r>
      <w:proofErr w:type="gramStart"/>
      <w:r>
        <w:t>obdrží</w:t>
      </w:r>
      <w:proofErr w:type="gramEnd"/>
      <w:r>
        <w:t xml:space="preserve"> po dvou</w:t>
      </w:r>
      <w:r>
        <w:br/>
        <w:t>(2) a Zhotovitel po jednom (1) vyhotovení.</w:t>
      </w:r>
    </w:p>
    <w:p w14:paraId="7714D300" w14:textId="77777777" w:rsidR="004B0C2E" w:rsidRDefault="006E3E20">
      <w:pPr>
        <w:pStyle w:val="Bodytext10"/>
        <w:framePr w:w="10478" w:h="6254" w:hRule="exact" w:wrap="none" w:vAnchor="page" w:hAnchor="page" w:x="275" w:y="894"/>
        <w:numPr>
          <w:ilvl w:val="0"/>
          <w:numId w:val="5"/>
        </w:numPr>
        <w:tabs>
          <w:tab w:val="left" w:pos="1570"/>
        </w:tabs>
        <w:spacing w:after="0" w:line="305" w:lineRule="auto"/>
        <w:ind w:left="1560" w:right="355" w:hanging="560"/>
        <w:jc w:val="both"/>
      </w:pPr>
      <w:bookmarkStart w:id="59" w:name="bookmark59"/>
      <w:bookmarkEnd w:id="59"/>
      <w:r>
        <w:t>Smluvní strany prohlašují, že si tuto smlouvu přečetly, že odpovídá jejich pravé, svobodné</w:t>
      </w:r>
      <w:r>
        <w:br/>
        <w:t xml:space="preserve">a vážné vůli a že nebyla uzavřena za jednostranně </w:t>
      </w:r>
      <w:r>
        <w:t>nevýhodných podmínek, na důkaz</w:t>
      </w:r>
      <w:r>
        <w:br/>
        <w:t>čehož připojují své podpisy.</w:t>
      </w:r>
    </w:p>
    <w:p w14:paraId="21AAC68E" w14:textId="77777777" w:rsidR="004B0C2E" w:rsidRDefault="006E3E20">
      <w:pPr>
        <w:pStyle w:val="Bodytext10"/>
        <w:framePr w:wrap="none" w:vAnchor="page" w:hAnchor="page" w:x="1273" w:y="7681"/>
        <w:spacing w:after="0" w:line="240" w:lineRule="auto"/>
      </w:pPr>
      <w:r>
        <w:t>V Praze dne 30. 08. 2024</w:t>
      </w:r>
    </w:p>
    <w:p w14:paraId="2F9007DC" w14:textId="483A6F6A" w:rsidR="004B0C2E" w:rsidRDefault="004B0C2E">
      <w:pPr>
        <w:framePr w:wrap="none" w:vAnchor="page" w:hAnchor="page" w:x="1604" w:y="8439"/>
        <w:rPr>
          <w:sz w:val="2"/>
          <w:szCs w:val="2"/>
        </w:rPr>
      </w:pPr>
    </w:p>
    <w:p w14:paraId="438A4755" w14:textId="77777777" w:rsidR="004B0C2E" w:rsidRDefault="006E3E20">
      <w:pPr>
        <w:pStyle w:val="Picturecaption10"/>
        <w:framePr w:wrap="none" w:vAnchor="page" w:hAnchor="page" w:x="6227" w:y="7671"/>
      </w:pPr>
      <w:r>
        <w:t>V Praze dne 30. 08. 2024</w:t>
      </w:r>
    </w:p>
    <w:p w14:paraId="2ADF5B80" w14:textId="04D10370" w:rsidR="004B0C2E" w:rsidRDefault="004B0C2E">
      <w:pPr>
        <w:framePr w:wrap="none" w:vAnchor="page" w:hAnchor="page" w:x="6255" w:y="7974"/>
        <w:rPr>
          <w:sz w:val="2"/>
          <w:szCs w:val="2"/>
        </w:rPr>
      </w:pPr>
    </w:p>
    <w:p w14:paraId="55C60C40" w14:textId="77777777" w:rsidR="004B0C2E" w:rsidRDefault="006E3E20">
      <w:pPr>
        <w:pStyle w:val="Bodytext10"/>
        <w:framePr w:w="4488" w:h="1325" w:hRule="exact" w:wrap="none" w:vAnchor="page" w:hAnchor="page" w:x="1283" w:y="9841"/>
        <w:spacing w:after="160" w:line="240" w:lineRule="auto"/>
        <w:rPr>
          <w:sz w:val="24"/>
          <w:szCs w:val="24"/>
        </w:rPr>
      </w:pPr>
      <w:r>
        <w:rPr>
          <w:b/>
          <w:bCs/>
          <w:sz w:val="24"/>
          <w:szCs w:val="24"/>
        </w:rPr>
        <w:t>Národní muzeum</w:t>
      </w:r>
    </w:p>
    <w:p w14:paraId="49CBE35D" w14:textId="042397D1" w:rsidR="004B0C2E" w:rsidRDefault="006E3E20" w:rsidP="006E3E20">
      <w:pPr>
        <w:pStyle w:val="Bodytext20"/>
        <w:framePr w:w="4488" w:h="1325" w:hRule="exact" w:wrap="none" w:vAnchor="page" w:hAnchor="page" w:x="1283" w:y="9841"/>
        <w:rPr>
          <w:sz w:val="15"/>
          <w:szCs w:val="15"/>
        </w:rPr>
      </w:pPr>
      <w:r>
        <w:rPr>
          <w:rFonts w:ascii="Times New Roman" w:eastAsia="Times New Roman" w:hAnsi="Times New Roman" w:cs="Times New Roman"/>
          <w:i/>
          <w:iCs/>
          <w:color w:val="000000"/>
          <w:sz w:val="24"/>
          <w:szCs w:val="24"/>
        </w:rPr>
        <w:t xml:space="preserve">Ing. Rudolf Pohl, </w:t>
      </w:r>
    </w:p>
    <w:p w14:paraId="2DDE4A4B" w14:textId="77777777" w:rsidR="004B0C2E" w:rsidRDefault="006E3E20">
      <w:pPr>
        <w:pStyle w:val="Heading210"/>
        <w:framePr w:w="4637" w:h="1186" w:hRule="exact" w:wrap="none" w:vAnchor="page" w:hAnchor="page" w:x="5771" w:y="9831"/>
        <w:spacing w:after="140" w:line="240" w:lineRule="auto"/>
        <w:ind w:firstLine="460"/>
        <w:jc w:val="left"/>
      </w:pPr>
      <w:bookmarkStart w:id="60" w:name="bookmark60"/>
      <w:bookmarkStart w:id="61" w:name="bookmark61"/>
      <w:bookmarkStart w:id="62" w:name="bookmark62"/>
      <w:proofErr w:type="spellStart"/>
      <w:r>
        <w:t>FortiFox</w:t>
      </w:r>
      <w:proofErr w:type="spellEnd"/>
      <w:r>
        <w:t xml:space="preserve"> </w:t>
      </w:r>
      <w:r>
        <w:t>Technolog</w:t>
      </w:r>
      <w:bookmarkEnd w:id="60"/>
      <w:bookmarkEnd w:id="61"/>
      <w:bookmarkEnd w:id="62"/>
    </w:p>
    <w:p w14:paraId="43D4DB1D" w14:textId="77777777" w:rsidR="004B0C2E" w:rsidRDefault="006E3E20">
      <w:pPr>
        <w:pStyle w:val="Bodytext10"/>
        <w:framePr w:w="4637" w:h="1186" w:hRule="exact" w:wrap="none" w:vAnchor="page" w:hAnchor="page" w:x="5771" w:y="9831"/>
        <w:spacing w:after="140" w:line="240" w:lineRule="auto"/>
        <w:ind w:firstLine="460"/>
        <w:rPr>
          <w:sz w:val="24"/>
          <w:szCs w:val="24"/>
        </w:rPr>
      </w:pPr>
      <w:r>
        <w:rPr>
          <w:i/>
          <w:iCs/>
          <w:sz w:val="24"/>
          <w:szCs w:val="24"/>
        </w:rPr>
        <w:t>Miloš Vrábel, předseda správní rady</w:t>
      </w:r>
    </w:p>
    <w:p w14:paraId="57E6C665" w14:textId="77777777" w:rsidR="004B0C2E" w:rsidRDefault="006E3E20">
      <w:pPr>
        <w:pStyle w:val="Bodytext10"/>
        <w:framePr w:w="4637" w:h="1186" w:hRule="exact" w:wrap="none" w:vAnchor="page" w:hAnchor="page" w:x="5771" w:y="9831"/>
        <w:spacing w:after="0" w:line="240" w:lineRule="auto"/>
        <w:ind w:firstLine="460"/>
        <w:rPr>
          <w:sz w:val="24"/>
          <w:szCs w:val="24"/>
        </w:rPr>
      </w:pPr>
      <w:r>
        <w:rPr>
          <w:i/>
          <w:iCs/>
          <w:sz w:val="24"/>
          <w:szCs w:val="24"/>
        </w:rPr>
        <w:t>Ing. Ondřej Rolník, člen správní rady</w:t>
      </w:r>
    </w:p>
    <w:p w14:paraId="4B55E8E2" w14:textId="77777777" w:rsidR="004B0C2E" w:rsidRDefault="006E3E20">
      <w:pPr>
        <w:pStyle w:val="Headerorfooter10"/>
        <w:framePr w:wrap="none" w:vAnchor="page" w:hAnchor="page" w:x="5775" w:y="15682"/>
      </w:pPr>
      <w:r>
        <w:t>4</w:t>
      </w:r>
    </w:p>
    <w:p w14:paraId="39D3F7ED" w14:textId="28280FE7" w:rsidR="004B0C2E" w:rsidRDefault="004B0C2E">
      <w:pPr>
        <w:spacing w:line="1" w:lineRule="exact"/>
      </w:pPr>
    </w:p>
    <w:sectPr w:rsidR="004B0C2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CBC4" w14:textId="77777777" w:rsidR="006E3E20" w:rsidRDefault="006E3E20">
      <w:r>
        <w:separator/>
      </w:r>
    </w:p>
  </w:endnote>
  <w:endnote w:type="continuationSeparator" w:id="0">
    <w:p w14:paraId="575FC9B8" w14:textId="77777777" w:rsidR="006E3E20" w:rsidRDefault="006E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05063" w14:textId="77777777" w:rsidR="004B0C2E" w:rsidRDefault="004B0C2E"/>
  </w:footnote>
  <w:footnote w:type="continuationSeparator" w:id="0">
    <w:p w14:paraId="3617FB9A" w14:textId="77777777" w:rsidR="004B0C2E" w:rsidRDefault="004B0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0339B"/>
    <w:multiLevelType w:val="multilevel"/>
    <w:tmpl w:val="E23E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D6AEC"/>
    <w:multiLevelType w:val="multilevel"/>
    <w:tmpl w:val="51F6A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457D8"/>
    <w:multiLevelType w:val="multilevel"/>
    <w:tmpl w:val="9D94B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2E5D8B"/>
    <w:multiLevelType w:val="multilevel"/>
    <w:tmpl w:val="D2128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5579E"/>
    <w:multiLevelType w:val="multilevel"/>
    <w:tmpl w:val="2C203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582280">
    <w:abstractNumId w:val="0"/>
  </w:num>
  <w:num w:numId="2" w16cid:durableId="764110226">
    <w:abstractNumId w:val="2"/>
  </w:num>
  <w:num w:numId="3" w16cid:durableId="385421582">
    <w:abstractNumId w:val="4"/>
  </w:num>
  <w:num w:numId="4" w16cid:durableId="982661505">
    <w:abstractNumId w:val="1"/>
  </w:num>
  <w:num w:numId="5" w16cid:durableId="161516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2E"/>
    <w:rsid w:val="0003115D"/>
    <w:rsid w:val="004B0C2E"/>
    <w:rsid w:val="005C2ADE"/>
    <w:rsid w:val="00695339"/>
    <w:rsid w:val="006E3E20"/>
    <w:rsid w:val="009348A1"/>
    <w:rsid w:val="009C0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B0E3"/>
  <w15:docId w15:val="{BA94622B-2F14-4536-B732-9ECC1D40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b w:val="0"/>
      <w:bCs w:val="0"/>
      <w:i w:val="0"/>
      <w:iCs w:val="0"/>
      <w:smallCaps w:val="0"/>
      <w:strike w:val="0"/>
      <w:sz w:val="22"/>
      <w:szCs w:val="22"/>
      <w:u w:val="none"/>
      <w:shd w:val="clear" w:color="auto" w:fill="auto"/>
    </w:rPr>
  </w:style>
  <w:style w:type="character" w:customStyle="1" w:styleId="Heading21">
    <w:name w:val="Heading #2|1_"/>
    <w:basedOn w:val="Standardnpsmoodstavce"/>
    <w:link w:val="Heading210"/>
    <w:rPr>
      <w:b/>
      <w:bCs/>
      <w:i w:val="0"/>
      <w:iCs w:val="0"/>
      <w:smallCaps w:val="0"/>
      <w:strike w:val="0"/>
      <w:u w:val="none"/>
      <w:shd w:val="clear" w:color="auto" w:fill="auto"/>
    </w:rPr>
  </w:style>
  <w:style w:type="character" w:customStyle="1" w:styleId="Heading11">
    <w:name w:val="Heading #1|1_"/>
    <w:basedOn w:val="Standardnpsmoodstavce"/>
    <w:link w:val="Heading110"/>
    <w:rPr>
      <w:b/>
      <w:bCs/>
      <w:i w:val="0"/>
      <w:iCs w:val="0"/>
      <w:smallCaps w:val="0"/>
      <w:strike w:val="0"/>
      <w:sz w:val="36"/>
      <w:szCs w:val="36"/>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Picturecaption1">
    <w:name w:val="Picture caption|1_"/>
    <w:basedOn w:val="Standardnpsmoodstavce"/>
    <w:link w:val="Picturecaption10"/>
    <w:rPr>
      <w:b w:val="0"/>
      <w:bCs w:val="0"/>
      <w:i w:val="0"/>
      <w:iCs w:val="0"/>
      <w:smallCaps w:val="0"/>
      <w:strike w:val="0"/>
      <w:sz w:val="22"/>
      <w:szCs w:val="22"/>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36B596"/>
      <w:sz w:val="16"/>
      <w:szCs w:val="16"/>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20" w:line="302" w:lineRule="auto"/>
    </w:pPr>
    <w:rPr>
      <w:sz w:val="22"/>
      <w:szCs w:val="22"/>
    </w:rPr>
  </w:style>
  <w:style w:type="paragraph" w:customStyle="1" w:styleId="Heading210">
    <w:name w:val="Heading #2|1"/>
    <w:basedOn w:val="Normln"/>
    <w:link w:val="Heading21"/>
    <w:pPr>
      <w:spacing w:after="120" w:line="276" w:lineRule="auto"/>
      <w:jc w:val="center"/>
      <w:outlineLvl w:val="1"/>
    </w:pPr>
    <w:rPr>
      <w:b/>
      <w:bCs/>
    </w:rPr>
  </w:style>
  <w:style w:type="paragraph" w:customStyle="1" w:styleId="Heading110">
    <w:name w:val="Heading #1|1"/>
    <w:basedOn w:val="Normln"/>
    <w:link w:val="Heading11"/>
    <w:pPr>
      <w:spacing w:after="600"/>
      <w:jc w:val="center"/>
      <w:outlineLvl w:val="0"/>
    </w:pPr>
    <w:rPr>
      <w:b/>
      <w:bCs/>
      <w:sz w:val="36"/>
      <w:szCs w:val="36"/>
    </w:rPr>
  </w:style>
  <w:style w:type="paragraph" w:customStyle="1" w:styleId="Headerorfooter10">
    <w:name w:val="Header or footer|1"/>
    <w:basedOn w:val="Normln"/>
    <w:link w:val="Headerorfooter1"/>
    <w:rPr>
      <w:rFonts w:ascii="Arial" w:eastAsia="Arial" w:hAnsi="Arial" w:cs="Arial"/>
      <w:sz w:val="19"/>
      <w:szCs w:val="19"/>
    </w:rPr>
  </w:style>
  <w:style w:type="paragraph" w:customStyle="1" w:styleId="Bodytext40">
    <w:name w:val="Body text|4"/>
    <w:basedOn w:val="Normln"/>
    <w:link w:val="Bodytext4"/>
    <w:pPr>
      <w:jc w:val="right"/>
    </w:pPr>
    <w:rPr>
      <w:rFonts w:ascii="Arial" w:eastAsia="Arial" w:hAnsi="Arial" w:cs="Arial"/>
      <w:b/>
      <w:bCs/>
    </w:rPr>
  </w:style>
  <w:style w:type="paragraph" w:customStyle="1" w:styleId="Bodytext30">
    <w:name w:val="Body text|3"/>
    <w:basedOn w:val="Normln"/>
    <w:link w:val="Bodytext3"/>
    <w:pPr>
      <w:spacing w:line="230" w:lineRule="auto"/>
      <w:jc w:val="right"/>
    </w:pPr>
    <w:rPr>
      <w:rFonts w:ascii="Arial" w:eastAsia="Arial" w:hAnsi="Arial" w:cs="Arial"/>
      <w:sz w:val="13"/>
      <w:szCs w:val="13"/>
    </w:rPr>
  </w:style>
  <w:style w:type="paragraph" w:customStyle="1" w:styleId="Picturecaption10">
    <w:name w:val="Picture caption|1"/>
    <w:basedOn w:val="Normln"/>
    <w:link w:val="Picturecaption1"/>
    <w:rPr>
      <w:sz w:val="22"/>
      <w:szCs w:val="22"/>
    </w:rPr>
  </w:style>
  <w:style w:type="paragraph" w:customStyle="1" w:styleId="Bodytext20">
    <w:name w:val="Body text|2"/>
    <w:basedOn w:val="Normln"/>
    <w:link w:val="Bodytext2"/>
    <w:pPr>
      <w:spacing w:line="223" w:lineRule="auto"/>
    </w:pPr>
    <w:rPr>
      <w:rFonts w:ascii="Arial" w:eastAsia="Arial" w:hAnsi="Arial" w:cs="Arial"/>
      <w:color w:val="36B59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an.vorisek@n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1073</Words>
  <Characters>6332</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6</cp:revision>
  <dcterms:created xsi:type="dcterms:W3CDTF">2024-09-17T07:47:00Z</dcterms:created>
  <dcterms:modified xsi:type="dcterms:W3CDTF">2024-09-17T08:09:00Z</dcterms:modified>
</cp:coreProperties>
</file>