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E403F7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975F44" w:rsidRDefault="007C70A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S/04561/MS/24</w:t>
      </w:r>
    </w:p>
    <w:p w:rsidR="00975F44" w:rsidRDefault="007C70A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04561/MS/24</w:t>
      </w:r>
    </w:p>
    <w:p w:rsidR="00975F44" w:rsidRDefault="007C70A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1035/82/24</w:t>
      </w:r>
    </w:p>
    <w:p w:rsidR="00975F44" w:rsidRDefault="007C70A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ISPROFIN: 115V342003695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A42D75" w:rsidP="00E6249C">
      <w:pPr>
        <w:spacing w:before="40" w:after="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Lukáš Drastich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403F7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Bc. Jan Halfar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E6249C" w:rsidRPr="008D7408" w:rsidRDefault="00A42D75" w:rsidP="008D7408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8D7408">
        <w:rPr>
          <w:rFonts w:ascii="Arial" w:hAnsi="Arial" w:cs="Arial"/>
          <w:b/>
        </w:rPr>
        <w:t>Vlastník</w:t>
      </w:r>
    </w:p>
    <w:p w:rsidR="00E83E5F" w:rsidRPr="009008C5" w:rsidRDefault="00E403F7" w:rsidP="00E6249C">
      <w:pPr>
        <w:spacing w:before="40" w:after="0"/>
      </w:pPr>
      <w:r>
        <w:rPr>
          <w:rFonts w:ascii="Arial" w:hAnsi="Arial" w:cs="Arial"/>
          <w:b/>
        </w:rPr>
        <w:t>Městys Suchdol nad Odrou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00298450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Komenského 318, Suchdol nad Odrou, 74201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417C63">
        <w:rPr>
          <w:rFonts w:ascii="Arial" w:hAnsi="Arial" w:cs="Arial"/>
        </w:rPr>
        <w:t>xxxx</w:t>
      </w:r>
      <w:bookmarkStart w:id="0" w:name="_GoBack"/>
      <w:bookmarkEnd w:id="0"/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fakba7w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Lucie Boráková, starostka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Lucie Boráková, starostka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8D7408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v k.ú. Suchdol nad Odrou - p.č. 2980, 3052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8D7408">
        <w:rPr>
          <w:rFonts w:ascii="Arial" w:hAnsi="Arial" w:cs="Arial"/>
          <w:b/>
        </w:rPr>
        <w:t>vlastník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8D7408">
        <w:rPr>
          <w:rFonts w:ascii="Arial" w:hAnsi="Arial" w:cs="Arial"/>
        </w:rPr>
        <w:t>vlastník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85; CHKO; Poodří   / CZ0811020; PO; Poodří  CZ0814092; EVL; Poodří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8D7408">
        <w:t>vlastník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vlastníkovi/nájemci/pachtýři/hospodařícímu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8D7408">
        <w:rPr>
          <w:rFonts w:ascii="Arial" w:hAnsi="Arial" w:cs="Arial"/>
          <w:sz w:val="22"/>
          <w:szCs w:val="22"/>
        </w:rPr>
        <w:t>vlastník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8D7408" w:rsidRDefault="008D7408" w:rsidP="00011AF7">
      <w:pPr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Likvidaci</w:t>
      </w:r>
      <w:r w:rsidR="00E403F7" w:rsidRPr="008D7408">
        <w:rPr>
          <w:rFonts w:ascii="Arial" w:hAnsi="Arial" w:cs="Arial"/>
        </w:rPr>
        <w:t xml:space="preserve"> porostu zlatobýlu pomocí půdní frézy v průseku VVN v Suchdolském lese.</w:t>
      </w:r>
    </w:p>
    <w:p w:rsidR="00653A3C" w:rsidRPr="008D7408" w:rsidRDefault="00E403F7" w:rsidP="000F24F6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8D7408">
        <w:rPr>
          <w:rFonts w:ascii="Arial" w:hAnsi="Arial" w:cs="Arial"/>
          <w:sz w:val="22"/>
          <w:szCs w:val="22"/>
        </w:rPr>
        <w:t>Tato Dohoda byla uzavřena v rámci projektu Jedna příroda (Integrovaný projekt LIFE pro soustavu Natura 2000 v České republice – LIFE17 IPE/CZ/000005 LIFE-IP: N2K Revisited), aktivita C3 – Komunikace s vlastníky a uživateli pozemků v soustavě Natura 2000.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>
        <w:rPr>
          <w:rFonts w:ascii="Arial" w:hAnsi="Arial" w:cs="Arial"/>
          <w:sz w:val="22"/>
          <w:szCs w:val="22"/>
        </w:rPr>
        <w:t xml:space="preserve"> v k.ú. Suchdol nad Odrou - p.č. 2980, 3052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</w:t>
      </w:r>
      <w:r w:rsidR="008D74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10.</w:t>
      </w:r>
      <w:r w:rsidR="008D74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02 006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8D7408">
        <w:t>vlastník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t>50 945,00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</w:t>
      </w:r>
      <w:r w:rsidRPr="00A42D75">
        <w:lastRenderedPageBreak/>
        <w:t>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8D7408">
        <w:t>vlastníkovi</w:t>
      </w:r>
      <w:r>
        <w:t xml:space="preserve"> </w:t>
      </w:r>
      <w:r w:rsidRPr="00FC5123">
        <w:t xml:space="preserve">finanční příspěvek na péči v celkové výši </w:t>
      </w:r>
      <w:r>
        <w:t>50 945,00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8D7408">
        <w:t>vlastníkovi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53457F" w:rsidRPr="008D7408" w:rsidRDefault="00C17F8F" w:rsidP="00BD48DD">
      <w:pPr>
        <w:pStyle w:val="Nadpis2"/>
        <w:tabs>
          <w:tab w:val="left" w:pos="360"/>
        </w:tabs>
        <w:spacing w:after="0"/>
        <w:ind w:left="397" w:hanging="397"/>
      </w:pPr>
      <w:r w:rsidRPr="00FC5123">
        <w:t xml:space="preserve">Pokud ve lhůtě do 6 měsíců ode dne provedení kontroly managementových opatření vyjde najevo, že </w:t>
      </w:r>
      <w:r>
        <w:t>vlastník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>
        <w:t>vlastník</w:t>
      </w:r>
      <w:r w:rsidR="001F5B69" w:rsidRPr="008D7408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>
        <w:t>vlastník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>
        <w:t>vlastník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 práva v době platnosti této Dohody vyjde najevo po vyplacení finančního příspěvku, je </w:t>
      </w:r>
      <w:r>
        <w:t>vlastník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vlastníkovi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>
        <w:rPr>
          <w:rFonts w:eastAsia="Arial Unicode MS"/>
        </w:rPr>
        <w:t>vlastníkovi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>
        <w:rPr>
          <w:rFonts w:eastAsia="Arial Unicode MS"/>
        </w:rPr>
        <w:t>vlastník</w:t>
      </w:r>
      <w:r w:rsidR="008D7408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prohlašuje, že se dobrovolně zavazuje provést tato managementová opatření bezúplatně a vzdává se nároku na finanční příspěvek dle § 69 z. č. 114/1992 Sb. </w:t>
      </w:r>
      <w:r>
        <w:rPr>
          <w:rFonts w:eastAsia="Arial Unicode MS"/>
        </w:rPr>
        <w:t>Vlastník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 xml:space="preserve">znivé klimatické podmínky nebo přírodní katastrofa (např. dlouhotrvající deště, povodeň), masivní výpadek elektrické energie nebo </w:t>
      </w:r>
      <w:r w:rsidRPr="00A42D75">
        <w:lastRenderedPageBreak/>
        <w:t>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31.10.2024</w:t>
      </w:r>
      <w:r w:rsidRPr="00C8184C">
        <w:t>.</w:t>
      </w:r>
    </w:p>
    <w:p w:rsidR="006F55FC" w:rsidRPr="00E45958" w:rsidRDefault="00A42D75" w:rsidP="00A6787D">
      <w:pPr>
        <w:pStyle w:val="Nadpis2"/>
        <w:tabs>
          <w:tab w:val="left" w:pos="360"/>
        </w:tabs>
        <w:spacing w:after="0" w:line="264" w:lineRule="auto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E403F7" w:rsidP="00B9212C">
      <w:pPr>
        <w:pStyle w:val="Nadpis2"/>
        <w:ind w:left="397" w:hanging="397"/>
      </w:pPr>
      <w:r>
        <w:t>Vlastník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</w:t>
      </w:r>
      <w:r w:rsidR="008D7408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E403F7" w:rsidP="008D7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403F7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E403F7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E403F7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Městys Suchdol nad Odrou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8D7408">
      <w:headerReference w:type="even" r:id="rId11"/>
      <w:headerReference w:type="default" r:id="rId12"/>
      <w:pgSz w:w="11906" w:h="16838"/>
      <w:pgMar w:top="56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94" w:rsidRDefault="00961594" w:rsidP="00F22E78">
      <w:pPr>
        <w:spacing w:after="0" w:line="240" w:lineRule="auto"/>
      </w:pPr>
      <w:r>
        <w:separator/>
      </w:r>
    </w:p>
  </w:endnote>
  <w:endnote w:type="continuationSeparator" w:id="0">
    <w:p w:rsidR="00961594" w:rsidRDefault="00961594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94" w:rsidRDefault="00961594" w:rsidP="00F22E78">
      <w:pPr>
        <w:spacing w:after="0" w:line="240" w:lineRule="auto"/>
      </w:pPr>
      <w:r>
        <w:separator/>
      </w:r>
    </w:p>
  </w:footnote>
  <w:footnote w:type="continuationSeparator" w:id="0">
    <w:p w:rsidR="00961594" w:rsidRDefault="00961594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17C63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C70A1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408"/>
    <w:rsid w:val="008D7883"/>
    <w:rsid w:val="008E775C"/>
    <w:rsid w:val="008F217E"/>
    <w:rsid w:val="009008C5"/>
    <w:rsid w:val="00901F93"/>
    <w:rsid w:val="0091107F"/>
    <w:rsid w:val="00912387"/>
    <w:rsid w:val="00927070"/>
    <w:rsid w:val="00961594"/>
    <w:rsid w:val="00975F44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958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F1FE1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1569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Lukáš Drastich</cp:lastModifiedBy>
  <cp:revision>149</cp:revision>
  <dcterms:created xsi:type="dcterms:W3CDTF">2023-06-01T14:56:00Z</dcterms:created>
  <dcterms:modified xsi:type="dcterms:W3CDTF">2024-09-17T07:28:00Z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