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6E3" w:rsidRDefault="005770D9">
      <w:pPr>
        <w:spacing w:after="120" w:line="268"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SMLOUVA O DÍLO</w:t>
      </w:r>
    </w:p>
    <w:p w:rsidR="00F436E3" w:rsidRDefault="005770D9">
      <w:pPr>
        <w:spacing w:after="120" w:line="26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dle ustanovení § 2586 a násl. zákona č. 89/2012 Sb., občanský zákoník</w:t>
      </w:r>
    </w:p>
    <w:p w:rsidR="00F436E3" w:rsidRDefault="005770D9">
      <w:pPr>
        <w:spacing w:after="120" w:line="26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(dále jen „</w:t>
      </w:r>
      <w:r>
        <w:rPr>
          <w:rFonts w:ascii="Times New Roman" w:eastAsia="Times New Roman" w:hAnsi="Times New Roman" w:cs="Times New Roman"/>
          <w:b/>
          <w:sz w:val="20"/>
          <w:szCs w:val="20"/>
        </w:rPr>
        <w:t>Smlouva</w:t>
      </w:r>
      <w:r>
        <w:rPr>
          <w:rFonts w:ascii="Times New Roman" w:eastAsia="Times New Roman" w:hAnsi="Times New Roman" w:cs="Times New Roman"/>
          <w:sz w:val="20"/>
          <w:szCs w:val="20"/>
        </w:rPr>
        <w:t>“)</w:t>
      </w:r>
    </w:p>
    <w:p w:rsidR="00F436E3" w:rsidRDefault="00F436E3">
      <w:pPr>
        <w:spacing w:after="120" w:line="268" w:lineRule="auto"/>
        <w:jc w:val="center"/>
        <w:rPr>
          <w:rFonts w:ascii="Times New Roman" w:eastAsia="Times New Roman" w:hAnsi="Times New Roman" w:cs="Times New Roman"/>
          <w:sz w:val="20"/>
          <w:szCs w:val="20"/>
        </w:rPr>
      </w:pPr>
    </w:p>
    <w:p w:rsidR="00F436E3" w:rsidRDefault="005770D9">
      <w:pPr>
        <w:tabs>
          <w:tab w:val="left" w:pos="2410"/>
        </w:tabs>
        <w:spacing w:after="120" w:line="26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uzavřená níže uvedeného dne, měsíce a roku mezi:</w:t>
      </w:r>
    </w:p>
    <w:p w:rsidR="00F436E3" w:rsidRDefault="005770D9">
      <w:pPr>
        <w:spacing w:after="120" w:line="268"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Ústav molekulární genetiky AV ČR, v. v. i.</w:t>
      </w:r>
      <w:r>
        <w:rPr>
          <w:rFonts w:ascii="Times New Roman" w:eastAsia="Times New Roman" w:hAnsi="Times New Roman" w:cs="Times New Roman"/>
          <w:sz w:val="20"/>
          <w:szCs w:val="20"/>
        </w:rPr>
        <w:t xml:space="preserve">, IČO: 683 78 050, se sídlem Vídeňská 1083, 142 00 Praha 4, zastoupená RNDr. Petrem </w:t>
      </w:r>
      <w:proofErr w:type="spellStart"/>
      <w:r>
        <w:rPr>
          <w:rFonts w:ascii="Times New Roman" w:eastAsia="Times New Roman" w:hAnsi="Times New Roman" w:cs="Times New Roman"/>
          <w:sz w:val="20"/>
          <w:szCs w:val="20"/>
        </w:rPr>
        <w:t>Dráberem</w:t>
      </w:r>
      <w:proofErr w:type="spellEnd"/>
      <w:r>
        <w:rPr>
          <w:rFonts w:ascii="Times New Roman" w:eastAsia="Times New Roman" w:hAnsi="Times New Roman" w:cs="Times New Roman"/>
          <w:sz w:val="20"/>
          <w:szCs w:val="20"/>
        </w:rPr>
        <w:t>, DrSc., ředitelem,</w:t>
      </w:r>
    </w:p>
    <w:p w:rsidR="00F436E3" w:rsidRDefault="005770D9">
      <w:pPr>
        <w:spacing w:after="120" w:line="26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 straně jedné jako objednatel (dále jen „</w:t>
      </w:r>
      <w:r>
        <w:rPr>
          <w:rFonts w:ascii="Times New Roman" w:eastAsia="Times New Roman" w:hAnsi="Times New Roman" w:cs="Times New Roman"/>
          <w:b/>
          <w:sz w:val="20"/>
          <w:szCs w:val="20"/>
        </w:rPr>
        <w:t>Objednatel</w:t>
      </w:r>
      <w:r>
        <w:rPr>
          <w:rFonts w:ascii="Times New Roman" w:eastAsia="Times New Roman" w:hAnsi="Times New Roman" w:cs="Times New Roman"/>
          <w:sz w:val="20"/>
          <w:szCs w:val="20"/>
        </w:rPr>
        <w:t>“)</w:t>
      </w:r>
    </w:p>
    <w:p w:rsidR="00F436E3" w:rsidRDefault="005770D9">
      <w:pPr>
        <w:spacing w:after="120" w:line="26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p w:rsidR="00F436E3" w:rsidRDefault="005770D9">
      <w:pPr>
        <w:spacing w:after="120" w:line="268"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VNV </w:t>
      </w:r>
      <w:proofErr w:type="spellStart"/>
      <w:r>
        <w:rPr>
          <w:rFonts w:ascii="Times New Roman" w:eastAsia="Times New Roman" w:hAnsi="Times New Roman" w:cs="Times New Roman"/>
          <w:b/>
          <w:sz w:val="20"/>
          <w:szCs w:val="20"/>
        </w:rPr>
        <w:t>Productions</w:t>
      </w:r>
      <w:proofErr w:type="spellEnd"/>
      <w:r>
        <w:rPr>
          <w:rFonts w:ascii="Times New Roman" w:eastAsia="Times New Roman" w:hAnsi="Times New Roman" w:cs="Times New Roman"/>
          <w:b/>
          <w:sz w:val="20"/>
          <w:szCs w:val="20"/>
        </w:rPr>
        <w:t xml:space="preserve"> s.r.o.</w:t>
      </w:r>
      <w:r>
        <w:rPr>
          <w:rFonts w:ascii="Times New Roman" w:eastAsia="Times New Roman" w:hAnsi="Times New Roman" w:cs="Times New Roman"/>
          <w:sz w:val="20"/>
          <w:szCs w:val="20"/>
        </w:rPr>
        <w:t xml:space="preserve">, IČO: 087 79 171, se sídlem Americká 415/36, Vinohrady, 120 00 Praha 2, zapsaná v obchodním rejstříku vedeném Městským soudem v Praze, </w:t>
      </w:r>
      <w:proofErr w:type="spellStart"/>
      <w:r>
        <w:rPr>
          <w:rFonts w:ascii="Times New Roman" w:eastAsia="Times New Roman" w:hAnsi="Times New Roman" w:cs="Times New Roman"/>
          <w:sz w:val="20"/>
          <w:szCs w:val="20"/>
        </w:rPr>
        <w:t>sp</w:t>
      </w:r>
      <w:proofErr w:type="spellEnd"/>
      <w:r>
        <w:rPr>
          <w:rFonts w:ascii="Times New Roman" w:eastAsia="Times New Roman" w:hAnsi="Times New Roman" w:cs="Times New Roman"/>
          <w:sz w:val="20"/>
          <w:szCs w:val="20"/>
        </w:rPr>
        <w:t xml:space="preserve">. zn. C 325142, zastoupená </w:t>
      </w:r>
      <w:proofErr w:type="spellStart"/>
      <w:r w:rsidR="00D07035">
        <w:rPr>
          <w:rFonts w:ascii="Times New Roman" w:eastAsia="Times New Roman" w:hAnsi="Times New Roman" w:cs="Times New Roman"/>
          <w:sz w:val="20"/>
          <w:szCs w:val="20"/>
        </w:rPr>
        <w:t>xxx</w:t>
      </w:r>
      <w:proofErr w:type="spellEnd"/>
      <w:r>
        <w:rPr>
          <w:rFonts w:ascii="Times New Roman" w:eastAsia="Times New Roman" w:hAnsi="Times New Roman" w:cs="Times New Roman"/>
          <w:sz w:val="20"/>
          <w:szCs w:val="20"/>
        </w:rPr>
        <w:t>, jednatelem,</w:t>
      </w:r>
    </w:p>
    <w:p w:rsidR="00F436E3" w:rsidRDefault="005770D9">
      <w:pPr>
        <w:spacing w:after="120" w:line="26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 straně druhé jako zhotovitel (dále jen „</w:t>
      </w:r>
      <w:r>
        <w:rPr>
          <w:rFonts w:ascii="Times New Roman" w:eastAsia="Times New Roman" w:hAnsi="Times New Roman" w:cs="Times New Roman"/>
          <w:b/>
          <w:sz w:val="20"/>
          <w:szCs w:val="20"/>
        </w:rPr>
        <w:t>Zhotovitel</w:t>
      </w:r>
      <w:r>
        <w:rPr>
          <w:rFonts w:ascii="Times New Roman" w:eastAsia="Times New Roman" w:hAnsi="Times New Roman" w:cs="Times New Roman"/>
          <w:sz w:val="20"/>
          <w:szCs w:val="20"/>
        </w:rPr>
        <w:t>“)</w:t>
      </w:r>
    </w:p>
    <w:p w:rsidR="00F436E3" w:rsidRDefault="005770D9">
      <w:pPr>
        <w:spacing w:after="120" w:line="26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(Objednatel a Zhotovitel společně dále jen jako „</w:t>
      </w:r>
      <w:r>
        <w:rPr>
          <w:rFonts w:ascii="Times New Roman" w:eastAsia="Times New Roman" w:hAnsi="Times New Roman" w:cs="Times New Roman"/>
          <w:b/>
          <w:sz w:val="20"/>
          <w:szCs w:val="20"/>
        </w:rPr>
        <w:t>Smluvní strany</w:t>
      </w:r>
      <w:r>
        <w:rPr>
          <w:rFonts w:ascii="Times New Roman" w:eastAsia="Times New Roman" w:hAnsi="Times New Roman" w:cs="Times New Roman"/>
          <w:sz w:val="20"/>
          <w:szCs w:val="20"/>
        </w:rPr>
        <w:t>“)</w:t>
      </w:r>
    </w:p>
    <w:p w:rsidR="00F436E3" w:rsidRDefault="00F436E3">
      <w:pPr>
        <w:spacing w:after="120" w:line="268" w:lineRule="auto"/>
        <w:rPr>
          <w:rFonts w:ascii="Times New Roman" w:eastAsia="Times New Roman" w:hAnsi="Times New Roman" w:cs="Times New Roman"/>
          <w:sz w:val="20"/>
          <w:szCs w:val="20"/>
        </w:rPr>
      </w:pPr>
    </w:p>
    <w:p w:rsidR="00F436E3" w:rsidRDefault="005770D9">
      <w:pPr>
        <w:pStyle w:val="Nadpis2"/>
        <w:spacing w:before="0" w:line="268" w:lineRule="auto"/>
        <w:ind w:left="270"/>
        <w:jc w:val="cente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Preambule</w:t>
      </w:r>
    </w:p>
    <w:p w:rsidR="00F436E3" w:rsidRDefault="005770D9">
      <w:pPr>
        <w:numPr>
          <w:ilvl w:val="0"/>
          <w:numId w:val="17"/>
        </w:numPr>
        <w:spacing w:after="120" w:line="26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Smluvní strany uzavírají tuto Smlouvu za účelem vytvoření mezinárodního propagačního a náborového videa pro Objednatele.</w:t>
      </w:r>
    </w:p>
    <w:p w:rsidR="00F436E3" w:rsidRDefault="005770D9">
      <w:pPr>
        <w:numPr>
          <w:ilvl w:val="0"/>
          <w:numId w:val="17"/>
        </w:numPr>
        <w:spacing w:after="120" w:line="26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 účelem specifikace podmínek provádění díla uvedeného v čl. I. níže a za účelem vymezení vzájemných práv a povinností Smluvní strany sjednávají následující.</w:t>
      </w:r>
    </w:p>
    <w:p w:rsidR="00F436E3" w:rsidRDefault="00F436E3">
      <w:pPr>
        <w:pStyle w:val="Nadpis2"/>
        <w:spacing w:before="0" w:line="268" w:lineRule="auto"/>
        <w:rPr>
          <w:rFonts w:ascii="Times New Roman" w:eastAsia="Times New Roman" w:hAnsi="Times New Roman" w:cs="Times New Roman"/>
          <w:b/>
          <w:sz w:val="24"/>
          <w:szCs w:val="24"/>
        </w:rPr>
      </w:pPr>
      <w:bookmarkStart w:id="1" w:name="_30j0zll" w:colFirst="0" w:colLast="0"/>
      <w:bookmarkEnd w:id="1"/>
    </w:p>
    <w:p w:rsidR="00F436E3" w:rsidRDefault="005770D9">
      <w:pPr>
        <w:pStyle w:val="Nadpis2"/>
        <w:numPr>
          <w:ilvl w:val="0"/>
          <w:numId w:val="15"/>
        </w:numPr>
        <w:spacing w:before="0" w:line="268" w:lineRule="auto"/>
        <w:ind w:left="284" w:hanging="244"/>
        <w:jc w:val="center"/>
        <w:rPr>
          <w:rFonts w:ascii="Times New Roman" w:eastAsia="Times New Roman" w:hAnsi="Times New Roman" w:cs="Times New Roman"/>
          <w:b/>
          <w:sz w:val="24"/>
          <w:szCs w:val="24"/>
        </w:rPr>
      </w:pPr>
      <w:bookmarkStart w:id="2" w:name="_1fob9te" w:colFirst="0" w:colLast="0"/>
      <w:bookmarkEnd w:id="2"/>
      <w:r>
        <w:rPr>
          <w:rFonts w:ascii="Times New Roman" w:eastAsia="Times New Roman" w:hAnsi="Times New Roman" w:cs="Times New Roman"/>
          <w:b/>
          <w:sz w:val="24"/>
          <w:szCs w:val="24"/>
        </w:rPr>
        <w:t xml:space="preserve">     Předmět Smlouvy</w:t>
      </w:r>
    </w:p>
    <w:p w:rsidR="00F436E3" w:rsidRDefault="005770D9">
      <w:pPr>
        <w:numPr>
          <w:ilvl w:val="0"/>
          <w:numId w:val="4"/>
        </w:numPr>
        <w:spacing w:after="120" w:line="268" w:lineRule="auto"/>
        <w:jc w:val="both"/>
        <w:rPr>
          <w:rFonts w:ascii="Times New Roman" w:eastAsia="Times New Roman" w:hAnsi="Times New Roman" w:cs="Times New Roman"/>
          <w:sz w:val="20"/>
          <w:szCs w:val="20"/>
        </w:rPr>
      </w:pPr>
      <w:bookmarkStart w:id="3" w:name="_3znysh7" w:colFirst="0" w:colLast="0"/>
      <w:bookmarkEnd w:id="3"/>
      <w:r>
        <w:rPr>
          <w:rFonts w:ascii="Times New Roman" w:eastAsia="Times New Roman" w:hAnsi="Times New Roman" w:cs="Times New Roman"/>
          <w:sz w:val="20"/>
          <w:szCs w:val="20"/>
        </w:rPr>
        <w:t>Předmětem této Smlouvy je povinnost Zhotovitele provést za podmínek dle této Smlouvy na své vlastní ná</w:t>
      </w:r>
      <w:r>
        <w:rPr>
          <w:rFonts w:ascii="Times New Roman" w:eastAsia="Times New Roman" w:hAnsi="Times New Roman" w:cs="Times New Roman"/>
          <w:sz w:val="20"/>
          <w:szCs w:val="20"/>
          <w:highlight w:val="white"/>
        </w:rPr>
        <w:t>klady a odpovědnost ve prospěch Objednatele dílo spočívající ve vytvoření mezinárodního propagačního a náborového videa (dále jen „</w:t>
      </w:r>
      <w:r>
        <w:rPr>
          <w:rFonts w:ascii="Times New Roman" w:eastAsia="Times New Roman" w:hAnsi="Times New Roman" w:cs="Times New Roman"/>
          <w:b/>
          <w:sz w:val="20"/>
          <w:szCs w:val="20"/>
          <w:highlight w:val="white"/>
        </w:rPr>
        <w:t>Dílo</w:t>
      </w:r>
      <w:r>
        <w:rPr>
          <w:rFonts w:ascii="Times New Roman" w:eastAsia="Times New Roman" w:hAnsi="Times New Roman" w:cs="Times New Roman"/>
          <w:sz w:val="20"/>
          <w:szCs w:val="20"/>
          <w:highlight w:val="white"/>
        </w:rPr>
        <w:t xml:space="preserve">”), a to v termínu uvedeném v této Smlouvě. Zhotovitel se současně zavazuje okamžikem předání Díla postoupit na Objednatele veškerá majetková práva k Dílu. V případě, že by nebylo objektivně možné majetková práva převést v plném rozsahu, bez zavinění Zhotovitele a po uskutečnění veškerých kroků nutných k zajištění takového postoupení, uděluje Zhotovitel Objednateli </w:t>
      </w:r>
      <w:proofErr w:type="gramStart"/>
      <w:r>
        <w:rPr>
          <w:rFonts w:ascii="Times New Roman" w:eastAsia="Times New Roman" w:hAnsi="Times New Roman" w:cs="Times New Roman"/>
          <w:sz w:val="20"/>
          <w:szCs w:val="20"/>
          <w:highlight w:val="white"/>
        </w:rPr>
        <w:t xml:space="preserve">tímto  </w:t>
      </w:r>
      <w:r>
        <w:rPr>
          <w:rFonts w:ascii="Times New Roman" w:eastAsia="Times New Roman" w:hAnsi="Times New Roman" w:cs="Times New Roman"/>
          <w:sz w:val="20"/>
          <w:szCs w:val="20"/>
        </w:rPr>
        <w:t>výhradní</w:t>
      </w:r>
      <w:proofErr w:type="gramEnd"/>
      <w:r>
        <w:rPr>
          <w:rFonts w:ascii="Times New Roman" w:eastAsia="Times New Roman" w:hAnsi="Times New Roman" w:cs="Times New Roman"/>
          <w:sz w:val="20"/>
          <w:szCs w:val="20"/>
        </w:rPr>
        <w:t xml:space="preserve"> licenci k j</w:t>
      </w:r>
      <w:r>
        <w:rPr>
          <w:rFonts w:ascii="Times New Roman" w:eastAsia="Times New Roman" w:hAnsi="Times New Roman" w:cs="Times New Roman"/>
          <w:sz w:val="20"/>
          <w:szCs w:val="20"/>
          <w:highlight w:val="white"/>
        </w:rPr>
        <w:t>eho užití, přičemž bližší specifikace takové licence je uvedena v čl. VI. této Smlouvy. Objednatel se zavazuje za Dílo zaplatit Zhotoviteli cenu Díla uvedenou v této Smlouvě a poskytnout Zhotoviteli součinnost potřebnou pro plnění dle této Smlouvy.</w:t>
      </w:r>
      <w:r>
        <w:rPr>
          <w:rFonts w:ascii="Times New Roman" w:eastAsia="Times New Roman" w:hAnsi="Times New Roman" w:cs="Times New Roman"/>
          <w:sz w:val="20"/>
          <w:szCs w:val="20"/>
        </w:rPr>
        <w:t xml:space="preserve"> Odměna za postoupení majetkových práv, jakožto i případné poskytnutí licencí nebo jiných práv je již zahrnuta v ceně dle čl. V. této Smlouvy.</w:t>
      </w:r>
    </w:p>
    <w:p w:rsidR="00F436E3" w:rsidRDefault="005770D9">
      <w:pPr>
        <w:numPr>
          <w:ilvl w:val="0"/>
          <w:numId w:val="4"/>
        </w:numPr>
        <w:spacing w:after="120" w:line="26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Dílo zahrnuje veškeré práce, dodávky a služby nutné k jeho řádnému provedení. Dílo může dále obsahovat další práce prováděné Zhotovitelem nad stanovený rámec jen v</w:t>
      </w:r>
      <w:r>
        <w:rPr>
          <w:rFonts w:ascii="Times New Roman" w:eastAsia="Times New Roman" w:hAnsi="Times New Roman" w:cs="Times New Roman"/>
          <w:sz w:val="20"/>
          <w:szCs w:val="20"/>
        </w:rPr>
        <w:t xml:space="preserve"> případě, dohodnou-li se tak Smluvní strany.</w:t>
      </w:r>
    </w:p>
    <w:p w:rsidR="00F436E3" w:rsidRDefault="005770D9">
      <w:pPr>
        <w:numPr>
          <w:ilvl w:val="0"/>
          <w:numId w:val="4"/>
        </w:numPr>
        <w:spacing w:after="120" w:line="26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Zhotovitel se touto Smlouvou také zavazuje k zajištění součinnosti v souvislosti s převedením Díla na Objednatele, včetně postoupení majetkových práv a zajištění všech případných licencí a dalších práv.</w:t>
      </w:r>
    </w:p>
    <w:p w:rsidR="00F436E3" w:rsidRDefault="00F436E3">
      <w:pPr>
        <w:spacing w:after="120" w:line="268" w:lineRule="auto"/>
        <w:ind w:left="360"/>
        <w:jc w:val="both"/>
        <w:rPr>
          <w:rFonts w:ascii="Times New Roman" w:eastAsia="Times New Roman" w:hAnsi="Times New Roman" w:cs="Times New Roman"/>
          <w:sz w:val="20"/>
          <w:szCs w:val="20"/>
        </w:rPr>
      </w:pPr>
    </w:p>
    <w:p w:rsidR="00F436E3" w:rsidRDefault="005770D9">
      <w:pPr>
        <w:pStyle w:val="Nadpis2"/>
        <w:numPr>
          <w:ilvl w:val="0"/>
          <w:numId w:val="15"/>
        </w:numPr>
        <w:spacing w:before="0" w:line="268" w:lineRule="auto"/>
        <w:ind w:left="284" w:hanging="244"/>
        <w:jc w:val="center"/>
        <w:rPr>
          <w:rFonts w:ascii="Times New Roman" w:eastAsia="Times New Roman" w:hAnsi="Times New Roman" w:cs="Times New Roman"/>
          <w:b/>
          <w:sz w:val="24"/>
          <w:szCs w:val="24"/>
        </w:rPr>
      </w:pPr>
      <w:bookmarkStart w:id="4" w:name="_2et92p0" w:colFirst="0" w:colLast="0"/>
      <w:bookmarkEnd w:id="4"/>
      <w:r>
        <w:rPr>
          <w:rFonts w:ascii="Times New Roman" w:eastAsia="Times New Roman" w:hAnsi="Times New Roman" w:cs="Times New Roman"/>
          <w:b/>
          <w:sz w:val="24"/>
          <w:szCs w:val="24"/>
        </w:rPr>
        <w:t>Způsob zhotovení Díla</w:t>
      </w:r>
    </w:p>
    <w:p w:rsidR="00F436E3" w:rsidRDefault="005770D9">
      <w:pPr>
        <w:numPr>
          <w:ilvl w:val="0"/>
          <w:numId w:val="9"/>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Zhotovitel je povinen vytvořit Dílo s náležitou odbornou péčí, řádně a bez vad, které by bránily jeho užití.</w:t>
      </w:r>
    </w:p>
    <w:p w:rsidR="00F436E3" w:rsidRDefault="005770D9">
      <w:pPr>
        <w:numPr>
          <w:ilvl w:val="0"/>
          <w:numId w:val="9"/>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Zhotovitel potvrzuje, že disponuje potřebným počtem kvalifikovaných specialistů, náhradníků specialistů a technickým vybavením pro splnění svých povinností dle této Smlouvy.</w:t>
      </w:r>
    </w:p>
    <w:p w:rsidR="00F436E3" w:rsidRDefault="005770D9">
      <w:pPr>
        <w:numPr>
          <w:ilvl w:val="0"/>
          <w:numId w:val="9"/>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Zhotovitel je povinen vytvořit Dílo v souladu s obecně závaznými právními předpisy, pokyny Objednatele, obsahem poskytnutých informací a materiálů a touto Smlouvou.</w:t>
      </w:r>
    </w:p>
    <w:p w:rsidR="00F436E3" w:rsidRDefault="005770D9">
      <w:pPr>
        <w:numPr>
          <w:ilvl w:val="0"/>
          <w:numId w:val="9"/>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Zhotovitel může pověřit zhotovením Díla (či jeho části) jinou osobu (subdodavatele), avšak v takovém případě za zhotovení Díla odpovídá, jako by ho zhotovil sám (včetně povinnosti zajistit umožnění postoupení majetkových práv k Dílu na Objednatele), ledaže by šlo o subdodavatele, kterého požaduje Objednatel, v takovém případě není Zhotovitel odpovědný za výstupy takového subdodavatele.</w:t>
      </w:r>
    </w:p>
    <w:p w:rsidR="00F436E3" w:rsidRDefault="005770D9">
      <w:pPr>
        <w:numPr>
          <w:ilvl w:val="0"/>
          <w:numId w:val="9"/>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Zhotovitel je povinen Objednatele neprodleně a včas upozornit na možná prodlení při provádění Díla.</w:t>
      </w:r>
    </w:p>
    <w:p w:rsidR="00F436E3" w:rsidRDefault="005770D9">
      <w:pPr>
        <w:numPr>
          <w:ilvl w:val="0"/>
          <w:numId w:val="9"/>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Zhotovitel je povinen včas a dostatečně písemně informovat Objednatele o všech okolnostech, které by mohly mít negativní dopad na jeho schopnost řádně plnit tuto Smlouvu, a dalších významných relevantních okolnostech, například o vlastnických nebo jiných změnách na straně Zhotovitele.</w:t>
      </w:r>
    </w:p>
    <w:p w:rsidR="00F436E3" w:rsidRDefault="005770D9">
      <w:pPr>
        <w:numPr>
          <w:ilvl w:val="0"/>
          <w:numId w:val="9"/>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Objednatel se zavazuje předat bez zbytečného prodlení Zhotoviteli veškeré potřebné podklady, dokumenty a in</w:t>
      </w:r>
      <w:r>
        <w:rPr>
          <w:rFonts w:ascii="Times New Roman" w:eastAsia="Times New Roman" w:hAnsi="Times New Roman" w:cs="Times New Roman"/>
          <w:sz w:val="20"/>
          <w:szCs w:val="20"/>
          <w:highlight w:val="white"/>
        </w:rPr>
        <w:t xml:space="preserve">formace pro řádné vytvoření Díla. V případě, že bude Objednatel v prodlení s předáním potřebných podkladů, dokumentů a informací, prodlužuje se o toto prodlení automaticky termín dokončení a odevzdání Díla uvedený v čl. </w:t>
      </w:r>
      <w:r>
        <w:rPr>
          <w:rFonts w:ascii="Times New Roman" w:eastAsia="Times New Roman" w:hAnsi="Times New Roman" w:cs="Times New Roman"/>
          <w:sz w:val="20"/>
          <w:szCs w:val="20"/>
        </w:rPr>
        <w:t>III odst. 2.</w:t>
      </w:r>
    </w:p>
    <w:p w:rsidR="00F436E3" w:rsidRDefault="00F436E3">
      <w:pPr>
        <w:spacing w:after="120" w:line="268" w:lineRule="auto"/>
        <w:ind w:left="360"/>
        <w:jc w:val="both"/>
        <w:rPr>
          <w:rFonts w:ascii="Times New Roman" w:eastAsia="Times New Roman" w:hAnsi="Times New Roman" w:cs="Times New Roman"/>
          <w:sz w:val="20"/>
          <w:szCs w:val="20"/>
          <w:highlight w:val="yellow"/>
        </w:rPr>
      </w:pPr>
    </w:p>
    <w:p w:rsidR="00F436E3" w:rsidRDefault="005770D9">
      <w:pPr>
        <w:pStyle w:val="Nadpis2"/>
        <w:numPr>
          <w:ilvl w:val="0"/>
          <w:numId w:val="15"/>
        </w:numPr>
        <w:spacing w:before="0" w:line="268" w:lineRule="auto"/>
        <w:ind w:left="284" w:hanging="244"/>
        <w:jc w:val="center"/>
        <w:rPr>
          <w:rFonts w:ascii="Times New Roman" w:eastAsia="Times New Roman" w:hAnsi="Times New Roman" w:cs="Times New Roman"/>
          <w:b/>
          <w:sz w:val="24"/>
          <w:szCs w:val="24"/>
        </w:rPr>
      </w:pPr>
      <w:bookmarkStart w:id="5" w:name="_tyjcwt" w:colFirst="0" w:colLast="0"/>
      <w:bookmarkEnd w:id="5"/>
      <w:r>
        <w:rPr>
          <w:rFonts w:ascii="Times New Roman" w:eastAsia="Times New Roman" w:hAnsi="Times New Roman" w:cs="Times New Roman"/>
          <w:b/>
          <w:sz w:val="24"/>
          <w:szCs w:val="24"/>
        </w:rPr>
        <w:t>Termín vzniku Díla</w:t>
      </w:r>
    </w:p>
    <w:p w:rsidR="00F436E3" w:rsidRDefault="005770D9">
      <w:pPr>
        <w:numPr>
          <w:ilvl w:val="0"/>
          <w:numId w:val="13"/>
        </w:numPr>
        <w:spacing w:after="120" w:line="268" w:lineRule="auto"/>
        <w:ind w:left="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Z</w:t>
      </w:r>
      <w:r>
        <w:rPr>
          <w:rFonts w:ascii="Times New Roman" w:eastAsia="Times New Roman" w:hAnsi="Times New Roman" w:cs="Times New Roman"/>
          <w:sz w:val="20"/>
          <w:szCs w:val="20"/>
          <w:highlight w:val="white"/>
        </w:rPr>
        <w:t>hotovitel je povinen provádět Dílo v termínech a za podmínek stanovených Smlouvou.</w:t>
      </w:r>
    </w:p>
    <w:p w:rsidR="00F436E3" w:rsidRDefault="005770D9">
      <w:pPr>
        <w:numPr>
          <w:ilvl w:val="0"/>
          <w:numId w:val="13"/>
        </w:numPr>
        <w:spacing w:after="120" w:line="268" w:lineRule="auto"/>
        <w:ind w:left="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Zhotovitel se zavazuje </w:t>
      </w:r>
      <w:r>
        <w:rPr>
          <w:rFonts w:ascii="Times New Roman" w:eastAsia="Times New Roman" w:hAnsi="Times New Roman" w:cs="Times New Roman"/>
          <w:sz w:val="20"/>
          <w:szCs w:val="20"/>
        </w:rPr>
        <w:t>dokončit a předat dokončené kompletní Dílo bez jakýchkoliv vad a/nebo nedodělků Objednateli do</w:t>
      </w:r>
      <w:r>
        <w:rPr>
          <w:rFonts w:ascii="Times New Roman" w:eastAsia="Times New Roman" w:hAnsi="Times New Roman" w:cs="Times New Roman"/>
          <w:b/>
          <w:sz w:val="20"/>
          <w:szCs w:val="20"/>
        </w:rPr>
        <w:t xml:space="preserve"> 30.11.2024.</w:t>
      </w:r>
      <w:r>
        <w:rPr>
          <w:rFonts w:ascii="Times New Roman" w:eastAsia="Times New Roman" w:hAnsi="Times New Roman" w:cs="Times New Roman"/>
          <w:sz w:val="20"/>
          <w:szCs w:val="20"/>
        </w:rPr>
        <w:t xml:space="preserve"> </w:t>
      </w:r>
    </w:p>
    <w:p w:rsidR="00F436E3" w:rsidRDefault="005770D9">
      <w:pPr>
        <w:numPr>
          <w:ilvl w:val="0"/>
          <w:numId w:val="13"/>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Zhotovitel je oprávněn omezit nebo pozastavit práce na Díle, pokud je jejich vykonávání ztíženo či omezeno z důvodů majících původ v činnosti třetích osob nebo zásahu vyšší moci (např. požár, povodeň apod.) nebo z důvodu poruchy na zařízení jiných dodavatelů (např. výpadky elektrické energie, telekomunikačního spojení atd.). V takovém případě se automaticky prodlužuje termín dokončení a předání Díla uvedený v odst. 2. tohoto článku o dobu, po kterou na něm Zhotovitel nemohl pracovat. </w:t>
      </w:r>
    </w:p>
    <w:p w:rsidR="00F436E3" w:rsidRDefault="00F436E3">
      <w:pPr>
        <w:widowControl w:val="0"/>
        <w:tabs>
          <w:tab w:val="left" w:pos="1300"/>
        </w:tabs>
        <w:spacing w:after="120" w:line="268" w:lineRule="auto"/>
        <w:ind w:left="792" w:right="114"/>
        <w:jc w:val="both"/>
        <w:rPr>
          <w:rFonts w:ascii="Times New Roman" w:eastAsia="Times New Roman" w:hAnsi="Times New Roman" w:cs="Times New Roman"/>
          <w:sz w:val="20"/>
          <w:szCs w:val="20"/>
          <w:highlight w:val="white"/>
        </w:rPr>
      </w:pPr>
    </w:p>
    <w:p w:rsidR="00F436E3" w:rsidRDefault="005770D9">
      <w:pPr>
        <w:pStyle w:val="Nadpis2"/>
        <w:numPr>
          <w:ilvl w:val="0"/>
          <w:numId w:val="15"/>
        </w:numPr>
        <w:spacing w:before="0" w:line="268" w:lineRule="auto"/>
        <w:ind w:left="284" w:hanging="244"/>
        <w:jc w:val="center"/>
        <w:rPr>
          <w:rFonts w:ascii="Times New Roman" w:eastAsia="Times New Roman" w:hAnsi="Times New Roman" w:cs="Times New Roman"/>
          <w:b/>
          <w:sz w:val="24"/>
          <w:szCs w:val="24"/>
        </w:rPr>
      </w:pPr>
      <w:bookmarkStart w:id="6" w:name="_3dy6vkm" w:colFirst="0" w:colLast="0"/>
      <w:bookmarkEnd w:id="6"/>
      <w:r>
        <w:rPr>
          <w:rFonts w:ascii="Times New Roman" w:eastAsia="Times New Roman" w:hAnsi="Times New Roman" w:cs="Times New Roman"/>
          <w:b/>
          <w:sz w:val="24"/>
          <w:szCs w:val="24"/>
        </w:rPr>
        <w:t>Předání Díla</w:t>
      </w:r>
    </w:p>
    <w:p w:rsidR="00F436E3" w:rsidRDefault="005770D9">
      <w:pPr>
        <w:numPr>
          <w:ilvl w:val="0"/>
          <w:numId w:val="6"/>
        </w:numPr>
        <w:spacing w:after="120" w:line="268" w:lineRule="auto"/>
        <w:ind w:left="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Dílo bude předáno po jeho dokončení, přičemž Objednatel následně po předání Díla Zhotovitelem elektronicky (prostřednictvím e-mailu) potvrdí, zda Dílo bylo předáno kompletní a bez vad. Teprve Dílo předané bez vad a jako takové potvrzené Objednatelem je považováno za předané Dílo, a jedná se o podmínku pro následnou fakturaci ceny Díla Zhotovitelem.</w:t>
      </w:r>
    </w:p>
    <w:p w:rsidR="00F436E3" w:rsidRDefault="005770D9">
      <w:pPr>
        <w:numPr>
          <w:ilvl w:val="0"/>
          <w:numId w:val="6"/>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Dílo bude předáno způsobem sjednaným či obvyklým jeho charakteru, zejména e-mailem nebo sdílením na </w:t>
      </w:r>
      <w:proofErr w:type="spellStart"/>
      <w:r>
        <w:rPr>
          <w:rFonts w:ascii="Times New Roman" w:eastAsia="Times New Roman" w:hAnsi="Times New Roman" w:cs="Times New Roman"/>
          <w:sz w:val="20"/>
          <w:szCs w:val="20"/>
        </w:rPr>
        <w:t>cloudovém</w:t>
      </w:r>
      <w:proofErr w:type="spellEnd"/>
      <w:r>
        <w:rPr>
          <w:rFonts w:ascii="Times New Roman" w:eastAsia="Times New Roman" w:hAnsi="Times New Roman" w:cs="Times New Roman"/>
          <w:sz w:val="20"/>
          <w:szCs w:val="20"/>
        </w:rPr>
        <w:t xml:space="preserve"> úložišti.</w:t>
      </w:r>
    </w:p>
    <w:p w:rsidR="00F436E3" w:rsidRDefault="005770D9">
      <w:pPr>
        <w:numPr>
          <w:ilvl w:val="0"/>
          <w:numId w:val="6"/>
        </w:numPr>
        <w:spacing w:after="120" w:line="268" w:lineRule="auto"/>
        <w:ind w:left="567"/>
        <w:jc w:val="both"/>
        <w:rPr>
          <w:rFonts w:ascii="Calibri" w:eastAsia="Calibri" w:hAnsi="Calibri" w:cs="Calibri"/>
          <w:sz w:val="20"/>
          <w:szCs w:val="20"/>
        </w:rPr>
      </w:pPr>
      <w:r>
        <w:rPr>
          <w:rFonts w:ascii="Times New Roman" w:eastAsia="Times New Roman" w:hAnsi="Times New Roman" w:cs="Times New Roman"/>
          <w:sz w:val="20"/>
          <w:szCs w:val="20"/>
        </w:rPr>
        <w:t xml:space="preserve">V případě, že Dílo bude trpět vadami či nedodělky, je Zhotovitel povinen po předchozí domluvě s Objednatelem tyto vady bez zbytečného odkladu dle povahy a rozsahu dané vady odstranit a teprve po jejich odstranění dojde k potvrzení předání bezvadného Díla Objednatelem. Zhotovitel je povinen písemně (e-mailem) Objednatele informovat o termínu, do kdy vadu Díla odstraní, pokud k odstranění vad Díla nedojde do 5 pracovních dní ode dne, kdy je vada Díla Zhotoviteli Objednatelem oznámena. </w:t>
      </w:r>
    </w:p>
    <w:p w:rsidR="00F436E3" w:rsidRDefault="00F436E3">
      <w:pPr>
        <w:spacing w:after="120" w:line="268" w:lineRule="auto"/>
        <w:jc w:val="both"/>
        <w:rPr>
          <w:rFonts w:ascii="Times New Roman" w:eastAsia="Times New Roman" w:hAnsi="Times New Roman" w:cs="Times New Roman"/>
          <w:sz w:val="20"/>
          <w:szCs w:val="20"/>
          <w:highlight w:val="white"/>
        </w:rPr>
      </w:pPr>
    </w:p>
    <w:p w:rsidR="00F436E3" w:rsidRDefault="005770D9">
      <w:pPr>
        <w:pStyle w:val="Nadpis2"/>
        <w:numPr>
          <w:ilvl w:val="0"/>
          <w:numId w:val="15"/>
        </w:numPr>
        <w:spacing w:before="0" w:line="268" w:lineRule="auto"/>
        <w:ind w:left="284" w:hanging="244"/>
        <w:jc w:val="center"/>
        <w:rPr>
          <w:rFonts w:ascii="Times New Roman" w:eastAsia="Times New Roman" w:hAnsi="Times New Roman" w:cs="Times New Roman"/>
          <w:b/>
          <w:sz w:val="24"/>
          <w:szCs w:val="24"/>
        </w:rPr>
      </w:pPr>
      <w:bookmarkStart w:id="7" w:name="_1t3h5sf" w:colFirst="0" w:colLast="0"/>
      <w:bookmarkEnd w:id="7"/>
      <w:r>
        <w:rPr>
          <w:rFonts w:ascii="Times New Roman" w:eastAsia="Times New Roman" w:hAnsi="Times New Roman" w:cs="Times New Roman"/>
          <w:b/>
          <w:sz w:val="24"/>
          <w:szCs w:val="24"/>
        </w:rPr>
        <w:t xml:space="preserve">     Cen</w:t>
      </w:r>
      <w:r>
        <w:rPr>
          <w:rFonts w:ascii="Times New Roman" w:eastAsia="Times New Roman" w:hAnsi="Times New Roman" w:cs="Times New Roman"/>
          <w:b/>
          <w:sz w:val="24"/>
          <w:szCs w:val="24"/>
          <w:highlight w:val="white"/>
        </w:rPr>
        <w:t>a a platební podmínky</w:t>
      </w:r>
    </w:p>
    <w:p w:rsidR="00F436E3" w:rsidRDefault="005770D9">
      <w:pPr>
        <w:numPr>
          <w:ilvl w:val="0"/>
          <w:numId w:val="3"/>
        </w:numPr>
        <w:spacing w:after="120" w:line="268" w:lineRule="auto"/>
        <w:ind w:left="567"/>
        <w:jc w:val="both"/>
        <w:rPr>
          <w:rFonts w:ascii="Calibri" w:eastAsia="Calibri" w:hAnsi="Calibri" w:cs="Calibri"/>
          <w:sz w:val="20"/>
          <w:szCs w:val="20"/>
          <w:highlight w:val="white"/>
        </w:rPr>
      </w:pPr>
      <w:r>
        <w:rPr>
          <w:rFonts w:ascii="Times New Roman" w:eastAsia="Times New Roman" w:hAnsi="Times New Roman" w:cs="Times New Roman"/>
          <w:sz w:val="20"/>
          <w:szCs w:val="20"/>
          <w:highlight w:val="white"/>
        </w:rPr>
        <w:t xml:space="preserve">Celková cena za Dílo dle této Smlouvy činí </w:t>
      </w:r>
      <w:r>
        <w:rPr>
          <w:rFonts w:ascii="Times New Roman" w:eastAsia="Times New Roman" w:hAnsi="Times New Roman" w:cs="Times New Roman"/>
          <w:sz w:val="20"/>
          <w:szCs w:val="20"/>
        </w:rPr>
        <w:t>189 300,- Kč (slovy: sto osmdesát devět tisíc tři sta korun českých</w:t>
      </w:r>
      <w:r>
        <w:rPr>
          <w:rFonts w:ascii="Times New Roman" w:eastAsia="Times New Roman" w:hAnsi="Times New Roman" w:cs="Times New Roman"/>
          <w:sz w:val="20"/>
          <w:szCs w:val="20"/>
          <w:highlight w:val="white"/>
        </w:rPr>
        <w:t xml:space="preserve">) bez DPH (dále jen </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Cena</w:t>
      </w:r>
      <w:r>
        <w:rPr>
          <w:rFonts w:ascii="Times New Roman" w:eastAsia="Times New Roman" w:hAnsi="Times New Roman" w:cs="Times New Roman"/>
          <w:sz w:val="20"/>
          <w:szCs w:val="20"/>
        </w:rPr>
        <w:t>”)</w:t>
      </w:r>
      <w:r>
        <w:rPr>
          <w:rFonts w:ascii="Times New Roman" w:eastAsia="Times New Roman" w:hAnsi="Times New Roman" w:cs="Times New Roman"/>
          <w:sz w:val="20"/>
          <w:szCs w:val="20"/>
          <w:highlight w:val="white"/>
        </w:rPr>
        <w:t>, jak je blíže specifikováno v Příloze č</w:t>
      </w:r>
      <w:r>
        <w:rPr>
          <w:rFonts w:ascii="Times New Roman" w:eastAsia="Times New Roman" w:hAnsi="Times New Roman" w:cs="Times New Roman"/>
          <w:sz w:val="20"/>
          <w:szCs w:val="20"/>
        </w:rPr>
        <w:t>. 1</w:t>
      </w:r>
      <w:r>
        <w:rPr>
          <w:rFonts w:ascii="Times New Roman" w:eastAsia="Times New Roman" w:hAnsi="Times New Roman" w:cs="Times New Roman"/>
          <w:sz w:val="20"/>
          <w:szCs w:val="20"/>
          <w:highlight w:val="white"/>
        </w:rPr>
        <w:t xml:space="preserve"> této Smlouvy.</w:t>
      </w:r>
    </w:p>
    <w:p w:rsidR="00F436E3" w:rsidRDefault="005770D9">
      <w:pPr>
        <w:numPr>
          <w:ilvl w:val="0"/>
          <w:numId w:val="3"/>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Cena díla byla Smluvními stranami stanovena na základě rozpočtu a v případě víceprací může být Zhotovitelem přiměřeně zvýšena. Jakékoliv zvýšení však podléhá předchozímu uzavření písemného dodatku k této Smlouvě a jeho uveřejnění v registru smluv. </w:t>
      </w:r>
    </w:p>
    <w:p w:rsidR="00F436E3" w:rsidRDefault="005770D9">
      <w:pPr>
        <w:numPr>
          <w:ilvl w:val="0"/>
          <w:numId w:val="3"/>
        </w:numPr>
        <w:spacing w:after="120" w:line="268" w:lineRule="auto"/>
        <w:ind w:left="567"/>
        <w:jc w:val="both"/>
        <w:rPr>
          <w:rFonts w:ascii="Calibri" w:eastAsia="Calibri" w:hAnsi="Calibri" w:cs="Calibri"/>
          <w:sz w:val="20"/>
          <w:szCs w:val="20"/>
        </w:rPr>
      </w:pPr>
      <w:r>
        <w:rPr>
          <w:rFonts w:ascii="Times New Roman" w:eastAsia="Times New Roman" w:hAnsi="Times New Roman" w:cs="Times New Roman"/>
          <w:sz w:val="20"/>
          <w:szCs w:val="20"/>
        </w:rPr>
        <w:lastRenderedPageBreak/>
        <w:t>Cena bude hrazena Objednatelem následně</w:t>
      </w:r>
      <w:r>
        <w:rPr>
          <w:rFonts w:ascii="Times New Roman" w:eastAsia="Times New Roman" w:hAnsi="Times New Roman" w:cs="Times New Roman"/>
          <w:sz w:val="20"/>
          <w:szCs w:val="20"/>
          <w:highlight w:val="white"/>
        </w:rPr>
        <w:t xml:space="preserve">: </w:t>
      </w:r>
    </w:p>
    <w:p w:rsidR="00F436E3" w:rsidRDefault="005770D9">
      <w:pPr>
        <w:numPr>
          <w:ilvl w:val="4"/>
          <w:numId w:val="21"/>
        </w:numPr>
        <w:spacing w:after="120" w:line="268" w:lineRule="auto"/>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Zhotovitel vystaví zálohovou fakturu na 50 % Ceny do 5 pracovních dnů ode dne účinnosti Smlouvy;</w:t>
      </w:r>
    </w:p>
    <w:p w:rsidR="00F436E3" w:rsidRDefault="005770D9">
      <w:pPr>
        <w:numPr>
          <w:ilvl w:val="4"/>
          <w:numId w:val="21"/>
        </w:numPr>
        <w:spacing w:after="120" w:line="268" w:lineRule="auto"/>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Fakturu – daňový doklad, jejíž součástí bude doplatek druhé 50 % části Ceny vystaví Zhotovitel po dokončení, schválení a odevzdání Díla v souladu s čl. IV. této smlouvy.</w:t>
      </w:r>
    </w:p>
    <w:p w:rsidR="00F436E3" w:rsidRDefault="005770D9">
      <w:pPr>
        <w:numPr>
          <w:ilvl w:val="0"/>
          <w:numId w:val="3"/>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Splatnost faktur je čtrnáct (14) kalendářních dnů ode dne doručení Objednateli. Faktury Zhotovitel vždy zašle v elektronické formě na e-mailovou adresu Objednatele.</w:t>
      </w:r>
    </w:p>
    <w:p w:rsidR="00F436E3" w:rsidRDefault="005770D9">
      <w:pPr>
        <w:numPr>
          <w:ilvl w:val="0"/>
          <w:numId w:val="3"/>
        </w:numPr>
        <w:spacing w:after="120" w:line="268" w:lineRule="auto"/>
        <w:ind w:left="567"/>
        <w:jc w:val="both"/>
        <w:rPr>
          <w:rFonts w:ascii="Calibri" w:eastAsia="Calibri" w:hAnsi="Calibri" w:cs="Calibri"/>
          <w:sz w:val="20"/>
          <w:szCs w:val="20"/>
        </w:rPr>
      </w:pPr>
      <w:r>
        <w:rPr>
          <w:rFonts w:ascii="Times New Roman" w:eastAsia="Times New Roman" w:hAnsi="Times New Roman" w:cs="Times New Roman"/>
          <w:sz w:val="20"/>
          <w:szCs w:val="20"/>
        </w:rPr>
        <w:t>Zhotovitel je plátcem daně z přidané hodnoty (dále jen „</w:t>
      </w:r>
      <w:r>
        <w:rPr>
          <w:rFonts w:ascii="Times New Roman" w:eastAsia="Times New Roman" w:hAnsi="Times New Roman" w:cs="Times New Roman"/>
          <w:b/>
          <w:sz w:val="20"/>
          <w:szCs w:val="20"/>
        </w:rPr>
        <w:t>DPH</w:t>
      </w:r>
      <w:r>
        <w:rPr>
          <w:rFonts w:ascii="Times New Roman" w:eastAsia="Times New Roman" w:hAnsi="Times New Roman" w:cs="Times New Roman"/>
          <w:sz w:val="20"/>
          <w:szCs w:val="20"/>
        </w:rPr>
        <w:t>“) a k Ceně díla bude připočtena DPH v zákonné výši.</w:t>
      </w:r>
    </w:p>
    <w:p w:rsidR="00F436E3" w:rsidRDefault="005770D9">
      <w:pPr>
        <w:numPr>
          <w:ilvl w:val="0"/>
          <w:numId w:val="3"/>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Objednatel hradí Cenu bankovním převodem na účet Zhotovitele uvedený na faktuře. Cena se považuje za uhrazenou okamžikem jejího připsání na účet Zhotovitele.</w:t>
      </w:r>
    </w:p>
    <w:p w:rsidR="00F436E3" w:rsidRDefault="005770D9">
      <w:pPr>
        <w:numPr>
          <w:ilvl w:val="0"/>
          <w:numId w:val="3"/>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Úrok z prodlení s úhradou jakékoliv platby dle této Smlouvy činí 0,05 % z dlužné částky za každý, byť jen započatý den prodlení. </w:t>
      </w:r>
    </w:p>
    <w:p w:rsidR="00F436E3" w:rsidRDefault="005770D9">
      <w:pPr>
        <w:numPr>
          <w:ilvl w:val="0"/>
          <w:numId w:val="3"/>
        </w:numPr>
        <w:spacing w:after="120" w:line="268" w:lineRule="auto"/>
        <w:ind w:left="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Pokud nebude některá faktura uhrazena v termínu splatnosti (a to včetně zálohové faktury), je Zhotovitel oprávněn přerušit veškeré práce až do uhrazení příslušné faktury. O dobu, po kterou Zhotovitel neprováděl práce z důvodů neuhrazení dlužné částky Objednatelem, se prodlužuje termín dokončení a předání kompletního Díla.</w:t>
      </w:r>
    </w:p>
    <w:p w:rsidR="00F436E3" w:rsidRDefault="005770D9">
      <w:pPr>
        <w:numPr>
          <w:ilvl w:val="0"/>
          <w:numId w:val="3"/>
        </w:numPr>
        <w:spacing w:after="120" w:line="268" w:lineRule="auto"/>
        <w:ind w:left="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 okamžiku předání zůstává Dílo, resp. jeho příslušná část, v majetku Zhotovitele a s ním i veškerá práva k jejich užívání. Pro zamezení pochybností však Smluvní strany sjednávají, že jakýkoliv materiál nebo informace náležící Objednateli, které Objednatel případně předá Zhotoviteli pro jejich zakomponování nebo jiné zpracování do Díla, nadále zůstává v majetku Objednatele a Zhotovitel je může použít pouze pro vytvoření Díla v souladu s touto Smlouvou.</w:t>
      </w:r>
    </w:p>
    <w:p w:rsidR="00F436E3" w:rsidRDefault="00F436E3">
      <w:pPr>
        <w:spacing w:after="120" w:line="268" w:lineRule="auto"/>
        <w:ind w:left="360"/>
        <w:jc w:val="both"/>
        <w:rPr>
          <w:rFonts w:ascii="Times New Roman" w:eastAsia="Times New Roman" w:hAnsi="Times New Roman" w:cs="Times New Roman"/>
          <w:sz w:val="20"/>
          <w:szCs w:val="20"/>
        </w:rPr>
      </w:pPr>
    </w:p>
    <w:p w:rsidR="00F436E3" w:rsidRDefault="005770D9">
      <w:pPr>
        <w:pStyle w:val="Nadpis2"/>
        <w:numPr>
          <w:ilvl w:val="0"/>
          <w:numId w:val="15"/>
        </w:numPr>
        <w:spacing w:before="0" w:line="268" w:lineRule="auto"/>
        <w:ind w:left="284" w:hanging="244"/>
        <w:jc w:val="center"/>
        <w:rPr>
          <w:rFonts w:ascii="Times New Roman" w:eastAsia="Times New Roman" w:hAnsi="Times New Roman" w:cs="Times New Roman"/>
          <w:b/>
          <w:sz w:val="24"/>
          <w:szCs w:val="24"/>
        </w:rPr>
      </w:pPr>
      <w:bookmarkStart w:id="8" w:name="_4d34og8" w:colFirst="0" w:colLast="0"/>
      <w:bookmarkEnd w:id="8"/>
      <w:r>
        <w:rPr>
          <w:rFonts w:ascii="Times New Roman" w:eastAsia="Times New Roman" w:hAnsi="Times New Roman" w:cs="Times New Roman"/>
          <w:b/>
          <w:sz w:val="24"/>
          <w:szCs w:val="24"/>
        </w:rPr>
        <w:t>Autorská práva a licence</w:t>
      </w:r>
    </w:p>
    <w:p w:rsidR="00F436E3" w:rsidRDefault="005770D9">
      <w:pPr>
        <w:numPr>
          <w:ilvl w:val="0"/>
          <w:numId w:val="20"/>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Smluvní strany berou na vědomí, že Dílo nebo jeho část může být autorským dílem ve smyslu zákona č. 121/2000 Sb., o právu autorském, o právech souvisejících s právem autorským a o změně některých zákonů (autorský zákon). </w:t>
      </w:r>
    </w:p>
    <w:p w:rsidR="00F436E3" w:rsidRDefault="005770D9">
      <w:pPr>
        <w:numPr>
          <w:ilvl w:val="0"/>
          <w:numId w:val="20"/>
        </w:numPr>
        <w:spacing w:after="120" w:line="268" w:lineRule="auto"/>
        <w:ind w:left="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Zhotovitel prohlašuje, že je oprávněn postoupit na Objednatele majetková práva k Dílu ve smyslu </w:t>
      </w:r>
      <w:proofErr w:type="spellStart"/>
      <w:r>
        <w:rPr>
          <w:rFonts w:ascii="Times New Roman" w:eastAsia="Times New Roman" w:hAnsi="Times New Roman" w:cs="Times New Roman"/>
          <w:sz w:val="20"/>
          <w:szCs w:val="20"/>
          <w:highlight w:val="white"/>
        </w:rPr>
        <w:t>ust</w:t>
      </w:r>
      <w:proofErr w:type="spellEnd"/>
      <w:r>
        <w:rPr>
          <w:rFonts w:ascii="Times New Roman" w:eastAsia="Times New Roman" w:hAnsi="Times New Roman" w:cs="Times New Roman"/>
          <w:sz w:val="20"/>
          <w:szCs w:val="20"/>
          <w:highlight w:val="white"/>
        </w:rPr>
        <w:t>. § 58 odst. 1 Autorského zákona, tzn., že Zhotovitel disponuje souhlasy všech autorů Díla s postoupením majetkových práv. Zhotovitel dále prohlašuje, že postoupení majetkových práv neporušuje práva třetích osob. Okamžikem uhrazení úplné Ceny za Dílo dochází k postoupení majetkových práv k Dílu ze Zhotovitele na Objednatele.</w:t>
      </w:r>
    </w:p>
    <w:p w:rsidR="00F436E3" w:rsidRDefault="005770D9">
      <w:pPr>
        <w:numPr>
          <w:ilvl w:val="0"/>
          <w:numId w:val="20"/>
        </w:numPr>
        <w:spacing w:after="120" w:line="268" w:lineRule="auto"/>
        <w:ind w:left="567"/>
        <w:jc w:val="both"/>
        <w:rPr>
          <w:rFonts w:ascii="Calibri" w:eastAsia="Calibri" w:hAnsi="Calibri" w:cs="Calibri"/>
          <w:sz w:val="20"/>
          <w:szCs w:val="20"/>
        </w:rPr>
      </w:pPr>
      <w:r>
        <w:rPr>
          <w:rFonts w:ascii="Times New Roman" w:eastAsia="Times New Roman" w:hAnsi="Times New Roman" w:cs="Times New Roman"/>
          <w:sz w:val="20"/>
          <w:szCs w:val="20"/>
        </w:rPr>
        <w:t>Pro případ, že je Dílo autorským dílem, k němuž nelze postoupit majetková práva v souladu s předchozím odstavcem, poskytuje Zhotovitel Objednateli právo takové autorské dílo užít („</w:t>
      </w:r>
      <w:r>
        <w:rPr>
          <w:rFonts w:ascii="Times New Roman" w:eastAsia="Times New Roman" w:hAnsi="Times New Roman" w:cs="Times New Roman"/>
          <w:b/>
          <w:sz w:val="20"/>
          <w:szCs w:val="20"/>
        </w:rPr>
        <w:t>Licence</w:t>
      </w:r>
      <w:r>
        <w:rPr>
          <w:rFonts w:ascii="Times New Roman" w:eastAsia="Times New Roman" w:hAnsi="Times New Roman" w:cs="Times New Roman"/>
          <w:sz w:val="20"/>
          <w:szCs w:val="20"/>
        </w:rPr>
        <w:t xml:space="preserve">“), přičemž cena za poskytnutí Licence je zahrnuta v Ceně. </w:t>
      </w:r>
    </w:p>
    <w:p w:rsidR="00F436E3" w:rsidRDefault="005770D9">
      <w:pPr>
        <w:numPr>
          <w:ilvl w:val="0"/>
          <w:numId w:val="20"/>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Licence je poskytnuta ode dne uhrazení úplné Ceny za Dílo Objednatelem za těchto podmínek:</w:t>
      </w:r>
    </w:p>
    <w:p w:rsidR="00F436E3" w:rsidRDefault="005770D9">
      <w:pPr>
        <w:numPr>
          <w:ilvl w:val="4"/>
          <w:numId w:val="21"/>
        </w:numPr>
        <w:spacing w:after="120" w:line="268" w:lineRule="auto"/>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Licence je výhradní;</w:t>
      </w:r>
    </w:p>
    <w:p w:rsidR="00F436E3" w:rsidRDefault="005770D9">
      <w:pPr>
        <w:numPr>
          <w:ilvl w:val="4"/>
          <w:numId w:val="21"/>
        </w:numPr>
        <w:spacing w:after="120" w:line="268" w:lineRule="auto"/>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 udělená ke všem známým způsobům užití díla;</w:t>
      </w:r>
    </w:p>
    <w:p w:rsidR="00F436E3" w:rsidRDefault="005770D9">
      <w:pPr>
        <w:numPr>
          <w:ilvl w:val="4"/>
          <w:numId w:val="10"/>
        </w:numPr>
        <w:tabs>
          <w:tab w:val="left" w:pos="567"/>
          <w:tab w:val="left" w:pos="1701"/>
          <w:tab w:val="left" w:pos="2268"/>
          <w:tab w:val="left" w:pos="2835"/>
          <w:tab w:val="left" w:pos="3402"/>
        </w:tabs>
        <w:spacing w:after="120" w:line="26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 množstevně neomezená;</w:t>
      </w:r>
    </w:p>
    <w:p w:rsidR="00F436E3" w:rsidRDefault="005770D9">
      <w:pPr>
        <w:numPr>
          <w:ilvl w:val="4"/>
          <w:numId w:val="10"/>
        </w:numPr>
        <w:tabs>
          <w:tab w:val="left" w:pos="567"/>
          <w:tab w:val="left" w:pos="1701"/>
          <w:tab w:val="left" w:pos="2268"/>
          <w:tab w:val="left" w:pos="2835"/>
          <w:tab w:val="left" w:pos="3402"/>
        </w:tabs>
        <w:spacing w:after="120" w:line="26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 územně neomezená;</w:t>
      </w:r>
    </w:p>
    <w:p w:rsidR="00F436E3" w:rsidRDefault="005770D9">
      <w:pPr>
        <w:numPr>
          <w:ilvl w:val="4"/>
          <w:numId w:val="10"/>
        </w:numPr>
        <w:tabs>
          <w:tab w:val="left" w:pos="567"/>
          <w:tab w:val="left" w:pos="1701"/>
          <w:tab w:val="left" w:pos="2268"/>
          <w:tab w:val="left" w:pos="2835"/>
          <w:tab w:val="left" w:pos="3402"/>
        </w:tabs>
        <w:spacing w:after="120" w:line="26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uděluje se na dobu trvání majetkových práv.</w:t>
      </w:r>
    </w:p>
    <w:p w:rsidR="00F436E3" w:rsidRDefault="005770D9">
      <w:pPr>
        <w:numPr>
          <w:ilvl w:val="0"/>
          <w:numId w:val="20"/>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Zhotovitel uděluje Objednateli souhlas k jakékoliv změně nebo zásah</w:t>
      </w:r>
      <w:r>
        <w:rPr>
          <w:rFonts w:ascii="Times New Roman" w:eastAsia="Times New Roman" w:hAnsi="Times New Roman" w:cs="Times New Roman"/>
          <w:sz w:val="20"/>
          <w:szCs w:val="20"/>
          <w:highlight w:val="white"/>
        </w:rPr>
        <w:t xml:space="preserve">u do Díla, jakož i k jeho zveřejnění, úpravám, překladu, dokončení, spojení s jiným dílem, uvádění bez autorské doložky autorů, změně názvu nebo označení a zařazení do díla souborného nebo databáze. </w:t>
      </w:r>
    </w:p>
    <w:p w:rsidR="00F436E3" w:rsidRDefault="005770D9">
      <w:pPr>
        <w:numPr>
          <w:ilvl w:val="0"/>
          <w:numId w:val="20"/>
        </w:numPr>
        <w:spacing w:after="120" w:line="268" w:lineRule="auto"/>
        <w:ind w:left="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Zhotovitel se zavazuje vypořádat případná práva třetích osob vyplývající z autorského práva.</w:t>
      </w:r>
    </w:p>
    <w:p w:rsidR="00F436E3" w:rsidRDefault="005770D9">
      <w:pPr>
        <w:numPr>
          <w:ilvl w:val="0"/>
          <w:numId w:val="20"/>
        </w:numPr>
        <w:spacing w:after="120" w:line="268" w:lineRule="auto"/>
        <w:ind w:left="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Zhotovitel je oprávněn využít prezentace Díla jakožto reference pro své marketingové a propagační účely včetně uvedení názvu Objednatele.</w:t>
      </w:r>
    </w:p>
    <w:p w:rsidR="00F436E3" w:rsidRDefault="00F436E3">
      <w:pPr>
        <w:spacing w:after="120" w:line="268" w:lineRule="auto"/>
        <w:ind w:left="360"/>
        <w:jc w:val="both"/>
        <w:rPr>
          <w:rFonts w:ascii="Times New Roman" w:eastAsia="Times New Roman" w:hAnsi="Times New Roman" w:cs="Times New Roman"/>
          <w:sz w:val="20"/>
          <w:szCs w:val="20"/>
          <w:highlight w:val="white"/>
        </w:rPr>
      </w:pPr>
    </w:p>
    <w:p w:rsidR="00F436E3" w:rsidRDefault="005770D9">
      <w:pPr>
        <w:pStyle w:val="Nadpis2"/>
        <w:numPr>
          <w:ilvl w:val="0"/>
          <w:numId w:val="15"/>
        </w:numPr>
        <w:spacing w:before="0" w:line="268" w:lineRule="auto"/>
        <w:ind w:left="284" w:hanging="244"/>
        <w:jc w:val="center"/>
        <w:rPr>
          <w:rFonts w:ascii="Times New Roman" w:eastAsia="Times New Roman" w:hAnsi="Times New Roman" w:cs="Times New Roman"/>
          <w:b/>
          <w:sz w:val="24"/>
          <w:szCs w:val="24"/>
        </w:rPr>
      </w:pPr>
      <w:bookmarkStart w:id="9" w:name="_2s8eyo1" w:colFirst="0" w:colLast="0"/>
      <w:bookmarkEnd w:id="9"/>
      <w:r>
        <w:rPr>
          <w:rFonts w:ascii="Times New Roman" w:eastAsia="Times New Roman" w:hAnsi="Times New Roman" w:cs="Times New Roman"/>
          <w:b/>
          <w:sz w:val="24"/>
          <w:szCs w:val="24"/>
        </w:rPr>
        <w:t>Ukončení Smlouvy</w:t>
      </w:r>
    </w:p>
    <w:p w:rsidR="00F436E3" w:rsidRDefault="005770D9">
      <w:pPr>
        <w:numPr>
          <w:ilvl w:val="0"/>
          <w:numId w:val="22"/>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Objednatel je oprávněn odstoupit od Smlouvy:</w:t>
      </w:r>
    </w:p>
    <w:p w:rsidR="00F436E3" w:rsidRDefault="005770D9">
      <w:pPr>
        <w:numPr>
          <w:ilvl w:val="4"/>
          <w:numId w:val="12"/>
        </w:numPr>
        <w:spacing w:after="120" w:line="268" w:lineRule="auto"/>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pokud je Zhotovitel v prodlení jakéhokoliv závazně sjednaného termínu o více než 21 kalendářních dnů s výjimkou situací uvedených v čl. II odst. 7., v čl. III odst. 3. a v čl. V. odst. 8. této Smlouvy;</w:t>
      </w:r>
    </w:p>
    <w:p w:rsidR="00F436E3" w:rsidRDefault="005770D9">
      <w:pPr>
        <w:numPr>
          <w:ilvl w:val="4"/>
          <w:numId w:val="12"/>
        </w:numPr>
        <w:spacing w:after="120" w:line="268" w:lineRule="auto"/>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 případě prodlení dle čl. III odst. 3 po dobu delší než 2 kalendářní měsíce, </w:t>
      </w:r>
    </w:p>
    <w:p w:rsidR="00F436E3" w:rsidRDefault="005770D9">
      <w:pPr>
        <w:numPr>
          <w:ilvl w:val="4"/>
          <w:numId w:val="12"/>
        </w:numPr>
        <w:spacing w:after="120" w:line="268" w:lineRule="auto"/>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 případě porušení článku VI této Smlouvy ze strany Zhotovitele;</w:t>
      </w:r>
    </w:p>
    <w:p w:rsidR="00F436E3" w:rsidRDefault="005770D9">
      <w:pPr>
        <w:numPr>
          <w:ilvl w:val="4"/>
          <w:numId w:val="12"/>
        </w:numPr>
        <w:spacing w:after="120" w:line="268" w:lineRule="auto"/>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 dalších případech vyplývajících z právních předpisů.</w:t>
      </w:r>
    </w:p>
    <w:p w:rsidR="00F436E3" w:rsidRDefault="005770D9">
      <w:pPr>
        <w:numPr>
          <w:ilvl w:val="0"/>
          <w:numId w:val="22"/>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Zh</w:t>
      </w:r>
      <w:r>
        <w:rPr>
          <w:rFonts w:ascii="Times New Roman" w:eastAsia="Times New Roman" w:hAnsi="Times New Roman" w:cs="Times New Roman"/>
          <w:sz w:val="20"/>
          <w:szCs w:val="20"/>
          <w:highlight w:val="white"/>
        </w:rPr>
        <w:t>otovitel je oprávněn odstoupit od Smlouvy v případě, že:</w:t>
      </w:r>
    </w:p>
    <w:p w:rsidR="00F436E3" w:rsidRDefault="005770D9">
      <w:pPr>
        <w:numPr>
          <w:ilvl w:val="4"/>
          <w:numId w:val="18"/>
        </w:numPr>
        <w:spacing w:after="120" w:line="268" w:lineRule="auto"/>
        <w:ind w:left="1134" w:hanging="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Objednatel neposkytuje potřebnou součinnost k vytvoření Díla (zejména opakovaně neposkytuje podklady, dokumenty a informace potřebné pro řádné vytvoření Díla);</w:t>
      </w:r>
    </w:p>
    <w:p w:rsidR="00F436E3" w:rsidRDefault="005770D9">
      <w:pPr>
        <w:numPr>
          <w:ilvl w:val="4"/>
          <w:numId w:val="18"/>
        </w:numPr>
        <w:spacing w:after="120" w:line="268" w:lineRule="auto"/>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 Objednatel v prodlení s uhrazením jakéhokoliv peněžitého závazku vůči Zhotoviteli o více než 21 kalendářních dnů ode dne jeho splatnosti a Zhotovitel jej předtím vyzval k úhradě takového závazku (i elektronicky na e-mail Objednatele);</w:t>
      </w:r>
    </w:p>
    <w:p w:rsidR="00F436E3" w:rsidRDefault="005770D9">
      <w:pPr>
        <w:numPr>
          <w:ilvl w:val="4"/>
          <w:numId w:val="18"/>
        </w:numPr>
        <w:spacing w:after="120" w:line="268" w:lineRule="auto"/>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 dalších případech vyplývajících z právních předpisů.</w:t>
      </w:r>
    </w:p>
    <w:p w:rsidR="00F436E3" w:rsidRDefault="005770D9">
      <w:pPr>
        <w:numPr>
          <w:ilvl w:val="0"/>
          <w:numId w:val="22"/>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Smlouva může být také ukončena kdykoliv na základě písemné dohody Smluvních stran.</w:t>
      </w:r>
    </w:p>
    <w:p w:rsidR="00F436E3" w:rsidRDefault="005770D9">
      <w:pPr>
        <w:numPr>
          <w:ilvl w:val="0"/>
          <w:numId w:val="22"/>
        </w:numPr>
        <w:spacing w:after="120" w:line="268" w:lineRule="auto"/>
        <w:ind w:left="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V případě, že Zhotovitel odstoupí od Smlouvy podle tohoto článku odst. 3.</w:t>
      </w:r>
      <w:r>
        <w:rPr>
          <w:rFonts w:ascii="Times New Roman" w:eastAsia="Times New Roman" w:hAnsi="Times New Roman" w:cs="Times New Roman"/>
          <w:sz w:val="20"/>
          <w:szCs w:val="20"/>
        </w:rPr>
        <w:t>,</w:t>
      </w:r>
      <w:r>
        <w:rPr>
          <w:rFonts w:ascii="Times New Roman" w:eastAsia="Times New Roman" w:hAnsi="Times New Roman" w:cs="Times New Roman"/>
          <w:sz w:val="20"/>
          <w:szCs w:val="20"/>
          <w:highlight w:val="white"/>
        </w:rPr>
        <w:t xml:space="preserve"> náleží Zhotoviteli poměrná část z Ceny dle rozsahu realizace Díla. Rozsah zpracování Díla je dán externími náklady Zhotovitele a počtem hodin, které Zhotovitel strávil prací na Díle, přičemž počet těchto hodin Zhotovitel vykáže výkazem a Objednatel bere na vědomí, že v rámci kreativního procesu u některých případů nelze prokazovat existenci konkrétního výstupu. Proto souhlasí s tím, že výkaz bude vždy dostatečným podkladem pro fakturaci rozpracovaného </w:t>
      </w:r>
      <w:proofErr w:type="gramStart"/>
      <w:r>
        <w:rPr>
          <w:rFonts w:ascii="Times New Roman" w:eastAsia="Times New Roman" w:hAnsi="Times New Roman" w:cs="Times New Roman"/>
          <w:sz w:val="20"/>
          <w:szCs w:val="20"/>
          <w:highlight w:val="white"/>
        </w:rPr>
        <w:t>Díla..</w:t>
      </w:r>
      <w:proofErr w:type="gramEnd"/>
    </w:p>
    <w:p w:rsidR="00F436E3" w:rsidRDefault="005770D9">
      <w:pPr>
        <w:numPr>
          <w:ilvl w:val="0"/>
          <w:numId w:val="22"/>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 případě, že právo odstoupit od Smlouvy vznikne Objednateli, může Objednatel podle své volby od Smlouvy odstoupit v celém rozsahu nebo jen od některé části Díla. Smluvní strany tímto výslovně sjednávají, že pokud Smlouva zanikne odstoupením Objednatele, Objednatel, podle své volby, může Zhotoviteli vrátit všechna nebo jen některá plnění, která do té doby Zhotovitel předal Objednateli, a Zhotoviteli náleží poměrná část z Ceny pouze za ta plnění, která si Objednatel rozhodne ponechat. To platí i pro plnění, která Zhotovitel předal Objednateli, ale Objednatel je ještě formálně nepřevzal.</w:t>
      </w:r>
    </w:p>
    <w:p w:rsidR="00F436E3" w:rsidRDefault="005770D9">
      <w:pPr>
        <w:numPr>
          <w:ilvl w:val="0"/>
          <w:numId w:val="22"/>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 případě předčasného ukončení Smlouvy předloží Zhotovitel Objednateli konečné vyúčtování. Pokud se Smluvní strany nedohodnou jinak, není Zhotovitel povinen rozpracované Dílo dokončovat. Výstupy rozpracovaného Díla se Zhotovitel zavazuje předat Objednateli, ledaže Objednatel odstoupil od Smlouvy v celém rozsahu, v takovém případě výstupy rozpracovaného Díla Zhotovitel Objednateli nepředává a Zhotoviteli nenáleží žádná náhrada doposud vynaložených nákladů.</w:t>
      </w:r>
    </w:p>
    <w:p w:rsidR="00F436E3" w:rsidRDefault="00F436E3">
      <w:pPr>
        <w:spacing w:after="120" w:line="268" w:lineRule="auto"/>
        <w:jc w:val="both"/>
        <w:rPr>
          <w:rFonts w:ascii="Times New Roman" w:eastAsia="Times New Roman" w:hAnsi="Times New Roman" w:cs="Times New Roman"/>
          <w:sz w:val="20"/>
          <w:szCs w:val="20"/>
          <w:highlight w:val="yellow"/>
        </w:rPr>
      </w:pPr>
    </w:p>
    <w:p w:rsidR="00F436E3" w:rsidRDefault="005770D9">
      <w:pPr>
        <w:pStyle w:val="Nadpis2"/>
        <w:numPr>
          <w:ilvl w:val="0"/>
          <w:numId w:val="15"/>
        </w:numPr>
        <w:spacing w:before="0" w:line="268" w:lineRule="auto"/>
        <w:ind w:left="284" w:hanging="244"/>
        <w:jc w:val="center"/>
        <w:rPr>
          <w:rFonts w:ascii="Times New Roman" w:eastAsia="Times New Roman" w:hAnsi="Times New Roman" w:cs="Times New Roman"/>
          <w:b/>
          <w:sz w:val="24"/>
          <w:szCs w:val="24"/>
        </w:rPr>
      </w:pPr>
      <w:bookmarkStart w:id="10" w:name="_17dp8vu" w:colFirst="0" w:colLast="0"/>
      <w:bookmarkEnd w:id="10"/>
      <w:r>
        <w:rPr>
          <w:rFonts w:ascii="Times New Roman" w:eastAsia="Times New Roman" w:hAnsi="Times New Roman" w:cs="Times New Roman"/>
          <w:b/>
          <w:sz w:val="24"/>
          <w:szCs w:val="24"/>
        </w:rPr>
        <w:t xml:space="preserve"> Komunikace</w:t>
      </w:r>
    </w:p>
    <w:p w:rsidR="00F436E3" w:rsidRDefault="005770D9">
      <w:pPr>
        <w:numPr>
          <w:ilvl w:val="0"/>
          <w:numId w:val="14"/>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Oprávněné osoby Objednatele pro komunikaci za účelem plnění této Smlouvy:</w:t>
      </w:r>
    </w:p>
    <w:p w:rsidR="00F436E3" w:rsidRDefault="00D07035">
      <w:pPr>
        <w:numPr>
          <w:ilvl w:val="0"/>
          <w:numId w:val="5"/>
        </w:numPr>
        <w:spacing w:after="120" w:line="268"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xxx</w:t>
      </w:r>
      <w:proofErr w:type="spellEnd"/>
    </w:p>
    <w:p w:rsidR="00F436E3" w:rsidRDefault="00D07035">
      <w:pPr>
        <w:numPr>
          <w:ilvl w:val="0"/>
          <w:numId w:val="5"/>
        </w:numPr>
        <w:spacing w:after="120" w:line="268" w:lineRule="auto"/>
        <w:jc w:val="both"/>
      </w:pPr>
      <w:proofErr w:type="spellStart"/>
      <w:r>
        <w:rPr>
          <w:rFonts w:ascii="Times New Roman" w:eastAsia="Times New Roman" w:hAnsi="Times New Roman" w:cs="Times New Roman"/>
          <w:sz w:val="20"/>
          <w:szCs w:val="20"/>
        </w:rPr>
        <w:t>xxx</w:t>
      </w:r>
      <w:proofErr w:type="spellEnd"/>
    </w:p>
    <w:p w:rsidR="00F436E3" w:rsidRDefault="005770D9">
      <w:pPr>
        <w:numPr>
          <w:ilvl w:val="0"/>
          <w:numId w:val="14"/>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Oprávněné osoby Zhotovitele pro komunikaci za účelem plnění této Smlouvy:</w:t>
      </w:r>
    </w:p>
    <w:p w:rsidR="00F436E3" w:rsidRDefault="00D07035">
      <w:pPr>
        <w:numPr>
          <w:ilvl w:val="0"/>
          <w:numId w:val="7"/>
        </w:numPr>
        <w:spacing w:after="120" w:line="268" w:lineRule="auto"/>
        <w:ind w:left="1133" w:hanging="566"/>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xxx</w:t>
      </w:r>
      <w:proofErr w:type="spellEnd"/>
      <w:r w:rsidR="005770D9">
        <w:rPr>
          <w:rFonts w:ascii="Times New Roman" w:eastAsia="Times New Roman" w:hAnsi="Times New Roman" w:cs="Times New Roman"/>
          <w:sz w:val="20"/>
          <w:szCs w:val="20"/>
        </w:rPr>
        <w:t xml:space="preserve"> </w:t>
      </w:r>
    </w:p>
    <w:p w:rsidR="00F436E3" w:rsidRDefault="00D07035">
      <w:pPr>
        <w:numPr>
          <w:ilvl w:val="0"/>
          <w:numId w:val="7"/>
        </w:numPr>
        <w:spacing w:after="120" w:line="268" w:lineRule="auto"/>
        <w:ind w:left="1133" w:hanging="566"/>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xxx</w:t>
      </w:r>
      <w:proofErr w:type="spellEnd"/>
      <w:r w:rsidR="005770D9">
        <w:rPr>
          <w:rFonts w:ascii="Times New Roman" w:eastAsia="Times New Roman" w:hAnsi="Times New Roman" w:cs="Times New Roman"/>
          <w:sz w:val="20"/>
          <w:szCs w:val="20"/>
        </w:rPr>
        <w:t xml:space="preserve"> </w:t>
      </w:r>
    </w:p>
    <w:p w:rsidR="00F436E3" w:rsidRDefault="00D07035">
      <w:pPr>
        <w:numPr>
          <w:ilvl w:val="0"/>
          <w:numId w:val="7"/>
        </w:numPr>
        <w:spacing w:after="120" w:line="268" w:lineRule="auto"/>
        <w:ind w:left="1133" w:hanging="566"/>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xxx</w:t>
      </w:r>
      <w:proofErr w:type="spellEnd"/>
    </w:p>
    <w:p w:rsidR="00F436E3" w:rsidRDefault="005770D9">
      <w:pPr>
        <w:numPr>
          <w:ilvl w:val="0"/>
          <w:numId w:val="14"/>
        </w:numPr>
        <w:spacing w:after="120" w:line="26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Smluvní strany jsou oprávněny jednostranně změnit kontaktní osoby nebo jejich kontaktní údaje, na tuto změnu jsou však povinny druhou Smluvní stranu písemně (elektronicky) upozornit. Tato změna je vůči druhé Smluvní straně účinná ode dne doručení oznámení o změně bez nutnosti uzavírání dodatku ke Smlouvě.</w:t>
      </w:r>
    </w:p>
    <w:p w:rsidR="00F436E3" w:rsidRDefault="00F436E3">
      <w:pPr>
        <w:spacing w:after="120" w:line="268" w:lineRule="auto"/>
        <w:ind w:left="360"/>
        <w:jc w:val="both"/>
        <w:rPr>
          <w:rFonts w:ascii="Times New Roman" w:eastAsia="Times New Roman" w:hAnsi="Times New Roman" w:cs="Times New Roman"/>
          <w:sz w:val="20"/>
          <w:szCs w:val="20"/>
        </w:rPr>
      </w:pPr>
    </w:p>
    <w:p w:rsidR="00F436E3" w:rsidRDefault="005770D9">
      <w:pPr>
        <w:pStyle w:val="Nadpis2"/>
        <w:numPr>
          <w:ilvl w:val="0"/>
          <w:numId w:val="15"/>
        </w:numPr>
        <w:spacing w:before="0" w:line="268" w:lineRule="auto"/>
        <w:ind w:left="284" w:hanging="244"/>
        <w:jc w:val="center"/>
        <w:rPr>
          <w:rFonts w:ascii="Times New Roman" w:eastAsia="Times New Roman" w:hAnsi="Times New Roman" w:cs="Times New Roman"/>
          <w:b/>
          <w:sz w:val="24"/>
          <w:szCs w:val="24"/>
        </w:rPr>
      </w:pPr>
      <w:bookmarkStart w:id="11" w:name="_26in1rg" w:colFirst="0" w:colLast="0"/>
      <w:bookmarkEnd w:id="11"/>
      <w:r>
        <w:rPr>
          <w:rFonts w:ascii="Times New Roman" w:eastAsia="Times New Roman" w:hAnsi="Times New Roman" w:cs="Times New Roman"/>
          <w:b/>
          <w:sz w:val="24"/>
          <w:szCs w:val="24"/>
        </w:rPr>
        <w:t>Ochrana informací</w:t>
      </w:r>
    </w:p>
    <w:p w:rsidR="00F436E3" w:rsidRDefault="005770D9">
      <w:pPr>
        <w:numPr>
          <w:ilvl w:val="0"/>
          <w:numId w:val="8"/>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 účely této Smlouvy se za důvěrné informace považují:</w:t>
      </w:r>
    </w:p>
    <w:p w:rsidR="00F436E3" w:rsidRDefault="005770D9">
      <w:pPr>
        <w:numPr>
          <w:ilvl w:val="4"/>
          <w:numId w:val="16"/>
        </w:numPr>
        <w:spacing w:after="120" w:line="268" w:lineRule="auto"/>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jakékoli informace, data nebo dokumenty, které byly v souvislosti s plněním této Smlouvy přímo nebo nepřímo předány jakýmkoli způsobem Zhotoviteli nebo zástupcům Zhotovitele a které se týkají zejména nikoliv však výlučně i) klientů, zaměstnanců, nebo osob, které jsou v podnikatelském seskupení s Objednatelem, </w:t>
      </w:r>
      <w:proofErr w:type="spellStart"/>
      <w:r>
        <w:rPr>
          <w:rFonts w:ascii="Times New Roman" w:eastAsia="Times New Roman" w:hAnsi="Times New Roman" w:cs="Times New Roman"/>
          <w:sz w:val="20"/>
          <w:szCs w:val="20"/>
        </w:rPr>
        <w:t>ii</w:t>
      </w:r>
      <w:proofErr w:type="spellEnd"/>
      <w:r>
        <w:rPr>
          <w:rFonts w:ascii="Times New Roman" w:eastAsia="Times New Roman" w:hAnsi="Times New Roman" w:cs="Times New Roman"/>
          <w:sz w:val="20"/>
          <w:szCs w:val="20"/>
        </w:rPr>
        <w:t xml:space="preserve">) obchodů, strategie, ceníků, údajů o odměnách, zdrojových kódů počítačových programů, přístupových hesel, produktů, vzorů dokumentů a ostatního technického know-how Objednatele a </w:t>
      </w:r>
      <w:proofErr w:type="spellStart"/>
      <w:r>
        <w:rPr>
          <w:rFonts w:ascii="Times New Roman" w:eastAsia="Times New Roman" w:hAnsi="Times New Roman" w:cs="Times New Roman"/>
          <w:sz w:val="20"/>
          <w:szCs w:val="20"/>
        </w:rPr>
        <w:t>iii</w:t>
      </w:r>
      <w:proofErr w:type="spellEnd"/>
      <w:r>
        <w:rPr>
          <w:rFonts w:ascii="Times New Roman" w:eastAsia="Times New Roman" w:hAnsi="Times New Roman" w:cs="Times New Roman"/>
          <w:sz w:val="20"/>
          <w:szCs w:val="20"/>
        </w:rPr>
        <w:t>) informačního a obchodního systému Objednatele, / jakékoliv informace, data, nebo dokumenty, které kterákoliv Smluvní strana (nebo zástupce Smluvní strany) získala nebo obdržela v důsledku uzavření této Smlouvy,</w:t>
      </w:r>
    </w:p>
    <w:p w:rsidR="00F436E3" w:rsidRDefault="005770D9">
      <w:pPr>
        <w:numPr>
          <w:ilvl w:val="4"/>
          <w:numId w:val="16"/>
        </w:numPr>
        <w:spacing w:after="120" w:line="268" w:lineRule="auto"/>
        <w:ind w:left="1134" w:hanging="567"/>
        <w:jc w:val="both"/>
        <w:rPr>
          <w:rFonts w:ascii="Calibri" w:eastAsia="Calibri" w:hAnsi="Calibri" w:cs="Calibri"/>
          <w:sz w:val="20"/>
          <w:szCs w:val="20"/>
        </w:rPr>
      </w:pPr>
      <w:r>
        <w:rPr>
          <w:rFonts w:ascii="Times New Roman" w:eastAsia="Times New Roman" w:hAnsi="Times New Roman" w:cs="Times New Roman"/>
          <w:sz w:val="20"/>
          <w:szCs w:val="20"/>
        </w:rPr>
        <w:t>veškeré informace podléhající obchodnímu tajemství ve smyslu zákona č. 89/2012 Sb., občanský zákoník, v platném znění (dále jen „</w:t>
      </w:r>
      <w:r>
        <w:rPr>
          <w:rFonts w:ascii="Times New Roman" w:eastAsia="Times New Roman" w:hAnsi="Times New Roman" w:cs="Times New Roman"/>
          <w:b/>
          <w:sz w:val="20"/>
          <w:szCs w:val="20"/>
        </w:rPr>
        <w:t>OZ</w:t>
      </w:r>
      <w:r>
        <w:rPr>
          <w:rFonts w:ascii="Times New Roman" w:eastAsia="Times New Roman" w:hAnsi="Times New Roman" w:cs="Times New Roman"/>
          <w:sz w:val="20"/>
          <w:szCs w:val="20"/>
        </w:rPr>
        <w:t>“),</w:t>
      </w:r>
    </w:p>
    <w:p w:rsidR="00F436E3" w:rsidRDefault="005770D9">
      <w:pPr>
        <w:numPr>
          <w:ilvl w:val="4"/>
          <w:numId w:val="16"/>
        </w:numPr>
        <w:spacing w:after="120" w:line="268" w:lineRule="auto"/>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jiné informace výslovně označené některou ze Smluvních stran jako důvěrné</w:t>
      </w:r>
    </w:p>
    <w:p w:rsidR="00F436E3" w:rsidRDefault="005770D9">
      <w:pPr>
        <w:spacing w:after="120" w:line="268" w:lineRule="auto"/>
        <w:ind w:left="993"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(dále jen „</w:t>
      </w:r>
      <w:r>
        <w:rPr>
          <w:rFonts w:ascii="Times New Roman" w:eastAsia="Times New Roman" w:hAnsi="Times New Roman" w:cs="Times New Roman"/>
          <w:b/>
          <w:sz w:val="20"/>
          <w:szCs w:val="20"/>
        </w:rPr>
        <w:t>Důvěrné informace</w:t>
      </w:r>
      <w:r>
        <w:rPr>
          <w:rFonts w:ascii="Times New Roman" w:eastAsia="Times New Roman" w:hAnsi="Times New Roman" w:cs="Times New Roman"/>
          <w:sz w:val="20"/>
          <w:szCs w:val="20"/>
        </w:rPr>
        <w:t>“).</w:t>
      </w:r>
    </w:p>
    <w:p w:rsidR="00F436E3" w:rsidRDefault="005770D9">
      <w:pPr>
        <w:numPr>
          <w:ilvl w:val="0"/>
          <w:numId w:val="8"/>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Zástupcem Smluvní strany se rozumí členové orgánů Smluvní strany, poradci, konzultanti, zaměstnanci, smluvní partneři, subdodavatelé nebo jiné osoby oprávněné zastupovat Smluvní stranu.</w:t>
      </w:r>
    </w:p>
    <w:p w:rsidR="00F436E3" w:rsidRDefault="005770D9">
      <w:pPr>
        <w:numPr>
          <w:ilvl w:val="0"/>
          <w:numId w:val="8"/>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Smluvní strany se zavazují:</w:t>
      </w:r>
    </w:p>
    <w:p w:rsidR="00F436E3" w:rsidRDefault="005770D9">
      <w:pPr>
        <w:numPr>
          <w:ilvl w:val="4"/>
          <w:numId w:val="1"/>
        </w:numPr>
        <w:spacing w:after="120" w:line="268" w:lineRule="auto"/>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zachovávat mlčenlivost o Důvěrných informacích,</w:t>
      </w:r>
    </w:p>
    <w:p w:rsidR="00F436E3" w:rsidRDefault="005770D9">
      <w:pPr>
        <w:numPr>
          <w:ilvl w:val="4"/>
          <w:numId w:val="1"/>
        </w:numPr>
        <w:spacing w:after="120" w:line="268" w:lineRule="auto"/>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nezpřístupnit Důvěrné informace třetí osobě bez předchozího písemného souhlasu druhé Smluvní strany,</w:t>
      </w:r>
    </w:p>
    <w:p w:rsidR="00F436E3" w:rsidRDefault="005770D9">
      <w:pPr>
        <w:numPr>
          <w:ilvl w:val="4"/>
          <w:numId w:val="1"/>
        </w:numPr>
        <w:spacing w:after="120" w:line="268" w:lineRule="auto"/>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že zpřístupní Důvěrné informace svým zástupcům pouze v nezbytném rozsahu a za účelem naplnění této Smlouvy. Zástupce Smluvní strany může obdržet Důvěrné informace od Smluvní strany pouze tehdy, pokud je písemně informován o důvěrném charakteru Důvěrných informací a je zavázán k ochraně Důvěrných informací v rozsahu stejném jako Smluvní strana podle této Smlouvy,</w:t>
      </w:r>
    </w:p>
    <w:p w:rsidR="00F436E3" w:rsidRDefault="005770D9">
      <w:pPr>
        <w:numPr>
          <w:ilvl w:val="4"/>
          <w:numId w:val="1"/>
        </w:numPr>
        <w:spacing w:after="120" w:line="268" w:lineRule="auto"/>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že nezneužijí Důvěrné informace a nevyužijí je za jiným účelem, než který vyplývá z této Smlouvy,</w:t>
      </w:r>
    </w:p>
    <w:p w:rsidR="00F436E3" w:rsidRDefault="005770D9">
      <w:pPr>
        <w:numPr>
          <w:ilvl w:val="4"/>
          <w:numId w:val="1"/>
        </w:numPr>
        <w:spacing w:after="120" w:line="268" w:lineRule="auto"/>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přijmout a provést opatření věcného, technického, organizačního nebo personálního charakteru za účelem zachování tajného charakteru Důvěrných informací a za účelem předcházení porušení této Smlouvy,</w:t>
      </w:r>
    </w:p>
    <w:p w:rsidR="00F436E3" w:rsidRDefault="005770D9">
      <w:pPr>
        <w:numPr>
          <w:ilvl w:val="4"/>
          <w:numId w:val="1"/>
        </w:numPr>
        <w:spacing w:after="120" w:line="268" w:lineRule="auto"/>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že neprodleně písemně oznámí druhé Smluvní straně prozrazení Důvěrných informací, jejich zneužití nebo ohrožení jejich důvěrného charakteru.</w:t>
      </w:r>
    </w:p>
    <w:p w:rsidR="00F436E3" w:rsidRDefault="005770D9">
      <w:pPr>
        <w:numPr>
          <w:ilvl w:val="0"/>
          <w:numId w:val="8"/>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Ustanovení čl. IX. odst. 3 se nepoužije, jestliže Důvěrné informace:</w:t>
      </w:r>
    </w:p>
    <w:p w:rsidR="00F436E3" w:rsidRDefault="005770D9">
      <w:pPr>
        <w:numPr>
          <w:ilvl w:val="4"/>
          <w:numId w:val="11"/>
        </w:numPr>
        <w:spacing w:after="120" w:line="268" w:lineRule="auto"/>
        <w:ind w:left="1134" w:hanging="567"/>
        <w:jc w:val="both"/>
        <w:rPr>
          <w:rFonts w:ascii="Times New Roman" w:eastAsia="Times New Roman" w:hAnsi="Times New Roman" w:cs="Times New Roman"/>
          <w:sz w:val="20"/>
          <w:szCs w:val="20"/>
        </w:rPr>
      </w:pPr>
      <w:bookmarkStart w:id="12" w:name="_lnxbz9" w:colFirst="0" w:colLast="0"/>
      <w:bookmarkEnd w:id="12"/>
      <w:r>
        <w:rPr>
          <w:rFonts w:ascii="Times New Roman" w:eastAsia="Times New Roman" w:hAnsi="Times New Roman" w:cs="Times New Roman"/>
          <w:sz w:val="20"/>
          <w:szCs w:val="20"/>
        </w:rPr>
        <w:t>byly veřejně známé před uzavřením této Smlouvy nebo před jejich předáním druhé Smluvní straně;</w:t>
      </w:r>
    </w:p>
    <w:p w:rsidR="00F436E3" w:rsidRDefault="005770D9">
      <w:pPr>
        <w:numPr>
          <w:ilvl w:val="4"/>
          <w:numId w:val="11"/>
        </w:numPr>
        <w:spacing w:after="120" w:line="268" w:lineRule="auto"/>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byly nebo se staly veřejně známé nebo známé druhé Smluvní straně, avšak nikoli v důsledku porušení povinnosti podle této Smlouvy,</w:t>
      </w:r>
    </w:p>
    <w:p w:rsidR="00F436E3" w:rsidRDefault="005770D9">
      <w:pPr>
        <w:numPr>
          <w:ilvl w:val="4"/>
          <w:numId w:val="11"/>
        </w:numPr>
        <w:spacing w:after="120" w:line="268" w:lineRule="auto"/>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musí být Smluvní stranou poskytnuty na základě právních předpisů nebo z rozhodnutí orgánu veřejné moci. V takovém případě Smluvní strana předem písemně informuje druhou Smluvní stranu o všech rozhodných skutečnostech a poskytne Důvěrné informace pouze v nezbytném rozsahu po </w:t>
      </w:r>
      <w:r>
        <w:rPr>
          <w:rFonts w:ascii="Times New Roman" w:eastAsia="Times New Roman" w:hAnsi="Times New Roman" w:cs="Times New Roman"/>
          <w:sz w:val="20"/>
          <w:szCs w:val="20"/>
        </w:rPr>
        <w:lastRenderedPageBreak/>
        <w:t>konzultaci s druhou Smluvní stranou, ledaže je takové informování zakázané právním předpisem nebo individuálním právním aktem orgánu veřejné moci.</w:t>
      </w:r>
    </w:p>
    <w:p w:rsidR="00F436E3" w:rsidRDefault="005770D9">
      <w:pPr>
        <w:numPr>
          <w:ilvl w:val="0"/>
          <w:numId w:val="8"/>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Předáním Důvěrných informací nepřechází vlastnictví k nim na druhou Smluvní stranu, ani nedochází k převodu jiných práv s nimi spojených.</w:t>
      </w:r>
    </w:p>
    <w:p w:rsidR="00F436E3" w:rsidRDefault="005770D9">
      <w:pPr>
        <w:numPr>
          <w:ilvl w:val="0"/>
          <w:numId w:val="8"/>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 zániku této Smlouvy jsou Smluvní strany povinny vrátit do deseti (10) pracovních dnů veškeré Důvěrné informace, které jim byly předány, včetně všech kopií, anebo jsou povinny veškeré Důvěrné informace zničit, v rozsahu, v jakém je to z technického hlediska možné, tak aby nebyly znovu obnovitelné. Zničení Důvěrných informací potvrdí Smluvní strany písemně na žádost druhé Smluvní strany;</w:t>
      </w:r>
    </w:p>
    <w:p w:rsidR="00F436E3" w:rsidRDefault="005770D9">
      <w:pPr>
        <w:numPr>
          <w:ilvl w:val="0"/>
          <w:numId w:val="8"/>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Ukončení této Smlouvy nemá vliv na povinnost mlčenlivosti podle této Smlouvy.</w:t>
      </w:r>
    </w:p>
    <w:p w:rsidR="00F436E3" w:rsidRDefault="005770D9">
      <w:pPr>
        <w:numPr>
          <w:ilvl w:val="0"/>
          <w:numId w:val="8"/>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 případě porušení povinnosti mlčenlivosti a ochrany důvěrných informací dle tohoto článku má poškozená Smluvní strana nárok na zaplacení smluvní pokuty ve výši 50 000,- Kč (slovy: padesát tisíc korun českých) za každý jednotlivý případ porušení. Uhrazení smluvní pokuty se nedotýká práva poškozené Smluvní strany na náhradu škody v plném rozsahu; uhrazená smluvní pokuta se vůči způsobené škodě nezapočítává.</w:t>
      </w:r>
    </w:p>
    <w:p w:rsidR="00F436E3" w:rsidRDefault="00F436E3">
      <w:pPr>
        <w:spacing w:after="120" w:line="268" w:lineRule="auto"/>
        <w:ind w:left="360"/>
        <w:jc w:val="both"/>
        <w:rPr>
          <w:rFonts w:ascii="Times New Roman" w:eastAsia="Times New Roman" w:hAnsi="Times New Roman" w:cs="Times New Roman"/>
          <w:sz w:val="20"/>
          <w:szCs w:val="20"/>
        </w:rPr>
      </w:pPr>
    </w:p>
    <w:p w:rsidR="00F436E3" w:rsidRDefault="005770D9">
      <w:pPr>
        <w:pStyle w:val="Nadpis2"/>
        <w:numPr>
          <w:ilvl w:val="0"/>
          <w:numId w:val="15"/>
        </w:numPr>
        <w:spacing w:before="0" w:line="268" w:lineRule="auto"/>
        <w:ind w:left="284" w:hanging="244"/>
        <w:jc w:val="center"/>
        <w:rPr>
          <w:rFonts w:ascii="Times New Roman" w:eastAsia="Times New Roman" w:hAnsi="Times New Roman" w:cs="Times New Roman"/>
          <w:b/>
          <w:sz w:val="24"/>
          <w:szCs w:val="24"/>
        </w:rPr>
      </w:pPr>
      <w:bookmarkStart w:id="13" w:name="_35nkun2" w:colFirst="0" w:colLast="0"/>
      <w:bookmarkEnd w:id="13"/>
      <w:r>
        <w:rPr>
          <w:rFonts w:ascii="Times New Roman" w:eastAsia="Times New Roman" w:hAnsi="Times New Roman" w:cs="Times New Roman"/>
          <w:b/>
          <w:sz w:val="24"/>
          <w:szCs w:val="24"/>
        </w:rPr>
        <w:t xml:space="preserve">     Všeobecná ustanovení</w:t>
      </w:r>
    </w:p>
    <w:p w:rsidR="00F436E3" w:rsidRDefault="005770D9">
      <w:pPr>
        <w:numPr>
          <w:ilvl w:val="0"/>
          <w:numId w:val="2"/>
        </w:numPr>
        <w:spacing w:after="120" w:line="268" w:lineRule="auto"/>
        <w:ind w:left="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Smluvní strany jsou povinny se navzájem informovat o všech skutečnostech potřebných pro řádné a včasné zhotovení Díla.</w:t>
      </w:r>
    </w:p>
    <w:p w:rsidR="00F436E3" w:rsidRDefault="005770D9">
      <w:pPr>
        <w:numPr>
          <w:ilvl w:val="0"/>
          <w:numId w:val="2"/>
        </w:numPr>
        <w:spacing w:after="120" w:line="268" w:lineRule="auto"/>
        <w:ind w:left="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Smluvní strany jsou povinny se navzájem informovat, jakmile se dozví o jakýchkoliv překážkách v souvislosti s plněním dle této Smlouvy a poskytnou časový odhad prodloužené doby plnění.</w:t>
      </w:r>
    </w:p>
    <w:p w:rsidR="00F436E3" w:rsidRDefault="005770D9">
      <w:pPr>
        <w:numPr>
          <w:ilvl w:val="0"/>
          <w:numId w:val="2"/>
        </w:numPr>
        <w:spacing w:after="120" w:line="268" w:lineRule="auto"/>
        <w:ind w:left="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Objednatel se zavazuje, že poskytne Zhotoviteli v potřebném rozsahu nezbytnou součinnost pro řádné zhotovení Díla.</w:t>
      </w:r>
    </w:p>
    <w:p w:rsidR="00F436E3" w:rsidRDefault="005770D9">
      <w:pPr>
        <w:numPr>
          <w:ilvl w:val="0"/>
          <w:numId w:val="2"/>
        </w:numPr>
        <w:spacing w:after="120" w:line="268" w:lineRule="auto"/>
        <w:ind w:left="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Smluvní strany nepostoupí tuto Smlouvu či jakékoliv právo či povinnost z této Smlouvy vyplývající na jakoukoliv třetí osobu bez souhlasu druhé Smluvní strany.</w:t>
      </w:r>
    </w:p>
    <w:p w:rsidR="00F436E3" w:rsidRDefault="005770D9">
      <w:pPr>
        <w:numPr>
          <w:ilvl w:val="0"/>
          <w:numId w:val="2"/>
        </w:numPr>
        <w:spacing w:after="120" w:line="268" w:lineRule="auto"/>
        <w:ind w:left="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Objednatel bere na vědomí, že v případě jeho jakéhokoliv zásahu do Díla jako je jeho úprava, doplnění, rozšíření, nenese Zhotovitel odpovědnost za jeho funkčnost či jinou vlastnost, kterou by bez takového zásahu Objednatele Dílo vykazovalo.</w:t>
      </w:r>
    </w:p>
    <w:p w:rsidR="00F436E3" w:rsidRDefault="005770D9">
      <w:pPr>
        <w:numPr>
          <w:ilvl w:val="0"/>
          <w:numId w:val="2"/>
        </w:numPr>
        <w:spacing w:after="120" w:line="268" w:lineRule="auto"/>
        <w:ind w:left="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Celková výše škody způsobené Smluvní stranou druhé Smluvní straně na základě nebo v souvislosti s touto Smlouvou je omezena do výše Ceny za vytvoření Díla, v </w:t>
      </w:r>
      <w:proofErr w:type="gramStart"/>
      <w:r>
        <w:rPr>
          <w:rFonts w:ascii="Times New Roman" w:eastAsia="Times New Roman" w:hAnsi="Times New Roman" w:cs="Times New Roman"/>
          <w:sz w:val="20"/>
          <w:szCs w:val="20"/>
          <w:highlight w:val="white"/>
        </w:rPr>
        <w:t>důsledku</w:t>
      </w:r>
      <w:proofErr w:type="gramEnd"/>
      <w:r>
        <w:rPr>
          <w:rFonts w:ascii="Times New Roman" w:eastAsia="Times New Roman" w:hAnsi="Times New Roman" w:cs="Times New Roman"/>
          <w:sz w:val="20"/>
          <w:szCs w:val="20"/>
          <w:highlight w:val="white"/>
        </w:rPr>
        <w:t xml:space="preserve"> kterého škoda vznikla. Toto omezení se nevztahuje na škodu způsobenou úmyslně nebo z hrubé nedbalosti a na škody, jejichž odpovědnost nelze limitovat dle právních předpisů, na škodu způsobenou porušením ustanovení čl. IX., jakož i na škodu vzniklou v důsledku porušení práv duševního a průmyslového vlastnictví dle odst. 8. tohoto článku níže.</w:t>
      </w:r>
    </w:p>
    <w:p w:rsidR="00F436E3" w:rsidRDefault="005770D9">
      <w:pPr>
        <w:numPr>
          <w:ilvl w:val="0"/>
          <w:numId w:val="2"/>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Zánikem této Smlouvy není dotčeno právo na náhradu újmy nebo právo na smluvní pokutu ani právo na její uložení podle této Smlouvy, ani není dotčena povinnost k ochraně Důvěrných informací.</w:t>
      </w:r>
    </w:p>
    <w:p w:rsidR="00F436E3" w:rsidRDefault="005770D9">
      <w:pPr>
        <w:numPr>
          <w:ilvl w:val="0"/>
          <w:numId w:val="2"/>
        </w:numPr>
        <w:spacing w:after="120" w:line="268" w:lineRule="auto"/>
        <w:ind w:left="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Zhotovitel výslovně prohlašuje a zaručuje, že poskytováním plnění dle této Smlouvy neporušuje žádná autorská práva, patenty, ochranné známky a jiná práva duševního a průmyslového vlastnictví třetích stran a že jejich užívání Objednatelem v souladu s touto Smlouvou neporušuje žádná práva duševního a průmyslového vlastnictví. V případě, že se prohlášení Zhotovitele dle tohoto odstavce 8. ukáže jako nepravdivé, nahradí Zhotovitel Objednateli veškerou škodu vzniklou v důsledku nepravdivosti tohoto prohlášení, zejména v důsledku nároků třetích stran uplatněných vůči Objednateli, a to, odchylně od odst. 6. tohoto článku výše, v plné výši.</w:t>
      </w:r>
    </w:p>
    <w:p w:rsidR="00F436E3" w:rsidRDefault="005770D9">
      <w:pPr>
        <w:numPr>
          <w:ilvl w:val="0"/>
          <w:numId w:val="2"/>
        </w:numPr>
        <w:spacing w:after="120" w:line="268"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Objednatel ohlašuje případné vady Zhotoviteli prostřednictvím kontaktů na osoby Zhotovitele oprávněné ke komunikaci.</w:t>
      </w:r>
    </w:p>
    <w:p w:rsidR="00F436E3" w:rsidRDefault="00F436E3">
      <w:pPr>
        <w:spacing w:after="120" w:line="268" w:lineRule="auto"/>
        <w:ind w:left="360"/>
        <w:jc w:val="both"/>
        <w:rPr>
          <w:rFonts w:ascii="Times New Roman" w:eastAsia="Times New Roman" w:hAnsi="Times New Roman" w:cs="Times New Roman"/>
          <w:sz w:val="20"/>
          <w:szCs w:val="20"/>
        </w:rPr>
      </w:pPr>
    </w:p>
    <w:p w:rsidR="00F436E3" w:rsidRDefault="005770D9">
      <w:pPr>
        <w:pStyle w:val="Nadpis2"/>
        <w:numPr>
          <w:ilvl w:val="0"/>
          <w:numId w:val="15"/>
        </w:numPr>
        <w:spacing w:before="0" w:line="268" w:lineRule="auto"/>
        <w:ind w:left="284" w:hanging="244"/>
        <w:jc w:val="center"/>
        <w:rPr>
          <w:rFonts w:ascii="Times New Roman" w:eastAsia="Times New Roman" w:hAnsi="Times New Roman" w:cs="Times New Roman"/>
          <w:b/>
          <w:sz w:val="24"/>
          <w:szCs w:val="24"/>
        </w:rPr>
      </w:pPr>
      <w:bookmarkStart w:id="14" w:name="_1ksv4uv" w:colFirst="0" w:colLast="0"/>
      <w:bookmarkEnd w:id="14"/>
      <w:r>
        <w:rPr>
          <w:rFonts w:ascii="Times New Roman" w:eastAsia="Times New Roman" w:hAnsi="Times New Roman" w:cs="Times New Roman"/>
          <w:b/>
          <w:sz w:val="24"/>
          <w:szCs w:val="24"/>
        </w:rPr>
        <w:lastRenderedPageBreak/>
        <w:t>Závěrečná ustanovení</w:t>
      </w:r>
    </w:p>
    <w:p w:rsidR="00F436E3" w:rsidRDefault="005770D9">
      <w:pPr>
        <w:numPr>
          <w:ilvl w:val="0"/>
          <w:numId w:val="19"/>
        </w:numPr>
        <w:spacing w:after="120" w:line="268" w:lineRule="auto"/>
        <w:ind w:left="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Tato Smlouva nabývá platnosti dnem podpisu oběma Smluvními stranami a účinnosti dnem jejího uveřejnění v registru smluv v souladu se zákonem č. 340/2015 Sb. Uveřejnění zajistí Objednatel. Kalkulace ceny díla v příloze č. 1 této smlouvy nebude uveřejněna v souladu s § 3 odst. 2 písm. b) zákona č. 340/2015 Sb.</w:t>
      </w:r>
    </w:p>
    <w:p w:rsidR="00F436E3" w:rsidRDefault="005770D9">
      <w:pPr>
        <w:numPr>
          <w:ilvl w:val="0"/>
          <w:numId w:val="19"/>
        </w:numPr>
        <w:spacing w:after="120" w:line="268" w:lineRule="auto"/>
        <w:ind w:left="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Tato Smlouva i veškeré vztahy z ní vyplývající se řídí českým právem, a to zejména zákonem č. 89/2012 Sb., občanský zákoník.</w:t>
      </w:r>
    </w:p>
    <w:p w:rsidR="00F436E3" w:rsidRDefault="005770D9">
      <w:pPr>
        <w:numPr>
          <w:ilvl w:val="0"/>
          <w:numId w:val="19"/>
        </w:numPr>
        <w:spacing w:after="120" w:line="268" w:lineRule="auto"/>
        <w:ind w:left="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Tato Smlouva představuje úplné ujednání mezi Smluvními stranami ohledně jejího předmětu a může být měněna či doplňována výlučně formou písemných dodatků podepsaných oběma Smluvními stranami.</w:t>
      </w:r>
    </w:p>
    <w:p w:rsidR="00F436E3" w:rsidRDefault="005770D9">
      <w:pPr>
        <w:numPr>
          <w:ilvl w:val="0"/>
          <w:numId w:val="19"/>
        </w:numPr>
        <w:spacing w:after="120" w:line="268" w:lineRule="auto"/>
        <w:ind w:left="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Je-li nebo stane-li se jakékoli ustanovení této Smlouvy neplatným či nevymahatelným, nebude to mít vliv na platnost a vymahatelnost ostatních ustanovení této Smlouvy. Smluvní strany se zavazují nahradit neplatné nebo nevymahatelné ustanovení novým ustanovením, jehož znění bude odpovídat úmyslu vyjádřenému původním ustanovením a touto Smlouvou jako celkem.</w:t>
      </w:r>
    </w:p>
    <w:p w:rsidR="00F436E3" w:rsidRDefault="005770D9">
      <w:pPr>
        <w:numPr>
          <w:ilvl w:val="0"/>
          <w:numId w:val="19"/>
        </w:numPr>
        <w:spacing w:after="120" w:line="268" w:lineRule="auto"/>
        <w:ind w:left="5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Tato Smlouva se vyhotovuje ve dvou stejnopisech, každá ze Smluvních stran obdrží po jednom z nich. V případě elektronického podpisu (kvalifikovaný elektronický podpis v souladu s nařízením EU </w:t>
      </w:r>
      <w:proofErr w:type="spellStart"/>
      <w:r>
        <w:rPr>
          <w:rFonts w:ascii="Times New Roman" w:eastAsia="Times New Roman" w:hAnsi="Times New Roman" w:cs="Times New Roman"/>
          <w:sz w:val="20"/>
          <w:szCs w:val="20"/>
          <w:highlight w:val="white"/>
        </w:rPr>
        <w:t>eIDAS</w:t>
      </w:r>
      <w:proofErr w:type="spellEnd"/>
      <w:r>
        <w:rPr>
          <w:rFonts w:ascii="Times New Roman" w:eastAsia="Times New Roman" w:hAnsi="Times New Roman" w:cs="Times New Roman"/>
          <w:sz w:val="20"/>
          <w:szCs w:val="20"/>
          <w:highlight w:val="white"/>
        </w:rPr>
        <w:t>) Smlouvy vznikne jediný stejnopis pro obě Smluvní strany.</w:t>
      </w:r>
    </w:p>
    <w:p w:rsidR="00F436E3" w:rsidRDefault="00F436E3">
      <w:pPr>
        <w:spacing w:after="120" w:line="268" w:lineRule="auto"/>
        <w:jc w:val="both"/>
        <w:rPr>
          <w:rFonts w:ascii="Times New Roman" w:eastAsia="Times New Roman" w:hAnsi="Times New Roman" w:cs="Times New Roman"/>
          <w:sz w:val="20"/>
          <w:szCs w:val="20"/>
        </w:rPr>
      </w:pPr>
    </w:p>
    <w:p w:rsidR="00F436E3" w:rsidRDefault="00F436E3">
      <w:pPr>
        <w:spacing w:after="120" w:line="268" w:lineRule="auto"/>
        <w:jc w:val="both"/>
        <w:rPr>
          <w:rFonts w:ascii="Times New Roman" w:eastAsia="Times New Roman" w:hAnsi="Times New Roman" w:cs="Times New Roman"/>
          <w:sz w:val="20"/>
          <w:szCs w:val="20"/>
        </w:rPr>
      </w:pPr>
    </w:p>
    <w:p w:rsidR="00F436E3" w:rsidRDefault="005770D9">
      <w:pPr>
        <w:spacing w:after="120" w:line="26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Přílohy:</w:t>
      </w:r>
    </w:p>
    <w:p w:rsidR="00F436E3" w:rsidRDefault="005770D9">
      <w:pPr>
        <w:spacing w:after="120" w:line="26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Příloha č. 1 – cenová kalkulace</w:t>
      </w:r>
    </w:p>
    <w:tbl>
      <w:tblPr>
        <w:tblStyle w:val="a"/>
        <w:tblW w:w="9060" w:type="dxa"/>
        <w:tblInd w:w="-115" w:type="dxa"/>
        <w:tblLayout w:type="fixed"/>
        <w:tblLook w:val="0000" w:firstRow="0" w:lastRow="0" w:firstColumn="0" w:lastColumn="0" w:noHBand="0" w:noVBand="0"/>
      </w:tblPr>
      <w:tblGrid>
        <w:gridCol w:w="1095"/>
        <w:gridCol w:w="3255"/>
        <w:gridCol w:w="435"/>
        <w:gridCol w:w="1125"/>
        <w:gridCol w:w="3150"/>
      </w:tblGrid>
      <w:tr w:rsidR="00F436E3">
        <w:trPr>
          <w:trHeight w:val="140"/>
        </w:trPr>
        <w:tc>
          <w:tcPr>
            <w:tcW w:w="4350" w:type="dxa"/>
            <w:gridSpan w:val="2"/>
          </w:tcPr>
          <w:p w:rsidR="00F436E3" w:rsidRDefault="00F436E3">
            <w:pPr>
              <w:keepNext/>
              <w:spacing w:after="120" w:line="268" w:lineRule="auto"/>
              <w:rPr>
                <w:rFonts w:ascii="Times New Roman" w:eastAsia="Times New Roman" w:hAnsi="Times New Roman" w:cs="Times New Roman"/>
                <w:sz w:val="20"/>
                <w:szCs w:val="20"/>
              </w:rPr>
            </w:pPr>
          </w:p>
          <w:p w:rsidR="00F436E3" w:rsidRDefault="005770D9">
            <w:pPr>
              <w:keepNext/>
              <w:spacing w:after="120" w:line="26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Objednatel</w:t>
            </w:r>
          </w:p>
        </w:tc>
        <w:tc>
          <w:tcPr>
            <w:tcW w:w="435" w:type="dxa"/>
          </w:tcPr>
          <w:p w:rsidR="00F436E3" w:rsidRDefault="00F436E3">
            <w:pPr>
              <w:spacing w:after="120" w:line="268" w:lineRule="auto"/>
              <w:rPr>
                <w:rFonts w:ascii="Times New Roman" w:eastAsia="Times New Roman" w:hAnsi="Times New Roman" w:cs="Times New Roman"/>
                <w:sz w:val="20"/>
                <w:szCs w:val="20"/>
              </w:rPr>
            </w:pPr>
          </w:p>
        </w:tc>
        <w:tc>
          <w:tcPr>
            <w:tcW w:w="4275" w:type="dxa"/>
            <w:gridSpan w:val="2"/>
          </w:tcPr>
          <w:p w:rsidR="00F436E3" w:rsidRDefault="00F436E3">
            <w:pPr>
              <w:spacing w:after="120" w:line="268" w:lineRule="auto"/>
              <w:rPr>
                <w:rFonts w:ascii="Times New Roman" w:eastAsia="Times New Roman" w:hAnsi="Times New Roman" w:cs="Times New Roman"/>
                <w:sz w:val="20"/>
                <w:szCs w:val="20"/>
              </w:rPr>
            </w:pPr>
          </w:p>
          <w:p w:rsidR="00F436E3" w:rsidRDefault="005770D9">
            <w:pPr>
              <w:spacing w:after="120" w:line="26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Zhotovitel</w:t>
            </w:r>
          </w:p>
        </w:tc>
      </w:tr>
      <w:tr w:rsidR="00F436E3">
        <w:trPr>
          <w:trHeight w:val="140"/>
        </w:trPr>
        <w:tc>
          <w:tcPr>
            <w:tcW w:w="4350" w:type="dxa"/>
            <w:gridSpan w:val="2"/>
          </w:tcPr>
          <w:p w:rsidR="00F436E3" w:rsidRDefault="005770D9">
            <w:pPr>
              <w:keepNext/>
              <w:spacing w:after="120" w:line="26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 Praze dne ________________</w:t>
            </w:r>
          </w:p>
        </w:tc>
        <w:tc>
          <w:tcPr>
            <w:tcW w:w="435" w:type="dxa"/>
          </w:tcPr>
          <w:p w:rsidR="00F436E3" w:rsidRDefault="00F436E3">
            <w:pPr>
              <w:spacing w:after="120" w:line="268" w:lineRule="auto"/>
              <w:rPr>
                <w:rFonts w:ascii="Times New Roman" w:eastAsia="Times New Roman" w:hAnsi="Times New Roman" w:cs="Times New Roman"/>
                <w:sz w:val="20"/>
                <w:szCs w:val="20"/>
              </w:rPr>
            </w:pPr>
          </w:p>
        </w:tc>
        <w:tc>
          <w:tcPr>
            <w:tcW w:w="4275" w:type="dxa"/>
            <w:gridSpan w:val="2"/>
          </w:tcPr>
          <w:p w:rsidR="00F436E3" w:rsidRDefault="005770D9">
            <w:pPr>
              <w:spacing w:after="120" w:line="26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 Praze dne ________________</w:t>
            </w:r>
          </w:p>
        </w:tc>
      </w:tr>
      <w:tr w:rsidR="00F436E3">
        <w:trPr>
          <w:trHeight w:val="1540"/>
        </w:trPr>
        <w:tc>
          <w:tcPr>
            <w:tcW w:w="4350" w:type="dxa"/>
            <w:gridSpan w:val="2"/>
          </w:tcPr>
          <w:p w:rsidR="00F436E3" w:rsidRDefault="005770D9">
            <w:pPr>
              <w:keepNext/>
              <w:spacing w:after="120" w:line="268"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Za </w:t>
            </w:r>
            <w:r>
              <w:rPr>
                <w:rFonts w:ascii="Times New Roman" w:eastAsia="Times New Roman" w:hAnsi="Times New Roman" w:cs="Times New Roman"/>
                <w:b/>
                <w:sz w:val="20"/>
                <w:szCs w:val="20"/>
              </w:rPr>
              <w:t>Ústav molekulární genetiky AV ČR, v. v. i.</w:t>
            </w:r>
            <w:r>
              <w:rPr>
                <w:rFonts w:ascii="Times New Roman" w:eastAsia="Times New Roman" w:hAnsi="Times New Roman" w:cs="Times New Roman"/>
                <w:sz w:val="20"/>
                <w:szCs w:val="20"/>
              </w:rPr>
              <w:t xml:space="preserve"> </w:t>
            </w:r>
          </w:p>
        </w:tc>
        <w:tc>
          <w:tcPr>
            <w:tcW w:w="435" w:type="dxa"/>
          </w:tcPr>
          <w:p w:rsidR="00F436E3" w:rsidRDefault="00F436E3">
            <w:pPr>
              <w:spacing w:after="120" w:line="268" w:lineRule="auto"/>
              <w:rPr>
                <w:rFonts w:ascii="Times New Roman" w:eastAsia="Times New Roman" w:hAnsi="Times New Roman" w:cs="Times New Roman"/>
                <w:sz w:val="20"/>
                <w:szCs w:val="20"/>
              </w:rPr>
            </w:pPr>
          </w:p>
        </w:tc>
        <w:tc>
          <w:tcPr>
            <w:tcW w:w="4275" w:type="dxa"/>
            <w:gridSpan w:val="2"/>
          </w:tcPr>
          <w:p w:rsidR="00F436E3" w:rsidRDefault="005770D9">
            <w:pPr>
              <w:spacing w:after="120" w:line="268"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Za</w:t>
            </w:r>
            <w:r>
              <w:rPr>
                <w:rFonts w:ascii="Times New Roman" w:eastAsia="Times New Roman" w:hAnsi="Times New Roman" w:cs="Times New Roman"/>
                <w:b/>
                <w:sz w:val="20"/>
                <w:szCs w:val="20"/>
              </w:rPr>
              <w:t xml:space="preserve"> VNV </w:t>
            </w:r>
            <w:proofErr w:type="spellStart"/>
            <w:r>
              <w:rPr>
                <w:rFonts w:ascii="Times New Roman" w:eastAsia="Times New Roman" w:hAnsi="Times New Roman" w:cs="Times New Roman"/>
                <w:b/>
                <w:sz w:val="20"/>
                <w:szCs w:val="20"/>
              </w:rPr>
              <w:t>Productions</w:t>
            </w:r>
            <w:proofErr w:type="spellEnd"/>
            <w:r>
              <w:rPr>
                <w:rFonts w:ascii="Times New Roman" w:eastAsia="Times New Roman" w:hAnsi="Times New Roman" w:cs="Times New Roman"/>
                <w:b/>
                <w:sz w:val="20"/>
                <w:szCs w:val="20"/>
              </w:rPr>
              <w:t xml:space="preserve"> s.r.o.</w:t>
            </w:r>
          </w:p>
        </w:tc>
      </w:tr>
      <w:tr w:rsidR="00F436E3">
        <w:trPr>
          <w:trHeight w:val="80"/>
        </w:trPr>
        <w:tc>
          <w:tcPr>
            <w:tcW w:w="1095" w:type="dxa"/>
            <w:vAlign w:val="center"/>
          </w:tcPr>
          <w:p w:rsidR="00F436E3" w:rsidRDefault="005770D9">
            <w:pPr>
              <w:keepNext/>
              <w:spacing w:after="120" w:line="26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Podpis:</w:t>
            </w:r>
          </w:p>
        </w:tc>
        <w:tc>
          <w:tcPr>
            <w:tcW w:w="3255" w:type="dxa"/>
            <w:tcBorders>
              <w:top w:val="nil"/>
              <w:left w:val="nil"/>
              <w:bottom w:val="single" w:sz="4" w:space="0" w:color="000000"/>
              <w:right w:val="nil"/>
            </w:tcBorders>
          </w:tcPr>
          <w:p w:rsidR="00F436E3" w:rsidRDefault="00F436E3">
            <w:pPr>
              <w:spacing w:after="120" w:line="268" w:lineRule="auto"/>
              <w:rPr>
                <w:rFonts w:ascii="Times New Roman" w:eastAsia="Times New Roman" w:hAnsi="Times New Roman" w:cs="Times New Roman"/>
                <w:sz w:val="20"/>
                <w:szCs w:val="20"/>
              </w:rPr>
            </w:pPr>
          </w:p>
        </w:tc>
        <w:tc>
          <w:tcPr>
            <w:tcW w:w="435" w:type="dxa"/>
          </w:tcPr>
          <w:p w:rsidR="00F436E3" w:rsidRDefault="00F436E3">
            <w:pPr>
              <w:spacing w:after="120" w:line="268" w:lineRule="auto"/>
              <w:rPr>
                <w:rFonts w:ascii="Times New Roman" w:eastAsia="Times New Roman" w:hAnsi="Times New Roman" w:cs="Times New Roman"/>
                <w:sz w:val="20"/>
                <w:szCs w:val="20"/>
              </w:rPr>
            </w:pPr>
          </w:p>
        </w:tc>
        <w:tc>
          <w:tcPr>
            <w:tcW w:w="1125" w:type="dxa"/>
            <w:vAlign w:val="center"/>
          </w:tcPr>
          <w:p w:rsidR="00F436E3" w:rsidRDefault="005770D9">
            <w:pPr>
              <w:spacing w:after="120" w:line="26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Podpis:</w:t>
            </w:r>
          </w:p>
        </w:tc>
        <w:tc>
          <w:tcPr>
            <w:tcW w:w="3150" w:type="dxa"/>
            <w:tcBorders>
              <w:top w:val="nil"/>
              <w:left w:val="nil"/>
              <w:bottom w:val="single" w:sz="4" w:space="0" w:color="000000"/>
              <w:right w:val="nil"/>
            </w:tcBorders>
          </w:tcPr>
          <w:p w:rsidR="00F436E3" w:rsidRDefault="00F436E3">
            <w:pPr>
              <w:spacing w:after="120" w:line="268" w:lineRule="auto"/>
              <w:rPr>
                <w:rFonts w:ascii="Times New Roman" w:eastAsia="Times New Roman" w:hAnsi="Times New Roman" w:cs="Times New Roman"/>
                <w:sz w:val="20"/>
                <w:szCs w:val="20"/>
              </w:rPr>
            </w:pPr>
          </w:p>
        </w:tc>
      </w:tr>
      <w:tr w:rsidR="00F436E3">
        <w:trPr>
          <w:trHeight w:val="80"/>
        </w:trPr>
        <w:tc>
          <w:tcPr>
            <w:tcW w:w="1095" w:type="dxa"/>
            <w:vAlign w:val="center"/>
          </w:tcPr>
          <w:p w:rsidR="00F436E3" w:rsidRDefault="005770D9">
            <w:pPr>
              <w:keepNext/>
              <w:spacing w:after="120" w:line="26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Jméno: </w:t>
            </w:r>
          </w:p>
        </w:tc>
        <w:tc>
          <w:tcPr>
            <w:tcW w:w="3255" w:type="dxa"/>
            <w:tcBorders>
              <w:top w:val="nil"/>
              <w:left w:val="nil"/>
              <w:bottom w:val="nil"/>
              <w:right w:val="nil"/>
            </w:tcBorders>
          </w:tcPr>
          <w:p w:rsidR="00F436E3" w:rsidRDefault="005770D9">
            <w:pPr>
              <w:spacing w:after="120" w:line="26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RNDr. Petr </w:t>
            </w:r>
            <w:proofErr w:type="spellStart"/>
            <w:r>
              <w:rPr>
                <w:rFonts w:ascii="Times New Roman" w:eastAsia="Times New Roman" w:hAnsi="Times New Roman" w:cs="Times New Roman"/>
                <w:sz w:val="20"/>
                <w:szCs w:val="20"/>
              </w:rPr>
              <w:t>Dráber</w:t>
            </w:r>
            <w:proofErr w:type="spellEnd"/>
            <w:r>
              <w:rPr>
                <w:rFonts w:ascii="Times New Roman" w:eastAsia="Times New Roman" w:hAnsi="Times New Roman" w:cs="Times New Roman"/>
                <w:sz w:val="20"/>
                <w:szCs w:val="20"/>
              </w:rPr>
              <w:t>, DrSc.</w:t>
            </w:r>
          </w:p>
        </w:tc>
        <w:tc>
          <w:tcPr>
            <w:tcW w:w="435" w:type="dxa"/>
          </w:tcPr>
          <w:p w:rsidR="00F436E3" w:rsidRDefault="00F436E3">
            <w:pPr>
              <w:spacing w:after="120" w:line="268" w:lineRule="auto"/>
              <w:rPr>
                <w:rFonts w:ascii="Times New Roman" w:eastAsia="Times New Roman" w:hAnsi="Times New Roman" w:cs="Times New Roman"/>
                <w:sz w:val="20"/>
                <w:szCs w:val="20"/>
              </w:rPr>
            </w:pPr>
          </w:p>
        </w:tc>
        <w:tc>
          <w:tcPr>
            <w:tcW w:w="1125" w:type="dxa"/>
            <w:vAlign w:val="center"/>
          </w:tcPr>
          <w:p w:rsidR="00F436E3" w:rsidRDefault="005770D9">
            <w:pPr>
              <w:spacing w:after="120" w:line="26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Jméno:</w:t>
            </w:r>
          </w:p>
        </w:tc>
        <w:tc>
          <w:tcPr>
            <w:tcW w:w="3150" w:type="dxa"/>
            <w:tcBorders>
              <w:top w:val="nil"/>
              <w:left w:val="nil"/>
              <w:right w:val="nil"/>
            </w:tcBorders>
          </w:tcPr>
          <w:p w:rsidR="00F436E3" w:rsidRDefault="00D07035">
            <w:pPr>
              <w:spacing w:after="120" w:line="26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xxx</w:t>
            </w:r>
            <w:bookmarkStart w:id="15" w:name="_GoBack"/>
            <w:bookmarkEnd w:id="15"/>
          </w:p>
        </w:tc>
      </w:tr>
      <w:tr w:rsidR="00F436E3">
        <w:trPr>
          <w:trHeight w:val="80"/>
        </w:trPr>
        <w:tc>
          <w:tcPr>
            <w:tcW w:w="1095" w:type="dxa"/>
            <w:vAlign w:val="center"/>
          </w:tcPr>
          <w:p w:rsidR="00F436E3" w:rsidRDefault="005770D9">
            <w:pPr>
              <w:spacing w:after="120" w:line="26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Funkce:</w:t>
            </w:r>
          </w:p>
        </w:tc>
        <w:tc>
          <w:tcPr>
            <w:tcW w:w="3255" w:type="dxa"/>
            <w:tcBorders>
              <w:top w:val="nil"/>
              <w:left w:val="nil"/>
              <w:right w:val="nil"/>
            </w:tcBorders>
          </w:tcPr>
          <w:p w:rsidR="00F436E3" w:rsidRDefault="005770D9">
            <w:pPr>
              <w:spacing w:after="120" w:line="26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ředitel</w:t>
            </w:r>
          </w:p>
        </w:tc>
        <w:tc>
          <w:tcPr>
            <w:tcW w:w="435" w:type="dxa"/>
          </w:tcPr>
          <w:p w:rsidR="00F436E3" w:rsidRDefault="00F436E3">
            <w:pPr>
              <w:spacing w:after="120" w:line="268" w:lineRule="auto"/>
              <w:rPr>
                <w:rFonts w:ascii="Times New Roman" w:eastAsia="Times New Roman" w:hAnsi="Times New Roman" w:cs="Times New Roman"/>
                <w:sz w:val="20"/>
                <w:szCs w:val="20"/>
              </w:rPr>
            </w:pPr>
          </w:p>
        </w:tc>
        <w:tc>
          <w:tcPr>
            <w:tcW w:w="1125" w:type="dxa"/>
            <w:vAlign w:val="center"/>
          </w:tcPr>
          <w:p w:rsidR="00F436E3" w:rsidRDefault="005770D9">
            <w:pPr>
              <w:spacing w:after="120" w:line="26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Funkce:</w:t>
            </w:r>
          </w:p>
        </w:tc>
        <w:tc>
          <w:tcPr>
            <w:tcW w:w="3150" w:type="dxa"/>
            <w:tcBorders>
              <w:top w:val="nil"/>
              <w:left w:val="nil"/>
              <w:right w:val="nil"/>
            </w:tcBorders>
          </w:tcPr>
          <w:p w:rsidR="00F436E3" w:rsidRDefault="005770D9">
            <w:pPr>
              <w:spacing w:after="120" w:line="26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jednatel</w:t>
            </w:r>
          </w:p>
        </w:tc>
      </w:tr>
    </w:tbl>
    <w:p w:rsidR="00F436E3" w:rsidRDefault="00F436E3">
      <w:pPr>
        <w:tabs>
          <w:tab w:val="left" w:pos="706"/>
        </w:tabs>
        <w:spacing w:after="120" w:line="268" w:lineRule="auto"/>
        <w:ind w:right="400"/>
        <w:jc w:val="both"/>
        <w:rPr>
          <w:rFonts w:ascii="Times New Roman" w:eastAsia="Times New Roman" w:hAnsi="Times New Roman" w:cs="Times New Roman"/>
          <w:sz w:val="20"/>
          <w:szCs w:val="20"/>
        </w:rPr>
      </w:pPr>
      <w:bookmarkStart w:id="16" w:name="_44sinio" w:colFirst="0" w:colLast="0"/>
      <w:bookmarkEnd w:id="16"/>
    </w:p>
    <w:p w:rsidR="00F436E3" w:rsidRDefault="00F436E3"/>
    <w:p w:rsidR="00F436E3" w:rsidRDefault="00F436E3"/>
    <w:p w:rsidR="00F436E3" w:rsidRDefault="00F436E3"/>
    <w:sectPr w:rsidR="00F436E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AE0"/>
    <w:multiLevelType w:val="multilevel"/>
    <w:tmpl w:val="69787E44"/>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lowerLetter"/>
      <w:lvlText w:val="%5)"/>
      <w:lvlJc w:val="left"/>
      <w:pPr>
        <w:ind w:left="2232" w:hanging="792"/>
      </w:pPr>
      <w:rPr>
        <w:u w:val="none"/>
      </w:rPr>
    </w:lvl>
    <w:lvl w:ilvl="5">
      <w:start w:val="1"/>
      <w:numFmt w:val="decimal"/>
      <w:lvlText w:val="%1.%2.%3.%4.%5.%6."/>
      <w:lvlJc w:val="left"/>
      <w:pPr>
        <w:ind w:left="2736" w:hanging="933"/>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 w15:restartNumberingAfterBreak="0">
    <w:nsid w:val="0B3B079B"/>
    <w:multiLevelType w:val="multilevel"/>
    <w:tmpl w:val="01D6DB6C"/>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lowerLetter"/>
      <w:lvlText w:val="%5)"/>
      <w:lvlJc w:val="left"/>
      <w:pPr>
        <w:ind w:left="2232" w:hanging="792"/>
      </w:pPr>
      <w:rPr>
        <w:u w:val="none"/>
      </w:rPr>
    </w:lvl>
    <w:lvl w:ilvl="5">
      <w:start w:val="1"/>
      <w:numFmt w:val="decimal"/>
      <w:lvlText w:val="%1.%2.%3.%4.%5.%6."/>
      <w:lvlJc w:val="left"/>
      <w:pPr>
        <w:ind w:left="2736" w:hanging="933"/>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2" w15:restartNumberingAfterBreak="0">
    <w:nsid w:val="119A63EA"/>
    <w:multiLevelType w:val="multilevel"/>
    <w:tmpl w:val="8E3068DE"/>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lowerLetter"/>
      <w:lvlText w:val="%5)"/>
      <w:lvlJc w:val="left"/>
      <w:pPr>
        <w:ind w:left="2232" w:hanging="792"/>
      </w:pPr>
      <w:rPr>
        <w:u w:val="none"/>
      </w:rPr>
    </w:lvl>
    <w:lvl w:ilvl="5">
      <w:start w:val="1"/>
      <w:numFmt w:val="decimal"/>
      <w:lvlText w:val="%1.%2.%3.%4.%5.%6."/>
      <w:lvlJc w:val="left"/>
      <w:pPr>
        <w:ind w:left="2736" w:hanging="933"/>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 w15:restartNumberingAfterBreak="0">
    <w:nsid w:val="149D00F0"/>
    <w:multiLevelType w:val="multilevel"/>
    <w:tmpl w:val="4CD29DE4"/>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lowerLetter"/>
      <w:lvlText w:val="%5)"/>
      <w:lvlJc w:val="left"/>
      <w:pPr>
        <w:ind w:left="2232" w:hanging="792"/>
      </w:pPr>
      <w:rPr>
        <w:u w:val="none"/>
      </w:rPr>
    </w:lvl>
    <w:lvl w:ilvl="5">
      <w:start w:val="1"/>
      <w:numFmt w:val="decimal"/>
      <w:lvlText w:val="%1.%2.%3.%4.%5.%6."/>
      <w:lvlJc w:val="left"/>
      <w:pPr>
        <w:ind w:left="2736" w:hanging="933"/>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 w15:restartNumberingAfterBreak="0">
    <w:nsid w:val="1AF44050"/>
    <w:multiLevelType w:val="multilevel"/>
    <w:tmpl w:val="EA10EFA2"/>
    <w:lvl w:ilvl="0">
      <w:start w:val="1"/>
      <w:numFmt w:val="decimal"/>
      <w:lvlText w:val="%1."/>
      <w:lvlJc w:val="left"/>
      <w:pPr>
        <w:ind w:left="360" w:hanging="360"/>
      </w:pPr>
      <w:rPr>
        <w:u w:val="none"/>
      </w:rPr>
    </w:lvl>
    <w:lvl w:ilvl="1">
      <w:start w:val="1"/>
      <w:numFmt w:val="lowerLetter"/>
      <w:lvlText w:val="%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lowerLetter"/>
      <w:lvlText w:val="%5)"/>
      <w:lvlJc w:val="left"/>
      <w:pPr>
        <w:ind w:left="2232" w:hanging="792"/>
      </w:pPr>
      <w:rPr>
        <w:u w:val="none"/>
      </w:rPr>
    </w:lvl>
    <w:lvl w:ilvl="5">
      <w:start w:val="1"/>
      <w:numFmt w:val="decimal"/>
      <w:lvlText w:val="%1.%2.%3.%4.%5.%6."/>
      <w:lvlJc w:val="left"/>
      <w:pPr>
        <w:ind w:left="2736" w:hanging="933"/>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5" w15:restartNumberingAfterBreak="0">
    <w:nsid w:val="28BD02BA"/>
    <w:multiLevelType w:val="multilevel"/>
    <w:tmpl w:val="9018563E"/>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lowerLetter"/>
      <w:lvlText w:val="%5)"/>
      <w:lvlJc w:val="left"/>
      <w:pPr>
        <w:ind w:left="2232" w:hanging="792"/>
      </w:pPr>
      <w:rPr>
        <w:u w:val="none"/>
      </w:rPr>
    </w:lvl>
    <w:lvl w:ilvl="5">
      <w:start w:val="1"/>
      <w:numFmt w:val="decimal"/>
      <w:lvlText w:val="%1.%2.%3.%4.%5.%6."/>
      <w:lvlJc w:val="left"/>
      <w:pPr>
        <w:ind w:left="2736" w:hanging="933"/>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6" w15:restartNumberingAfterBreak="0">
    <w:nsid w:val="35315087"/>
    <w:multiLevelType w:val="multilevel"/>
    <w:tmpl w:val="03B0C68E"/>
    <w:lvl w:ilvl="0">
      <w:start w:val="1"/>
      <w:numFmt w:val="upperLetter"/>
      <w:lvlText w:val="%1."/>
      <w:lvlJc w:val="left"/>
      <w:pPr>
        <w:ind w:left="567" w:hanging="567"/>
      </w:pPr>
      <w:rPr>
        <w:u w:val="none"/>
      </w:rPr>
    </w:lvl>
    <w:lvl w:ilvl="1">
      <w:start w:val="1"/>
      <w:numFmt w:val="upperRoman"/>
      <w:lvlText w:val="%2."/>
      <w:lvlJc w:val="left"/>
      <w:pPr>
        <w:ind w:left="567" w:hanging="567"/>
      </w:pPr>
      <w:rPr>
        <w:u w:val="none"/>
      </w:rPr>
    </w:lvl>
    <w:lvl w:ilvl="2">
      <w:start w:val="1"/>
      <w:numFmt w:val="decimal"/>
      <w:lvlText w:val="%3."/>
      <w:lvlJc w:val="left"/>
      <w:pPr>
        <w:ind w:left="747" w:hanging="567"/>
      </w:pPr>
      <w:rPr>
        <w:u w:val="none"/>
      </w:rPr>
    </w:lvl>
    <w:lvl w:ilvl="3">
      <w:start w:val="1"/>
      <w:numFmt w:val="decimal"/>
      <w:lvlText w:val="%3.%4"/>
      <w:lvlJc w:val="left"/>
      <w:pPr>
        <w:ind w:left="567" w:hanging="567"/>
      </w:pPr>
      <w:rPr>
        <w:u w:val="none"/>
      </w:rPr>
    </w:lvl>
    <w:lvl w:ilvl="4">
      <w:start w:val="1"/>
      <w:numFmt w:val="lowerLetter"/>
      <w:lvlText w:val="%5)"/>
      <w:lvlJc w:val="left"/>
      <w:pPr>
        <w:ind w:left="1134" w:hanging="567"/>
      </w:pPr>
      <w:rPr>
        <w:u w:val="none"/>
      </w:rPr>
    </w:lvl>
    <w:lvl w:ilvl="5">
      <w:start w:val="1"/>
      <w:numFmt w:val="lowerLetter"/>
      <w:lvlText w:val="%5%6."/>
      <w:lvlJc w:val="left"/>
      <w:pPr>
        <w:ind w:left="1701" w:hanging="567"/>
      </w:pPr>
      <w:rPr>
        <w:u w:val="none"/>
      </w:rPr>
    </w:lvl>
    <w:lvl w:ilvl="6">
      <w:start w:val="1"/>
      <w:numFmt w:val="decimal"/>
      <w:lvlText w:val="(%7)"/>
      <w:lvlJc w:val="left"/>
      <w:pPr>
        <w:ind w:left="2268" w:hanging="565"/>
      </w:pPr>
      <w:rPr>
        <w:u w:val="none"/>
      </w:rPr>
    </w:lvl>
    <w:lvl w:ilvl="7">
      <w:start w:val="1"/>
      <w:numFmt w:val="lowerLetter"/>
      <w:lvlText w:val="(%8)"/>
      <w:lvlJc w:val="left"/>
      <w:pPr>
        <w:ind w:left="2835" w:hanging="567"/>
      </w:pPr>
      <w:rPr>
        <w:u w:val="none"/>
      </w:rPr>
    </w:lvl>
    <w:lvl w:ilvl="8">
      <w:start w:val="1"/>
      <w:numFmt w:val="lowerLetter"/>
      <w:lvlText w:val="(%8%9)"/>
      <w:lvlJc w:val="left"/>
      <w:pPr>
        <w:ind w:left="3402" w:hanging="567"/>
      </w:pPr>
      <w:rPr>
        <w:u w:val="none"/>
      </w:rPr>
    </w:lvl>
  </w:abstractNum>
  <w:abstractNum w:abstractNumId="7" w15:restartNumberingAfterBreak="0">
    <w:nsid w:val="4A8B722D"/>
    <w:multiLevelType w:val="multilevel"/>
    <w:tmpl w:val="CE78687A"/>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lowerLetter"/>
      <w:lvlText w:val="%5)"/>
      <w:lvlJc w:val="left"/>
      <w:pPr>
        <w:ind w:left="2232" w:hanging="792"/>
      </w:pPr>
      <w:rPr>
        <w:u w:val="none"/>
      </w:rPr>
    </w:lvl>
    <w:lvl w:ilvl="5">
      <w:start w:val="1"/>
      <w:numFmt w:val="decimal"/>
      <w:lvlText w:val="%1.%2.%3.%4.%5.%6."/>
      <w:lvlJc w:val="left"/>
      <w:pPr>
        <w:ind w:left="2736" w:hanging="933"/>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8" w15:restartNumberingAfterBreak="0">
    <w:nsid w:val="4F9C4780"/>
    <w:multiLevelType w:val="multilevel"/>
    <w:tmpl w:val="9FC0FE8E"/>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lowerLetter"/>
      <w:lvlText w:val="%5)"/>
      <w:lvlJc w:val="left"/>
      <w:pPr>
        <w:ind w:left="2232" w:hanging="792"/>
      </w:pPr>
      <w:rPr>
        <w:u w:val="none"/>
      </w:rPr>
    </w:lvl>
    <w:lvl w:ilvl="5">
      <w:start w:val="1"/>
      <w:numFmt w:val="decimal"/>
      <w:lvlText w:val="%1.%2.%3.%4.%5.%6."/>
      <w:lvlJc w:val="left"/>
      <w:pPr>
        <w:ind w:left="2736" w:hanging="933"/>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9" w15:restartNumberingAfterBreak="0">
    <w:nsid w:val="516A27CC"/>
    <w:multiLevelType w:val="multilevel"/>
    <w:tmpl w:val="D3865300"/>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lowerLetter"/>
      <w:lvlText w:val="%5)"/>
      <w:lvlJc w:val="left"/>
      <w:pPr>
        <w:ind w:left="2232" w:hanging="792"/>
      </w:pPr>
      <w:rPr>
        <w:u w:val="none"/>
      </w:rPr>
    </w:lvl>
    <w:lvl w:ilvl="5">
      <w:start w:val="1"/>
      <w:numFmt w:val="decimal"/>
      <w:lvlText w:val="%1.%2.%3.%4.%5.%6."/>
      <w:lvlJc w:val="left"/>
      <w:pPr>
        <w:ind w:left="2736" w:hanging="933"/>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0" w15:restartNumberingAfterBreak="0">
    <w:nsid w:val="52681941"/>
    <w:multiLevelType w:val="multilevel"/>
    <w:tmpl w:val="26C258E4"/>
    <w:lvl w:ilvl="0">
      <w:start w:val="1"/>
      <w:numFmt w:val="bullet"/>
      <w:lvlText w:val="●"/>
      <w:lvlJc w:val="left"/>
      <w:pPr>
        <w:ind w:left="1287" w:hanging="360"/>
      </w:pPr>
      <w:rPr>
        <w:u w:val="none"/>
      </w:rPr>
    </w:lvl>
    <w:lvl w:ilvl="1">
      <w:start w:val="1"/>
      <w:numFmt w:val="bullet"/>
      <w:lvlText w:val="o"/>
      <w:lvlJc w:val="left"/>
      <w:pPr>
        <w:ind w:left="2007" w:hanging="360"/>
      </w:pPr>
      <w:rPr>
        <w:u w:val="none"/>
      </w:rPr>
    </w:lvl>
    <w:lvl w:ilvl="2">
      <w:start w:val="1"/>
      <w:numFmt w:val="bullet"/>
      <w:lvlText w:val="▪"/>
      <w:lvlJc w:val="left"/>
      <w:pPr>
        <w:ind w:left="2727" w:hanging="360"/>
      </w:pPr>
      <w:rPr>
        <w:u w:val="none"/>
      </w:rPr>
    </w:lvl>
    <w:lvl w:ilvl="3">
      <w:start w:val="1"/>
      <w:numFmt w:val="bullet"/>
      <w:lvlText w:val="●"/>
      <w:lvlJc w:val="left"/>
      <w:pPr>
        <w:ind w:left="3447" w:hanging="360"/>
      </w:pPr>
      <w:rPr>
        <w:u w:val="none"/>
      </w:rPr>
    </w:lvl>
    <w:lvl w:ilvl="4">
      <w:start w:val="1"/>
      <w:numFmt w:val="bullet"/>
      <w:lvlText w:val="o"/>
      <w:lvlJc w:val="left"/>
      <w:pPr>
        <w:ind w:left="4167" w:hanging="360"/>
      </w:pPr>
      <w:rPr>
        <w:u w:val="none"/>
      </w:rPr>
    </w:lvl>
    <w:lvl w:ilvl="5">
      <w:start w:val="1"/>
      <w:numFmt w:val="bullet"/>
      <w:lvlText w:val="▪"/>
      <w:lvlJc w:val="left"/>
      <w:pPr>
        <w:ind w:left="4887" w:hanging="360"/>
      </w:pPr>
      <w:rPr>
        <w:u w:val="none"/>
      </w:rPr>
    </w:lvl>
    <w:lvl w:ilvl="6">
      <w:start w:val="1"/>
      <w:numFmt w:val="bullet"/>
      <w:lvlText w:val="●"/>
      <w:lvlJc w:val="left"/>
      <w:pPr>
        <w:ind w:left="5607" w:hanging="360"/>
      </w:pPr>
      <w:rPr>
        <w:u w:val="none"/>
      </w:rPr>
    </w:lvl>
    <w:lvl w:ilvl="7">
      <w:start w:val="1"/>
      <w:numFmt w:val="bullet"/>
      <w:lvlText w:val="o"/>
      <w:lvlJc w:val="left"/>
      <w:pPr>
        <w:ind w:left="6327" w:hanging="360"/>
      </w:pPr>
      <w:rPr>
        <w:u w:val="none"/>
      </w:rPr>
    </w:lvl>
    <w:lvl w:ilvl="8">
      <w:start w:val="1"/>
      <w:numFmt w:val="bullet"/>
      <w:lvlText w:val="▪"/>
      <w:lvlJc w:val="left"/>
      <w:pPr>
        <w:ind w:left="7047" w:hanging="360"/>
      </w:pPr>
      <w:rPr>
        <w:u w:val="none"/>
      </w:rPr>
    </w:lvl>
  </w:abstractNum>
  <w:abstractNum w:abstractNumId="11" w15:restartNumberingAfterBreak="0">
    <w:nsid w:val="54516025"/>
    <w:multiLevelType w:val="multilevel"/>
    <w:tmpl w:val="799A8A9C"/>
    <w:lvl w:ilvl="0">
      <w:start w:val="1"/>
      <w:numFmt w:val="upperRoman"/>
      <w:lvlText w:val="%1."/>
      <w:lvlJc w:val="left"/>
      <w:pPr>
        <w:ind w:left="760" w:hanging="720"/>
      </w:pPr>
      <w:rPr>
        <w:u w:val="none"/>
      </w:rPr>
    </w:lvl>
    <w:lvl w:ilvl="1">
      <w:start w:val="1"/>
      <w:numFmt w:val="decimal"/>
      <w:lvlText w:val="1.%2"/>
      <w:lvlJc w:val="left"/>
      <w:pPr>
        <w:ind w:left="360" w:hanging="360"/>
      </w:pPr>
      <w:rPr>
        <w:u w:val="none"/>
      </w:rPr>
    </w:lvl>
    <w:lvl w:ilvl="2">
      <w:start w:val="1"/>
      <w:numFmt w:val="decimal"/>
      <w:lvlText w:val="1.1.%3"/>
      <w:lvlJc w:val="right"/>
      <w:pPr>
        <w:ind w:left="1840" w:hanging="180"/>
      </w:pPr>
      <w:rPr>
        <w:u w:val="none"/>
      </w:rPr>
    </w:lvl>
    <w:lvl w:ilvl="3">
      <w:start w:val="1"/>
      <w:numFmt w:val="decimal"/>
      <w:lvlText w:val="%4."/>
      <w:lvlJc w:val="left"/>
      <w:pPr>
        <w:ind w:left="2560" w:hanging="360"/>
      </w:pPr>
      <w:rPr>
        <w:u w:val="none"/>
      </w:rPr>
    </w:lvl>
    <w:lvl w:ilvl="4">
      <w:start w:val="1"/>
      <w:numFmt w:val="lowerLetter"/>
      <w:lvlText w:val="%5."/>
      <w:lvlJc w:val="left"/>
      <w:pPr>
        <w:ind w:left="3280" w:hanging="360"/>
      </w:pPr>
      <w:rPr>
        <w:u w:val="none"/>
      </w:rPr>
    </w:lvl>
    <w:lvl w:ilvl="5">
      <w:start w:val="1"/>
      <w:numFmt w:val="lowerRoman"/>
      <w:lvlText w:val="%6."/>
      <w:lvlJc w:val="right"/>
      <w:pPr>
        <w:ind w:left="4000" w:hanging="180"/>
      </w:pPr>
      <w:rPr>
        <w:u w:val="none"/>
      </w:rPr>
    </w:lvl>
    <w:lvl w:ilvl="6">
      <w:start w:val="1"/>
      <w:numFmt w:val="decimal"/>
      <w:lvlText w:val="%7."/>
      <w:lvlJc w:val="left"/>
      <w:pPr>
        <w:ind w:left="4720" w:hanging="360"/>
      </w:pPr>
      <w:rPr>
        <w:u w:val="none"/>
      </w:rPr>
    </w:lvl>
    <w:lvl w:ilvl="7">
      <w:start w:val="1"/>
      <w:numFmt w:val="lowerLetter"/>
      <w:lvlText w:val="%8."/>
      <w:lvlJc w:val="left"/>
      <w:pPr>
        <w:ind w:left="5440" w:hanging="360"/>
      </w:pPr>
      <w:rPr>
        <w:u w:val="none"/>
      </w:rPr>
    </w:lvl>
    <w:lvl w:ilvl="8">
      <w:start w:val="1"/>
      <w:numFmt w:val="lowerRoman"/>
      <w:lvlText w:val="%9."/>
      <w:lvlJc w:val="right"/>
      <w:pPr>
        <w:ind w:left="6160" w:hanging="180"/>
      </w:pPr>
      <w:rPr>
        <w:u w:val="none"/>
      </w:rPr>
    </w:lvl>
  </w:abstractNum>
  <w:abstractNum w:abstractNumId="12" w15:restartNumberingAfterBreak="0">
    <w:nsid w:val="57E532FA"/>
    <w:multiLevelType w:val="multilevel"/>
    <w:tmpl w:val="A2565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655EC3"/>
    <w:multiLevelType w:val="multilevel"/>
    <w:tmpl w:val="72C8BB96"/>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lowerLetter"/>
      <w:lvlText w:val="%5)"/>
      <w:lvlJc w:val="left"/>
      <w:pPr>
        <w:ind w:left="2232" w:hanging="792"/>
      </w:pPr>
      <w:rPr>
        <w:u w:val="none"/>
      </w:rPr>
    </w:lvl>
    <w:lvl w:ilvl="5">
      <w:start w:val="1"/>
      <w:numFmt w:val="decimal"/>
      <w:lvlText w:val="%1.%2.%3.%4.%5.%6."/>
      <w:lvlJc w:val="left"/>
      <w:pPr>
        <w:ind w:left="2736" w:hanging="933"/>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4" w15:restartNumberingAfterBreak="0">
    <w:nsid w:val="5A192B00"/>
    <w:multiLevelType w:val="multilevel"/>
    <w:tmpl w:val="C00E891A"/>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lowerLetter"/>
      <w:lvlText w:val="%5)"/>
      <w:lvlJc w:val="left"/>
      <w:pPr>
        <w:ind w:left="2232" w:hanging="792"/>
      </w:pPr>
      <w:rPr>
        <w:u w:val="none"/>
      </w:rPr>
    </w:lvl>
    <w:lvl w:ilvl="5">
      <w:start w:val="1"/>
      <w:numFmt w:val="decimal"/>
      <w:lvlText w:val="%1.%2.%3.%4.%5.%6."/>
      <w:lvlJc w:val="left"/>
      <w:pPr>
        <w:ind w:left="2736" w:hanging="933"/>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5" w15:restartNumberingAfterBreak="0">
    <w:nsid w:val="5CD8097F"/>
    <w:multiLevelType w:val="multilevel"/>
    <w:tmpl w:val="16BEB5CA"/>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lowerLetter"/>
      <w:lvlText w:val="%5)"/>
      <w:lvlJc w:val="left"/>
      <w:pPr>
        <w:ind w:left="2232" w:hanging="792"/>
      </w:pPr>
      <w:rPr>
        <w:u w:val="none"/>
      </w:rPr>
    </w:lvl>
    <w:lvl w:ilvl="5">
      <w:start w:val="1"/>
      <w:numFmt w:val="decimal"/>
      <w:lvlText w:val="%1.%2.%3.%4.%5.%6."/>
      <w:lvlJc w:val="left"/>
      <w:pPr>
        <w:ind w:left="2736" w:hanging="933"/>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6" w15:restartNumberingAfterBreak="0">
    <w:nsid w:val="715A4FE9"/>
    <w:multiLevelType w:val="multilevel"/>
    <w:tmpl w:val="C2F0264E"/>
    <w:lvl w:ilvl="0">
      <w:start w:val="1"/>
      <w:numFmt w:val="decimal"/>
      <w:lvlText w:val="%1."/>
      <w:lvlJc w:val="left"/>
      <w:pPr>
        <w:ind w:left="360" w:hanging="360"/>
      </w:pPr>
      <w:rPr>
        <w:u w:val="none"/>
      </w:rPr>
    </w:lvl>
    <w:lvl w:ilvl="1">
      <w:start w:val="1"/>
      <w:numFmt w:val="lowerLetter"/>
      <w:lvlText w:val="%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lowerLetter"/>
      <w:lvlText w:val="%5)"/>
      <w:lvlJc w:val="left"/>
      <w:pPr>
        <w:ind w:left="2232" w:hanging="792"/>
      </w:pPr>
      <w:rPr>
        <w:u w:val="none"/>
      </w:rPr>
    </w:lvl>
    <w:lvl w:ilvl="5">
      <w:start w:val="1"/>
      <w:numFmt w:val="decimal"/>
      <w:lvlText w:val="%1.%2.%3.%4.%5.%6."/>
      <w:lvlJc w:val="left"/>
      <w:pPr>
        <w:ind w:left="2736" w:hanging="933"/>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7" w15:restartNumberingAfterBreak="0">
    <w:nsid w:val="76C8384E"/>
    <w:multiLevelType w:val="multilevel"/>
    <w:tmpl w:val="69B47DDC"/>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lowerLetter"/>
      <w:lvlText w:val="%5)"/>
      <w:lvlJc w:val="left"/>
      <w:pPr>
        <w:ind w:left="2232" w:hanging="792"/>
      </w:pPr>
      <w:rPr>
        <w:u w:val="none"/>
      </w:rPr>
    </w:lvl>
    <w:lvl w:ilvl="5">
      <w:start w:val="1"/>
      <w:numFmt w:val="decimal"/>
      <w:lvlText w:val="%1.%2.%3.%4.%5.%6."/>
      <w:lvlJc w:val="left"/>
      <w:pPr>
        <w:ind w:left="2736" w:hanging="933"/>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8" w15:restartNumberingAfterBreak="0">
    <w:nsid w:val="79882EB8"/>
    <w:multiLevelType w:val="multilevel"/>
    <w:tmpl w:val="16AACEC2"/>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lowerLetter"/>
      <w:lvlText w:val="%5)"/>
      <w:lvlJc w:val="left"/>
      <w:pPr>
        <w:ind w:left="2232" w:hanging="792"/>
      </w:pPr>
      <w:rPr>
        <w:u w:val="none"/>
      </w:rPr>
    </w:lvl>
    <w:lvl w:ilvl="5">
      <w:start w:val="1"/>
      <w:numFmt w:val="decimal"/>
      <w:lvlText w:val="%1.%2.%3.%4.%5.%6."/>
      <w:lvlJc w:val="left"/>
      <w:pPr>
        <w:ind w:left="2736" w:hanging="933"/>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9" w15:restartNumberingAfterBreak="0">
    <w:nsid w:val="7A1D1055"/>
    <w:multiLevelType w:val="multilevel"/>
    <w:tmpl w:val="7A186CF8"/>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lowerLetter"/>
      <w:lvlText w:val="%5)"/>
      <w:lvlJc w:val="left"/>
      <w:pPr>
        <w:ind w:left="2232" w:hanging="792"/>
      </w:pPr>
      <w:rPr>
        <w:u w:val="none"/>
      </w:rPr>
    </w:lvl>
    <w:lvl w:ilvl="5">
      <w:start w:val="1"/>
      <w:numFmt w:val="decimal"/>
      <w:lvlText w:val="%1.%2.%3.%4.%5.%6."/>
      <w:lvlJc w:val="left"/>
      <w:pPr>
        <w:ind w:left="2736" w:hanging="933"/>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20" w15:restartNumberingAfterBreak="0">
    <w:nsid w:val="7BBB0693"/>
    <w:multiLevelType w:val="multilevel"/>
    <w:tmpl w:val="D82E02CE"/>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lowerLetter"/>
      <w:lvlText w:val="%5)"/>
      <w:lvlJc w:val="left"/>
      <w:pPr>
        <w:ind w:left="2232" w:hanging="792"/>
      </w:pPr>
      <w:rPr>
        <w:u w:val="none"/>
      </w:rPr>
    </w:lvl>
    <w:lvl w:ilvl="5">
      <w:start w:val="1"/>
      <w:numFmt w:val="decimal"/>
      <w:lvlText w:val="%1.%2.%3.%4.%5.%6."/>
      <w:lvlJc w:val="left"/>
      <w:pPr>
        <w:ind w:left="2736" w:hanging="933"/>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21" w15:restartNumberingAfterBreak="0">
    <w:nsid w:val="7F6A4D29"/>
    <w:multiLevelType w:val="multilevel"/>
    <w:tmpl w:val="D16E1F88"/>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lowerLetter"/>
      <w:lvlText w:val="%5)"/>
      <w:lvlJc w:val="left"/>
      <w:pPr>
        <w:ind w:left="2232" w:hanging="792"/>
      </w:pPr>
      <w:rPr>
        <w:u w:val="none"/>
      </w:rPr>
    </w:lvl>
    <w:lvl w:ilvl="5">
      <w:start w:val="1"/>
      <w:numFmt w:val="decimal"/>
      <w:lvlText w:val="%1.%2.%3.%4.%5.%6."/>
      <w:lvlJc w:val="left"/>
      <w:pPr>
        <w:ind w:left="2736" w:hanging="933"/>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num w:numId="1">
    <w:abstractNumId w:val="21"/>
  </w:num>
  <w:num w:numId="2">
    <w:abstractNumId w:val="3"/>
  </w:num>
  <w:num w:numId="3">
    <w:abstractNumId w:val="8"/>
  </w:num>
  <w:num w:numId="4">
    <w:abstractNumId w:val="4"/>
  </w:num>
  <w:num w:numId="5">
    <w:abstractNumId w:val="10"/>
  </w:num>
  <w:num w:numId="6">
    <w:abstractNumId w:val="15"/>
  </w:num>
  <w:num w:numId="7">
    <w:abstractNumId w:val="12"/>
  </w:num>
  <w:num w:numId="8">
    <w:abstractNumId w:val="14"/>
  </w:num>
  <w:num w:numId="9">
    <w:abstractNumId w:val="2"/>
  </w:num>
  <w:num w:numId="10">
    <w:abstractNumId w:val="6"/>
  </w:num>
  <w:num w:numId="11">
    <w:abstractNumId w:val="17"/>
  </w:num>
  <w:num w:numId="12">
    <w:abstractNumId w:val="20"/>
  </w:num>
  <w:num w:numId="13">
    <w:abstractNumId w:val="0"/>
  </w:num>
  <w:num w:numId="14">
    <w:abstractNumId w:val="7"/>
  </w:num>
  <w:num w:numId="15">
    <w:abstractNumId w:val="11"/>
  </w:num>
  <w:num w:numId="16">
    <w:abstractNumId w:val="19"/>
  </w:num>
  <w:num w:numId="17">
    <w:abstractNumId w:val="16"/>
  </w:num>
  <w:num w:numId="18">
    <w:abstractNumId w:val="18"/>
  </w:num>
  <w:num w:numId="19">
    <w:abstractNumId w:val="9"/>
  </w:num>
  <w:num w:numId="20">
    <w:abstractNumId w:val="13"/>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E3"/>
    <w:rsid w:val="005770D9"/>
    <w:rsid w:val="006D794D"/>
    <w:rsid w:val="00D07035"/>
    <w:rsid w:val="00F436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6D9FB"/>
  <w15:docId w15:val="{6A5D2DDA-8440-466E-AE1E-E93F3EBB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2967</Words>
  <Characters>17506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Hladká</dc:creator>
  <cp:lastModifiedBy>Vladimira</cp:lastModifiedBy>
  <cp:revision>3</cp:revision>
  <dcterms:created xsi:type="dcterms:W3CDTF">2024-09-17T10:07:00Z</dcterms:created>
  <dcterms:modified xsi:type="dcterms:W3CDTF">2024-09-17T10:09:00Z</dcterms:modified>
</cp:coreProperties>
</file>