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ACD19" w14:textId="77777777" w:rsidR="007D2CB6" w:rsidRDefault="00734718">
      <w:pPr>
        <w:pBdr>
          <w:top w:val="nil"/>
          <w:left w:val="nil"/>
          <w:bottom w:val="nil"/>
          <w:right w:val="nil"/>
          <w:between w:val="nil"/>
        </w:pBdr>
        <w:spacing w:before="360" w:after="360" w:line="276" w:lineRule="auto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Smlouva o poskytování prémiových služeb - </w:t>
      </w:r>
      <w:r>
        <w:rPr>
          <w:rFonts w:ascii="Arial" w:eastAsia="Arial" w:hAnsi="Arial" w:cs="Arial"/>
          <w:b/>
          <w:color w:val="222222"/>
          <w:sz w:val="22"/>
          <w:szCs w:val="22"/>
          <w:highlight w:val="white"/>
        </w:rPr>
        <w:t>Domovy Premium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</w:t>
      </w:r>
    </w:p>
    <w:tbl>
      <w:tblPr>
        <w:tblStyle w:val="a"/>
        <w:tblW w:w="853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536"/>
      </w:tblGrid>
      <w:tr w:rsidR="007D2CB6" w14:paraId="5A8AD99E" w14:textId="77777777">
        <w:trPr>
          <w:trHeight w:val="3144"/>
        </w:trPr>
        <w:tc>
          <w:tcPr>
            <w:tcW w:w="853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EAE8DC" w14:textId="77777777" w:rsidR="007D2CB6" w:rsidRDefault="007347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Tato smlouva o poskytování služeb (dále jen „smlouva“) byla uzavřena níže uvedeného dne, měsíce a roku mezi smluvními stranami:</w:t>
            </w:r>
          </w:p>
          <w:p w14:paraId="39F42347" w14:textId="77777777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  <w:p w14:paraId="65FA3A8D" w14:textId="77777777" w:rsidR="007D2CB6" w:rsidRDefault="007347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Objednatel:</w:t>
            </w:r>
          </w:p>
          <w:p w14:paraId="4BA5124E" w14:textId="77777777" w:rsidR="007D2CB6" w:rsidRDefault="00734718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Dům seniorů FRANTIŠEK Náměšť na Hané, </w:t>
            </w:r>
            <w:r>
              <w:rPr>
                <w:rFonts w:ascii="Calibri" w:eastAsia="Calibri" w:hAnsi="Calibri" w:cs="Calibri"/>
                <w:b/>
                <w:color w:val="000000"/>
              </w:rPr>
              <w:t>příspěvková organizace</w:t>
            </w:r>
          </w:p>
          <w:p w14:paraId="16BC276F" w14:textId="77777777" w:rsidR="007D2CB6" w:rsidRDefault="0073471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Komenského 291</w:t>
            </w:r>
          </w:p>
          <w:p w14:paraId="4B4192C8" w14:textId="77777777" w:rsidR="007D2CB6" w:rsidRDefault="0073471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78344, Náměšť na Hané</w:t>
            </w:r>
          </w:p>
          <w:p w14:paraId="2DA8EB1C" w14:textId="77777777" w:rsidR="007D2CB6" w:rsidRDefault="0073471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IČO: 75004381</w:t>
            </w:r>
          </w:p>
          <w:p w14:paraId="44504C97" w14:textId="745C8EAA" w:rsidR="007D2CB6" w:rsidRDefault="00734718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v zastoupení Mgr. Renata Vidrasová,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DiS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., ředitelkou</w:t>
            </w:r>
          </w:p>
          <w:p w14:paraId="57971844" w14:textId="77777777" w:rsidR="007D2CB6" w:rsidRDefault="007347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(dále jen „klient“)</w:t>
            </w:r>
          </w:p>
        </w:tc>
      </w:tr>
      <w:tr w:rsidR="007D2CB6" w14:paraId="67D45155" w14:textId="77777777">
        <w:trPr>
          <w:trHeight w:val="47"/>
        </w:trPr>
        <w:tc>
          <w:tcPr>
            <w:tcW w:w="853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CB7857" w14:textId="77777777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7411EC4" w14:textId="77777777" w:rsidR="007D2CB6" w:rsidRDefault="0073471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Poskytovatel:</w:t>
      </w:r>
      <w:r>
        <w:rPr>
          <w:rFonts w:ascii="Calibri" w:eastAsia="Calibri" w:hAnsi="Calibri" w:cs="Calibri"/>
          <w:color w:val="000000"/>
        </w:rPr>
        <w:br/>
      </w:r>
      <w:proofErr w:type="spellStart"/>
      <w:r>
        <w:rPr>
          <w:rFonts w:ascii="Calibri" w:eastAsia="Calibri" w:hAnsi="Calibri" w:cs="Calibri"/>
          <w:b/>
          <w:color w:val="000000"/>
        </w:rPr>
        <w:t>Virtual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Visit s.r.o.</w:t>
      </w:r>
    </w:p>
    <w:p w14:paraId="78462CD3" w14:textId="77777777" w:rsidR="007D2CB6" w:rsidRDefault="0073471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Jeřabinová 742/6</w:t>
      </w:r>
      <w:r>
        <w:rPr>
          <w:rFonts w:ascii="Calibri" w:eastAsia="Calibri" w:hAnsi="Calibri" w:cs="Calibri"/>
          <w:color w:val="000000"/>
          <w:highlight w:val="white"/>
        </w:rPr>
        <w:br/>
        <w:t>602 00 Brno</w:t>
      </w:r>
    </w:p>
    <w:p w14:paraId="3732A2DF" w14:textId="1DDA027A" w:rsidR="007D2CB6" w:rsidRDefault="0073471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  <w:highlight w:val="white"/>
        </w:rPr>
      </w:pPr>
      <w:r>
        <w:rPr>
          <w:rFonts w:ascii="Calibri" w:eastAsia="Calibri" w:hAnsi="Calibri" w:cs="Calibri"/>
          <w:color w:val="000000"/>
          <w:highlight w:val="white"/>
        </w:rPr>
        <w:t>IČ: 06165061 / DIČ: CZ06165061</w:t>
      </w:r>
      <w:r>
        <w:rPr>
          <w:rFonts w:ascii="Calibri" w:eastAsia="Calibri" w:hAnsi="Calibri" w:cs="Calibri"/>
          <w:color w:val="000000"/>
          <w:highlight w:val="white"/>
        </w:rPr>
        <w:br/>
      </w:r>
      <w:r>
        <w:rPr>
          <w:rFonts w:ascii="Calibri" w:eastAsia="Calibri" w:hAnsi="Calibri" w:cs="Calibri"/>
          <w:color w:val="000000"/>
        </w:rPr>
        <w:t xml:space="preserve">v zastoupení </w:t>
      </w:r>
      <w:r>
        <w:rPr>
          <w:rFonts w:ascii="Calibri" w:eastAsia="Calibri" w:hAnsi="Calibri" w:cs="Calibri"/>
          <w:color w:val="000000"/>
        </w:rPr>
        <w:br/>
        <w:t>(dále jako „poskytovatel“)</w:t>
      </w:r>
    </w:p>
    <w:p w14:paraId="2C9F278B" w14:textId="77777777" w:rsidR="007D2CB6" w:rsidRDefault="0073471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(Poskytovatel a klient dále též společně jako „</w:t>
      </w:r>
      <w:r>
        <w:rPr>
          <w:rFonts w:ascii="Calibri" w:eastAsia="Calibri" w:hAnsi="Calibri" w:cs="Calibri"/>
          <w:b/>
          <w:color w:val="000000"/>
        </w:rPr>
        <w:t>smluvní strany“</w:t>
      </w:r>
      <w:r>
        <w:rPr>
          <w:rFonts w:ascii="Calibri" w:eastAsia="Calibri" w:hAnsi="Calibri" w:cs="Calibri"/>
          <w:color w:val="000000"/>
        </w:rPr>
        <w:t xml:space="preserve"> a každý jednotlivě jako „</w:t>
      </w:r>
      <w:r>
        <w:rPr>
          <w:rFonts w:ascii="Calibri" w:eastAsia="Calibri" w:hAnsi="Calibri" w:cs="Calibri"/>
          <w:b/>
          <w:color w:val="000000"/>
        </w:rPr>
        <w:t>smluvní strana</w:t>
      </w:r>
      <w:r>
        <w:rPr>
          <w:rFonts w:ascii="Calibri" w:eastAsia="Calibri" w:hAnsi="Calibri" w:cs="Calibri"/>
          <w:color w:val="000000"/>
        </w:rPr>
        <w:t>“)</w:t>
      </w:r>
    </w:p>
    <w:p w14:paraId="70BCD3DD" w14:textId="77777777" w:rsidR="007D2CB6" w:rsidRDefault="00734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Definice</w:t>
      </w:r>
    </w:p>
    <w:p w14:paraId="1718B35C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V této smlouvě termín „</w:t>
      </w:r>
      <w:r>
        <w:rPr>
          <w:rFonts w:ascii="Calibri" w:eastAsia="Calibri" w:hAnsi="Calibri" w:cs="Calibri"/>
          <w:b/>
          <w:color w:val="000000"/>
        </w:rPr>
        <w:t>prostředí</w:t>
      </w:r>
      <w:r>
        <w:rPr>
          <w:rFonts w:ascii="Calibri" w:eastAsia="Calibri" w:hAnsi="Calibri" w:cs="Calibri"/>
          <w:color w:val="000000"/>
        </w:rPr>
        <w:t xml:space="preserve">“ znamená webové služby klienta, v rámci kterých je vytvořena, hostována a propagována jeho webová prezentace, dostupná z domény </w:t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https://www.ddnamestnahane.cz/</w:t>
        </w:r>
      </w:hyperlink>
    </w:p>
    <w:p w14:paraId="29A57D75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V této smlouvě termín „</w:t>
      </w:r>
      <w:r>
        <w:rPr>
          <w:rFonts w:ascii="Calibri" w:eastAsia="Calibri" w:hAnsi="Calibri" w:cs="Calibri"/>
          <w:b/>
          <w:color w:val="000000"/>
        </w:rPr>
        <w:t>služby</w:t>
      </w:r>
      <w:r>
        <w:rPr>
          <w:rFonts w:ascii="Calibri" w:eastAsia="Calibri" w:hAnsi="Calibri" w:cs="Calibri"/>
          <w:color w:val="000000"/>
        </w:rPr>
        <w:t>“ znamená poskytnutí dodatečných modulů pro prostředí.</w:t>
      </w:r>
    </w:p>
    <w:p w14:paraId="4CCAAB59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Detailnější specifikace služeb je uvedena v příloze č. 1 této smlouvy.</w:t>
      </w:r>
    </w:p>
    <w:p w14:paraId="161C57DE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Termínem „</w:t>
      </w:r>
      <w:r>
        <w:rPr>
          <w:rFonts w:ascii="Calibri" w:eastAsia="Calibri" w:hAnsi="Calibri" w:cs="Calibri"/>
          <w:b/>
          <w:color w:val="000000"/>
        </w:rPr>
        <w:t>nařízení</w:t>
      </w:r>
      <w:r>
        <w:rPr>
          <w:rFonts w:ascii="Calibri" w:eastAsia="Calibri" w:hAnsi="Calibri" w:cs="Calibri"/>
          <w:color w:val="000000"/>
        </w:rPr>
        <w:t>“ se pro účely této smlouvy rozumí nařízení Evropského parlamentu a Rady (EU) č. 2016 / 679 o ochraně fyzických osob v souvislosti se zpracováním osobních údajů a o volném pohybu těchto údajů.</w:t>
      </w:r>
    </w:p>
    <w:p w14:paraId="58638DA7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Termínem „</w:t>
      </w:r>
      <w:r>
        <w:rPr>
          <w:rFonts w:ascii="Calibri" w:eastAsia="Calibri" w:hAnsi="Calibri" w:cs="Calibri"/>
          <w:b/>
          <w:color w:val="000000"/>
        </w:rPr>
        <w:t>zpracování osobních údajů</w:t>
      </w:r>
      <w:r>
        <w:rPr>
          <w:rFonts w:ascii="Calibri" w:eastAsia="Calibri" w:hAnsi="Calibri" w:cs="Calibri"/>
          <w:color w:val="000000"/>
        </w:rPr>
        <w:t>“ se rozumí jakákoliv automatizovaná nebo manuálně prováděná operace nebo soubor operací s osobními údaji nebo soubory osobních údajů.</w:t>
      </w:r>
    </w:p>
    <w:p w14:paraId="7E3E2DBC" w14:textId="77777777" w:rsidR="007D2CB6" w:rsidRDefault="00734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Předmět smlouvy</w:t>
      </w:r>
    </w:p>
    <w:p w14:paraId="326D7EFB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lastRenderedPageBreak/>
        <w:t xml:space="preserve">Poskytovatel se zavazuje </w:t>
      </w:r>
      <w:r>
        <w:rPr>
          <w:rFonts w:ascii="Calibri" w:eastAsia="Calibri" w:hAnsi="Calibri" w:cs="Calibri"/>
          <w:color w:val="000000"/>
        </w:rPr>
        <w:t>poskytovat klientovi služby a klient se zavazuje poskytovateli za poskytnuté služby zaplatit smluvenou odměnu, a to vše za podmínek uvedených v této smlouvě.</w:t>
      </w:r>
    </w:p>
    <w:p w14:paraId="2DAD3C6D" w14:textId="77777777" w:rsidR="007D2CB6" w:rsidRDefault="00734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Podmínky poskytování služeb</w:t>
      </w:r>
    </w:p>
    <w:p w14:paraId="69F3E1E2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postupuje při poskytování služeb samostatně, je však povinen dbát pokynů klienta.</w:t>
      </w:r>
    </w:p>
    <w:p w14:paraId="4C2D9576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V případě prodlení klienta se zaplacením finančního plnění poskytovateli podle této smlouvy má poskytovatel právo přerušit poskytování služeb do zaplacení daného finančního plnění.</w:t>
      </w:r>
    </w:p>
    <w:p w14:paraId="0BCB9B19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V případě, že poskytovatel bude pro řádné poskytování služeb potřebovat informace od klienta, má klient povinnost poskytnout poskytovateli součinnost (zejména mu sdělit veškeré požadované informace), a to bez zbytečného odkladu.</w:t>
      </w:r>
    </w:p>
    <w:p w14:paraId="1D09CFA6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Klient se zavazuje zajistit poskytovateli veškeré podmínky nezbytné pro řádné poskytování služeb, zejména se klient zavazuje zajistit nebo poskytnout všechny potřebné přístupy.</w:t>
      </w:r>
    </w:p>
    <w:p w14:paraId="1C6FC44F" w14:textId="77777777" w:rsidR="007D2CB6" w:rsidRDefault="00734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Odměna a platební podmínky</w:t>
      </w:r>
    </w:p>
    <w:p w14:paraId="06CADC9A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Klient se zavazuje zaplatit poskytovateli za poskytování služeb odměnu v pravidelných dohodnutých intervalech. Interval platby a její výše jsou stanoveny v příloze č. 1 této smlouvy. </w:t>
      </w:r>
    </w:p>
    <w:p w14:paraId="2F7DA184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má povinnost vystavit na odměnu nebo jiné finanční plnění podle této smlouvy řádný daňový doklad – fakturu, a takový daňový doklad (fakturu) doručit klientovi.</w:t>
      </w:r>
    </w:p>
    <w:p w14:paraId="01AA06D2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Poskytovatel je povinen vystavit klientovi fakturu:</w:t>
      </w:r>
    </w:p>
    <w:p w14:paraId="72D44CCD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v případě měsíčních plateb k okamžiku podpisu této smlouvy a následně vždy v měsíčních výročích dne podepsání smlouvy;</w:t>
      </w:r>
    </w:p>
    <w:p w14:paraId="55933C40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 xml:space="preserve">v případě ročních plateb k okamžiku podpisu smlouvy a následně vždy v ročních výročích dne podepsání </w:t>
      </w:r>
      <w:r>
        <w:rPr>
          <w:rFonts w:ascii="Calibri" w:eastAsia="Calibri" w:hAnsi="Calibri" w:cs="Calibri"/>
          <w:color w:val="000000"/>
        </w:rPr>
        <w:t>smlouvy.</w:t>
      </w:r>
    </w:p>
    <w:p w14:paraId="0C7B384C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Poskytovatel má právo doručit daňový doklad – fakturu i v elektronické podobě prostřednictvím e-mailové zprávy na email uvedený v části </w:t>
      </w:r>
      <w:r>
        <w:rPr>
          <w:rFonts w:ascii="Calibri" w:eastAsia="Calibri" w:hAnsi="Calibri" w:cs="Calibri"/>
          <w:i/>
          <w:color w:val="000000"/>
        </w:rPr>
        <w:t>5. Komunikace</w:t>
      </w:r>
      <w:r>
        <w:rPr>
          <w:rFonts w:ascii="Calibri" w:eastAsia="Calibri" w:hAnsi="Calibri" w:cs="Calibri"/>
          <w:color w:val="000000"/>
        </w:rPr>
        <w:t>.</w:t>
      </w:r>
    </w:p>
    <w:p w14:paraId="6E2B754D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Klient se zavazuje zaplatit poskytovateli odměnu bankovním převodem na účet </w:t>
      </w:r>
      <w:r>
        <w:rPr>
          <w:rFonts w:ascii="Calibri" w:eastAsia="Calibri" w:hAnsi="Calibri" w:cs="Calibri"/>
          <w:color w:val="000000"/>
        </w:rPr>
        <w:t>poskytovatele uvedený ve faktuře, a to ve lhůtě splatnosti uvedené na faktuře.</w:t>
      </w:r>
    </w:p>
    <w:p w14:paraId="144005EF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Jakékoliv jiné finanční plnění pro poskytovatele (než odměna) se platí bankovní převodem na bankovní účet poskytovatele uvedený ve faktuře. </w:t>
      </w:r>
    </w:p>
    <w:p w14:paraId="77305825" w14:textId="77777777" w:rsidR="007D2CB6" w:rsidRDefault="00734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Komunikace</w:t>
      </w:r>
    </w:p>
    <w:p w14:paraId="14B277BC" w14:textId="0C27A304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Klient bude zadávat pokyny pro poskytování služeb poskytovateli elektronicky na e-mailovou adresu  </w:t>
      </w:r>
      <w:r>
        <w:tab/>
      </w:r>
      <w:r>
        <w:tab/>
      </w:r>
      <w:r>
        <w:tab/>
      </w:r>
      <w:r>
        <w:rPr>
          <w:rFonts w:ascii="Calibri" w:eastAsia="Calibri" w:hAnsi="Calibri" w:cs="Calibri"/>
          <w:color w:val="000000"/>
        </w:rPr>
        <w:t xml:space="preserve">(pro podporu </w:t>
      </w:r>
      <w:hyperlink r:id="rId9"/>
      <w:r>
        <w:rPr>
          <w:rFonts w:ascii="Calibri" w:eastAsia="Calibri" w:hAnsi="Calibri" w:cs="Calibri"/>
          <w:color w:val="0000FF"/>
          <w:u w:val="single"/>
        </w:rPr>
        <w:tab/>
      </w:r>
      <w:r>
        <w:rPr>
          <w:rFonts w:ascii="Calibri" w:eastAsia="Calibri" w:hAnsi="Calibri" w:cs="Calibri"/>
          <w:color w:val="0000FF"/>
          <w:u w:val="single"/>
        </w:rPr>
        <w:tab/>
      </w:r>
      <w:r>
        <w:rPr>
          <w:rFonts w:ascii="Calibri" w:eastAsia="Calibri" w:hAnsi="Calibri" w:cs="Calibri"/>
          <w:color w:val="0000FF"/>
          <w:u w:val="single"/>
        </w:rPr>
        <w:tab/>
      </w:r>
      <w:r>
        <w:rPr>
          <w:rFonts w:ascii="Calibri" w:eastAsia="Calibri" w:hAnsi="Calibri" w:cs="Calibri"/>
          <w:color w:val="0000FF"/>
          <w:u w:val="single"/>
        </w:rPr>
        <w:tab/>
      </w:r>
      <w:r>
        <w:rPr>
          <w:rFonts w:ascii="Calibri" w:eastAsia="Calibri" w:hAnsi="Calibri" w:cs="Calibri"/>
          <w:color w:val="000000"/>
        </w:rPr>
        <w:t xml:space="preserve"> ).</w:t>
      </w:r>
    </w:p>
    <w:p w14:paraId="1DA8172E" w14:textId="59D5ADB5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lastRenderedPageBreak/>
        <w:t xml:space="preserve">Poskytovatel bude komunikovat s klientem o poskytování služeb elektronicky na e-mailovou adresu </w:t>
      </w:r>
    </w:p>
    <w:p w14:paraId="548DF5CF" w14:textId="77777777" w:rsidR="007D2CB6" w:rsidRDefault="00734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color w:val="000000"/>
        </w:rPr>
        <w:t>Zpracování osobních údajů</w:t>
      </w:r>
    </w:p>
    <w:p w14:paraId="651BE595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Poskytovatel, jako zpracovatel, je pro klienta, jako správce, oprávněn zpracovávat osobní údaje (dále jen „</w:t>
      </w:r>
      <w:r>
        <w:rPr>
          <w:rFonts w:ascii="Calibri" w:eastAsia="Calibri" w:hAnsi="Calibri" w:cs="Calibri"/>
          <w:b/>
          <w:color w:val="000000"/>
        </w:rPr>
        <w:t>osobní údaje</w:t>
      </w:r>
      <w:r>
        <w:rPr>
          <w:rFonts w:ascii="Calibri" w:eastAsia="Calibri" w:hAnsi="Calibri" w:cs="Calibri"/>
          <w:color w:val="000000"/>
        </w:rPr>
        <w:t>“), které budou konkrétně stanoveny v jednotlivých písemných pokynech zadávaných klientem.</w:t>
      </w:r>
    </w:p>
    <w:p w14:paraId="7A4367BB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Zpřístupnění proběhne tak, že klient zajistí poskytovateli přístup do prostředí.  </w:t>
      </w:r>
    </w:p>
    <w:p w14:paraId="06EF72A3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osobní údaje zpracuje pouze za účelem poskytování služeb na základě této smlouvy dle jednotlivých pokynů klienta a v souladu s účely jejich shromáždění klientem.</w:t>
      </w:r>
    </w:p>
    <w:p w14:paraId="2B0D9AE0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Klient je oprávněn rozšířit účel zpracování v souladu se zákonem, kdy pokyn k dalšímu zpracování lze poskytovateli sdělit pouze písemnou formou. Za písemnou formu se pro účely této smlouvy považuje rovněž e-mailová komunikace smluvních stran adresovaná oprávněným osobám.</w:t>
      </w:r>
    </w:p>
    <w:p w14:paraId="43FB5E0A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se zavazuje přijmout technická, organizační a jiná opatření, jež zamezí neoprávněnému nebo nahodilému přístupu k osobním údajům, jejich změně, zničení, ztrátě či jinému neoprávněnému nakládání s osobními údaji. Poskytovatel se zavazuje zejména:</w:t>
      </w:r>
    </w:p>
    <w:p w14:paraId="1D53773B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 xml:space="preserve">používat zabezpečený přístup do </w:t>
      </w:r>
      <w:r>
        <w:rPr>
          <w:rFonts w:ascii="Calibri" w:eastAsia="Calibri" w:hAnsi="Calibri" w:cs="Calibri"/>
          <w:color w:val="000000"/>
        </w:rPr>
        <w:t>PC, kdy přístupy do PC budou známy pouze poskytovateli;</w:t>
      </w:r>
      <w:r>
        <w:rPr>
          <w:rFonts w:ascii="Calibri" w:eastAsia="Calibri" w:hAnsi="Calibri" w:cs="Calibri"/>
          <w:color w:val="000000"/>
        </w:rPr>
        <w:tab/>
      </w:r>
    </w:p>
    <w:p w14:paraId="2611E4DB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používat zabezpečený přístup do databáze osobních údajů, přístupy je povinen poskytovatel zadávat tak, aby nebyly zobrazeny, neukládaly se, nebyly zpřístupněny třetí osobě;</w:t>
      </w:r>
    </w:p>
    <w:p w14:paraId="178577E8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pro zpracování užívat software a služby, které splňují standardní požadavky na bezpečnost dat a splňují normy stanovené Evropskou unií;</w:t>
      </w:r>
    </w:p>
    <w:p w14:paraId="7655CAA8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bez předchozího souhlasu klienta netvořit kopie databáze;</w:t>
      </w:r>
    </w:p>
    <w:p w14:paraId="544C84E4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užívat vhodné prostředky zabezpečení, např. šifrování či jiné vhodné a potřebné prostředky vždy v závislosti na konkrétním jednání a datech;</w:t>
      </w:r>
    </w:p>
    <w:p w14:paraId="16931465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neumožnit přístup k údajům třetím osobám, pokud tento přístup nebude písemně schválen klientem nebo neplyne z této smlouvy;</w:t>
      </w:r>
    </w:p>
    <w:p w14:paraId="238219F2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dodržovat mlčenlivost ohledně osobních údajů.</w:t>
      </w:r>
    </w:p>
    <w:p w14:paraId="512A15AE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se zavazuje taktéž:</w:t>
      </w:r>
    </w:p>
    <w:p w14:paraId="568E99F6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zpracovávat osobní údaje pouze v takové podobě, v jaké mu byly předány klientem;</w:t>
      </w:r>
    </w:p>
    <w:p w14:paraId="37B565D5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lastRenderedPageBreak/>
        <w:t>zpracovávat pouze osobní údaje za účelem vymezeným touto smlouvou a pouze v rozsahu nutném pro naplnění tohoto účelu;</w:t>
      </w:r>
    </w:p>
    <w:p w14:paraId="451072B2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nesdružovat osobní údaje, které byly získány k rozdílným účelům;</w:t>
      </w:r>
    </w:p>
    <w:p w14:paraId="230CFA19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uchovávat osobní údaje pouze po dobu, která je uvedena v informační povinnosti nebo v souhlase koncového uživatele.</w:t>
      </w:r>
    </w:p>
    <w:p w14:paraId="43E345FB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je povinen pro klienta archivovat souhlasy se zpracováním osobních údajů, které byly poskytovateli koncovými uživateli předány. Poskytovatel je povinen souhlasy do 2 pracovních dnů od výzvy klienta klientovi vydat.</w:t>
      </w:r>
    </w:p>
    <w:p w14:paraId="0100912B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je povinen zajistit, aby zaměstnanci a jiné osoby poskytovatelem pověřené ke zpracování osobních údajů tyto údaje zpracovávaly jen v rozsahu a za účelem dle této smlouvy a dle nařízení.</w:t>
      </w:r>
    </w:p>
    <w:p w14:paraId="0DCDD014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Poskytovatel i klient se zavazují dodržovat při zpracovávání osobních údajů na základě této smlouvy povinnosti stanovené nařízením a dalšími obecně závaznými právními předpisy k této činnosti se </w:t>
      </w:r>
      <w:r>
        <w:rPr>
          <w:rFonts w:ascii="Calibri" w:eastAsia="Calibri" w:hAnsi="Calibri" w:cs="Calibri"/>
          <w:color w:val="000000"/>
        </w:rPr>
        <w:t>vztahujícími.</w:t>
      </w:r>
    </w:p>
    <w:p w14:paraId="2BB43E40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se zavazuje na výzvu klienta opravit, aktualizovat, smazat nebo přemístit osobní údaj dle pokynu klienta bez zbytečného odkladu od takové výzvy.</w:t>
      </w:r>
    </w:p>
    <w:p w14:paraId="3CC4D7F5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je povinen při plnění povinností ze smlouvy postupovat s odbornou péčí, řídit se pokyny klienta a jednat v souladu se zájmy klienta.</w:t>
      </w:r>
    </w:p>
    <w:p w14:paraId="669DA4C3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Klient souhlasí, že poskytovatel je oprávněn pověřit zpracováním osobních údajů další subjekt bez dodatečného výslovného konkrétního povolení klienta (dále jen „</w:t>
      </w:r>
      <w:proofErr w:type="spellStart"/>
      <w:r>
        <w:rPr>
          <w:rFonts w:ascii="Calibri" w:eastAsia="Calibri" w:hAnsi="Calibri" w:cs="Calibri"/>
          <w:color w:val="000000"/>
        </w:rPr>
        <w:t>podzpracovatel</w:t>
      </w:r>
      <w:proofErr w:type="spellEnd"/>
      <w:r>
        <w:rPr>
          <w:rFonts w:ascii="Calibri" w:eastAsia="Calibri" w:hAnsi="Calibri" w:cs="Calibri"/>
          <w:color w:val="000000"/>
        </w:rPr>
        <w:t xml:space="preserve">“). Poskytovatel informuje klienta o veškerých </w:t>
      </w:r>
      <w:proofErr w:type="spellStart"/>
      <w:r>
        <w:rPr>
          <w:rFonts w:ascii="Calibri" w:eastAsia="Calibri" w:hAnsi="Calibri" w:cs="Calibri"/>
          <w:color w:val="000000"/>
        </w:rPr>
        <w:t>podzpracovatelích</w:t>
      </w:r>
      <w:proofErr w:type="spellEnd"/>
      <w:r>
        <w:rPr>
          <w:rFonts w:ascii="Calibri" w:eastAsia="Calibri" w:hAnsi="Calibri" w:cs="Calibri"/>
          <w:color w:val="000000"/>
        </w:rPr>
        <w:t xml:space="preserve">, které zamýšlí pověřit zpracováním osobních údajů a poskytne tak klientovi příležitost vyslovit vůči přijetí těchto </w:t>
      </w:r>
      <w:proofErr w:type="spellStart"/>
      <w:r>
        <w:rPr>
          <w:rFonts w:ascii="Calibri" w:eastAsia="Calibri" w:hAnsi="Calibri" w:cs="Calibri"/>
          <w:color w:val="000000"/>
        </w:rPr>
        <w:t>podzpracovatelů</w:t>
      </w:r>
      <w:proofErr w:type="spellEnd"/>
      <w:r>
        <w:rPr>
          <w:rFonts w:ascii="Calibri" w:eastAsia="Calibri" w:hAnsi="Calibri" w:cs="Calibri"/>
          <w:color w:val="000000"/>
        </w:rPr>
        <w:t xml:space="preserve"> námitky. Nevyjádří-li klient své námitky vůči </w:t>
      </w:r>
      <w:proofErr w:type="spellStart"/>
      <w:r>
        <w:rPr>
          <w:rFonts w:ascii="Calibri" w:eastAsia="Calibri" w:hAnsi="Calibri" w:cs="Calibri"/>
          <w:color w:val="000000"/>
        </w:rPr>
        <w:t>podzpracovatelům</w:t>
      </w:r>
      <w:proofErr w:type="spellEnd"/>
      <w:r>
        <w:rPr>
          <w:rFonts w:ascii="Calibri" w:eastAsia="Calibri" w:hAnsi="Calibri" w:cs="Calibri"/>
          <w:color w:val="000000"/>
        </w:rPr>
        <w:t xml:space="preserve"> do 3 pracovních dnů, je poskytovatel tohoto </w:t>
      </w:r>
      <w:proofErr w:type="spellStart"/>
      <w:r>
        <w:rPr>
          <w:rFonts w:ascii="Calibri" w:eastAsia="Calibri" w:hAnsi="Calibri" w:cs="Calibri"/>
          <w:color w:val="000000"/>
        </w:rPr>
        <w:t>podzpracovatele</w:t>
      </w:r>
      <w:proofErr w:type="spellEnd"/>
      <w:r>
        <w:rPr>
          <w:rFonts w:ascii="Calibri" w:eastAsia="Calibri" w:hAnsi="Calibri" w:cs="Calibri"/>
          <w:color w:val="000000"/>
        </w:rPr>
        <w:t xml:space="preserve"> oprávněn zpracováním osobních údajů pověřit. Pokud poskytovatel zapojí </w:t>
      </w:r>
      <w:proofErr w:type="spellStart"/>
      <w:r>
        <w:rPr>
          <w:rFonts w:ascii="Calibri" w:eastAsia="Calibri" w:hAnsi="Calibri" w:cs="Calibri"/>
          <w:color w:val="000000"/>
        </w:rPr>
        <w:t>podzpracovatele</w:t>
      </w:r>
      <w:proofErr w:type="spellEnd"/>
      <w:r>
        <w:rPr>
          <w:rFonts w:ascii="Calibri" w:eastAsia="Calibri" w:hAnsi="Calibri" w:cs="Calibri"/>
          <w:color w:val="000000"/>
        </w:rPr>
        <w:t xml:space="preserve">, aby provedl určité činnosti zpracování, musí být tomuto </w:t>
      </w:r>
      <w:proofErr w:type="spellStart"/>
      <w:r>
        <w:rPr>
          <w:rFonts w:ascii="Calibri" w:eastAsia="Calibri" w:hAnsi="Calibri" w:cs="Calibri"/>
          <w:color w:val="000000"/>
        </w:rPr>
        <w:t>podzpracovateli</w:t>
      </w:r>
      <w:proofErr w:type="spellEnd"/>
      <w:r>
        <w:rPr>
          <w:rFonts w:ascii="Calibri" w:eastAsia="Calibri" w:hAnsi="Calibri" w:cs="Calibri"/>
          <w:color w:val="000000"/>
        </w:rPr>
        <w:t xml:space="preserve"> uloženy na základě</w:t>
      </w:r>
      <w:r>
        <w:rPr>
          <w:rFonts w:ascii="Calibri" w:eastAsia="Calibri" w:hAnsi="Calibri" w:cs="Calibri"/>
          <w:color w:val="000000"/>
        </w:rPr>
        <w:t xml:space="preserve"> smlouvy stejné povinnosti na ochranu osobních údajů, jaké jsou uvedeny v této smlouvě a v nařízení. Neplní-li uvedený </w:t>
      </w:r>
      <w:proofErr w:type="spellStart"/>
      <w:r>
        <w:rPr>
          <w:rFonts w:ascii="Calibri" w:eastAsia="Calibri" w:hAnsi="Calibri" w:cs="Calibri"/>
          <w:color w:val="000000"/>
        </w:rPr>
        <w:t>podzpracovatel</w:t>
      </w:r>
      <w:proofErr w:type="spellEnd"/>
      <w:r>
        <w:rPr>
          <w:rFonts w:ascii="Calibri" w:eastAsia="Calibri" w:hAnsi="Calibri" w:cs="Calibri"/>
          <w:color w:val="000000"/>
        </w:rPr>
        <w:t xml:space="preserve"> své povinnosti v oblasti ochrany údajů, odpovídá klientovi za plnění povinností dotčeného </w:t>
      </w:r>
      <w:proofErr w:type="spellStart"/>
      <w:r>
        <w:rPr>
          <w:rFonts w:ascii="Calibri" w:eastAsia="Calibri" w:hAnsi="Calibri" w:cs="Calibri"/>
          <w:color w:val="000000"/>
        </w:rPr>
        <w:t>podzpracovatele</w:t>
      </w:r>
      <w:proofErr w:type="spellEnd"/>
      <w:r>
        <w:rPr>
          <w:rFonts w:ascii="Calibri" w:eastAsia="Calibri" w:hAnsi="Calibri" w:cs="Calibri"/>
          <w:color w:val="000000"/>
        </w:rPr>
        <w:t xml:space="preserve"> poskytovatel.</w:t>
      </w:r>
    </w:p>
    <w:p w14:paraId="48C6AB66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Poskytovatel se zavazuje poskytnout klientovi veškeré informace potřebné k doložení toho, že byly splněny povinnosti stanovené touto smlouvou nebo nařízením týkající se osobních údajů a umožnit klientovi nebo třetí straně, která bude vůči klientovi zavázána mlčenlivostí, audit v přiměřeném rozsahu. Takový audit nesmí narušit běžný provoz poskytovatele nebo odkrývat jeho bezpečnostní opatření a nezahrnuje jakékoli penetrační testování či simulace.  Poskytovatel vůči klientovi splní povinnost umožnění auditu </w:t>
      </w:r>
      <w:r>
        <w:rPr>
          <w:rFonts w:ascii="Calibri" w:eastAsia="Calibri" w:hAnsi="Calibri" w:cs="Calibri"/>
          <w:color w:val="000000"/>
        </w:rPr>
        <w:t xml:space="preserve">rovněž předložením zprávy nezávislé třetí osoby o provedení auditu v uplynulých 24 měsících.  </w:t>
      </w:r>
    </w:p>
    <w:p w14:paraId="08AA4ABD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lastRenderedPageBreak/>
        <w:t>V případě jakéhokoliv ukončení smlouvy či ukončení zpracování osobních údajů je poskytovatel povinen bezodkladně provést likvidaci osobních údajů, které mu byly poskytnuty na základě této smlouvy.</w:t>
      </w:r>
    </w:p>
    <w:p w14:paraId="0801F09B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se zavazuje zachovávat mlčenlivost o zpracovávaných osobních údajích, zejména je nesmí zveřejňovat, šířit, či předávat dalším osobám mimo osoby v zaměstnaneckém poměru s poskytovatelem nebo jiným oprávněným osobám, jež jsou zpracováním osobních údajů pověřeny. Poskytovatel je povinen zajistit, aby také jeho zaměstnanci a jiné oprávněné osoby dodržovali závazek mlčenlivosti. Tato povinnost poskytovatele trvá i po skončení tohoto smluvního vztahu.</w:t>
      </w:r>
    </w:p>
    <w:p w14:paraId="4D7829C6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je dále povinen zachovávat mlčenlivost o bezpečnostních opatřeních přijatých k zabezpečení ochrany osobních údajů, a to i po skončení tohoto smluvního vztahu.</w:t>
      </w:r>
    </w:p>
    <w:p w14:paraId="15E76501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Poskytovatel je povinen zachovávat mlčenlivost ohledně veškerých informací zjištěných v rámci provádění auditu dle čl. 6. odst. 6.13. této smlouvy.</w:t>
      </w:r>
    </w:p>
    <w:p w14:paraId="691A8332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Poruší-li poskytovatel jeho povinnosti založené smlouvou nebo nařízením, odpovídá za škodu vzniklou v důsledku takového porušení. Poskytovatel však neodpovídá za neoprávněné zpracování osobních údajů ze strany klienta.</w:t>
      </w:r>
    </w:p>
    <w:p w14:paraId="3927F8F8" w14:textId="77777777" w:rsidR="007D2CB6" w:rsidRDefault="00734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Trvání a ukončení smlouvy</w:t>
      </w:r>
    </w:p>
    <w:p w14:paraId="4D8719D6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Tato smlouva je uzavřena na dobu neurčitou.</w:t>
      </w:r>
    </w:p>
    <w:p w14:paraId="52F6F51E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Kterákoliv smluvní strana má právo tuto smlouvu vypovědět písemnou výpovědí s výpovědní lhůtou 2 měsíce, která počíná běžet prvního dne měsíce následujícího po měsíci, ve kterém je výpověď doručena druhé smluvní straně.</w:t>
      </w:r>
    </w:p>
    <w:p w14:paraId="67265996" w14:textId="77777777" w:rsidR="007D2CB6" w:rsidRDefault="00734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Smluvní pokuta</w:t>
      </w:r>
    </w:p>
    <w:p w14:paraId="4547B997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V případě, že se klient dostane do prodlení se zaplacením odměny nebo její části podle této smlouvy, zavazuje se zaplatit poskytovateli smluvní pokutu ve výši 0,1 % z dlužné částky za každý den prodlení až do úplného </w:t>
      </w:r>
      <w:r>
        <w:rPr>
          <w:rFonts w:ascii="Calibri" w:eastAsia="Calibri" w:hAnsi="Calibri" w:cs="Calibri"/>
          <w:color w:val="000000"/>
        </w:rPr>
        <w:t>zaplacení.</w:t>
      </w:r>
    </w:p>
    <w:p w14:paraId="6BA7B77C" w14:textId="77777777" w:rsidR="007D2CB6" w:rsidRDefault="00734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Odstoupení od smlouvy</w:t>
      </w:r>
    </w:p>
    <w:p w14:paraId="1C3703E3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Klient má právo od této smlouvy odstoupit v případě, že:</w:t>
      </w:r>
    </w:p>
    <w:p w14:paraId="059CEE6A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poskytovatel je v prodlení s poskytnutím služeb delším než 10 dní;</w:t>
      </w:r>
    </w:p>
    <w:p w14:paraId="70730EE7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bude soudem prohlášen úpadek poskytovatele nebo poskytovatel vstoupí do insolvence;</w:t>
      </w:r>
    </w:p>
    <w:p w14:paraId="090FAF2E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poskytovatelem oznámené okolnosti vyšší moci trvají déle než 10 dní a smluvní strany se nedohodnou jinak.</w:t>
      </w:r>
    </w:p>
    <w:p w14:paraId="39C0238B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lastRenderedPageBreak/>
        <w:t>Poskytovatel má právo od této smlouvy odstoupit v případě, že:</w:t>
      </w:r>
    </w:p>
    <w:p w14:paraId="1B206F4E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klient je v prodlení se zaplacením odměny nebo její části delší než 10 dní;</w:t>
      </w:r>
    </w:p>
    <w:p w14:paraId="465AB4B7" w14:textId="77777777" w:rsidR="007D2CB6" w:rsidRDefault="0073471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klientem oznámené okolnosti vyšší moci trvají déle než 10 dní a smluvní strany se nedohodnou jinak.</w:t>
      </w:r>
    </w:p>
    <w:p w14:paraId="20D39EDC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Kterákoliv smluvní strana má právo odstoupit od této smlouvy i z kteréhokoliv zákonného důvodu.</w:t>
      </w:r>
    </w:p>
    <w:p w14:paraId="7182113F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Odstoupení je účinné doručením písemného oznámení o odstoupení druhé straně.</w:t>
      </w:r>
    </w:p>
    <w:p w14:paraId="25DC87FD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V případě odstoupení nejsou smluvní strany povinny vrátit si vzájemně poskytnutá plnění.</w:t>
      </w:r>
    </w:p>
    <w:p w14:paraId="1859B02E" w14:textId="77777777" w:rsidR="007D2CB6" w:rsidRDefault="00734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Vyšší moc</w:t>
      </w:r>
    </w:p>
    <w:p w14:paraId="43C8A230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Za vyšší moc je pro účely této smlouvy považována každá událost nezávislá na vůli stran, která znemožňuje plnění smluvních závazků a kterou </w:t>
      </w:r>
      <w:r>
        <w:rPr>
          <w:rFonts w:ascii="Calibri" w:eastAsia="Calibri" w:hAnsi="Calibri" w:cs="Calibri"/>
          <w:color w:val="000000"/>
        </w:rPr>
        <w:t>nebylo možno předvídat v době vzniku této smlouvy. Za vyšší moc se z hlediska této smlouvy považuje zejména přírodní katastrofa, požár, výbuch, silná vichřice, zemětřesení, hromadný výpadek elektřiny, záplavy, válka, stávka nebo jiné události, které jsou mimo jakoukoliv kontrolu smluvních stran zejména, mají-li tyto vliv na funkčnost přístupu k doméně.</w:t>
      </w:r>
    </w:p>
    <w:p w14:paraId="0302DE3D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Po dobu trvání vyšší moci se plnění závazků podle této smlouvy pozastavuje do doby odstranění následků výši moci.</w:t>
      </w:r>
    </w:p>
    <w:p w14:paraId="201472A0" w14:textId="77777777" w:rsidR="007D2CB6" w:rsidRDefault="00734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Rozhodné právo</w:t>
      </w:r>
    </w:p>
    <w:p w14:paraId="4B7E1AE6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Tato smlouva se řídí právním řádem České republiky, zejména zákonem č. 89/2012 Sb., občanský zákoník, ve znění pozdějších předpisů (dále jen „</w:t>
      </w:r>
      <w:r>
        <w:rPr>
          <w:rFonts w:ascii="Calibri" w:eastAsia="Calibri" w:hAnsi="Calibri" w:cs="Calibri"/>
          <w:b/>
          <w:color w:val="000000"/>
        </w:rPr>
        <w:t>občanský zákoník</w:t>
      </w:r>
      <w:r>
        <w:rPr>
          <w:rFonts w:ascii="Calibri" w:eastAsia="Calibri" w:hAnsi="Calibri" w:cs="Calibri"/>
          <w:color w:val="000000"/>
        </w:rPr>
        <w:t>“).</w:t>
      </w:r>
    </w:p>
    <w:p w14:paraId="3FDAD1EE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 xml:space="preserve">Odpovědnost smluvních stran za škodu se řídí občanským zákoníkem, zejména </w:t>
      </w:r>
      <w:proofErr w:type="spellStart"/>
      <w:r>
        <w:rPr>
          <w:rFonts w:ascii="Calibri" w:eastAsia="Calibri" w:hAnsi="Calibri" w:cs="Calibri"/>
          <w:color w:val="000000"/>
        </w:rPr>
        <w:t>ust</w:t>
      </w:r>
      <w:proofErr w:type="spellEnd"/>
      <w:r>
        <w:rPr>
          <w:rFonts w:ascii="Calibri" w:eastAsia="Calibri" w:hAnsi="Calibri" w:cs="Calibri"/>
          <w:color w:val="000000"/>
        </w:rPr>
        <w:t>. § 2913 tohoto zákona.</w:t>
      </w:r>
    </w:p>
    <w:p w14:paraId="48B47246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V případě vzniku sporů si z této smlouvy si smluvní strany sjednávají, že veškeré spory budou příslušné řešit české soudy.</w:t>
      </w:r>
    </w:p>
    <w:p w14:paraId="4D90C6F6" w14:textId="77777777" w:rsidR="007D2CB6" w:rsidRDefault="0073471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b/>
          <w:color w:val="000000"/>
        </w:rPr>
        <w:t>Závěrečná ustanovení</w:t>
      </w:r>
    </w:p>
    <w:p w14:paraId="462DBBE9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Smluvní strany se zavazují poskytnout si vzájemně veškerou potřebnou součinnost a podklady pro zajištění bezproblémové a efektivní realizace této smlouvy, a to zejména v případě jednání s Úřadem na ochranu osobních údajů nebo s jinými veřejnoprávními orgány.</w:t>
      </w:r>
    </w:p>
    <w:p w14:paraId="638EACBD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Tato smlouva představuje úplné ujednání mezi smluvními stranami ve vztahu k předmětu této smlouvy.</w:t>
      </w:r>
    </w:p>
    <w:p w14:paraId="7385B95B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lastRenderedPageBreak/>
        <w:t xml:space="preserve">Tato smlouva může být </w:t>
      </w:r>
      <w:r>
        <w:rPr>
          <w:rFonts w:ascii="Calibri" w:eastAsia="Calibri" w:hAnsi="Calibri" w:cs="Calibri"/>
          <w:color w:val="000000"/>
        </w:rPr>
        <w:t>měněna nebo doplňována písemnými dodatky podepsanými všemi smluvními stranami.</w:t>
      </w:r>
    </w:p>
    <w:p w14:paraId="6C24CB12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Tato smlouva je vyhotovena ve 2 stejnopisech. Každá smluvní strana obdrží 1 stejnopis.</w:t>
      </w:r>
    </w:p>
    <w:p w14:paraId="5A8F6AD9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Každá ze smluvních stran nese své vlastní náklady vzniklé v důsledku uzavírání této smlouvy.</w:t>
      </w:r>
    </w:p>
    <w:p w14:paraId="4B02E3AB" w14:textId="77777777" w:rsidR="007D2CB6" w:rsidRDefault="0073471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567" w:hanging="567"/>
        <w:jc w:val="both"/>
      </w:pPr>
      <w:r>
        <w:rPr>
          <w:rFonts w:ascii="Calibri" w:eastAsia="Calibri" w:hAnsi="Calibri" w:cs="Calibri"/>
          <w:color w:val="000000"/>
        </w:rPr>
        <w:t>Tato smlouva nabývá platnosti a účinnosti v okamžiku jejího podpisu všemi smluvními stranami.</w:t>
      </w:r>
    </w:p>
    <w:p w14:paraId="48E4F2FC" w14:textId="77777777" w:rsidR="007D2CB6" w:rsidRDefault="007D2CB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240" w:after="240" w:line="276" w:lineRule="auto"/>
        <w:ind w:left="566" w:hanging="566"/>
        <w:rPr>
          <w:rFonts w:ascii="Calibri" w:eastAsia="Calibri" w:hAnsi="Calibri" w:cs="Calibri"/>
          <w:color w:val="000000"/>
        </w:rPr>
      </w:pPr>
    </w:p>
    <w:p w14:paraId="124A7B8D" w14:textId="77777777" w:rsidR="007D2CB6" w:rsidRDefault="00734718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240" w:after="240" w:line="276" w:lineRule="auto"/>
        <w:ind w:left="566" w:hanging="56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Podpisy:</w:t>
      </w:r>
    </w:p>
    <w:tbl>
      <w:tblPr>
        <w:tblStyle w:val="a0"/>
        <w:tblW w:w="9356" w:type="dxa"/>
        <w:tblInd w:w="56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54"/>
        <w:gridCol w:w="142"/>
        <w:gridCol w:w="249"/>
        <w:gridCol w:w="236"/>
        <w:gridCol w:w="4475"/>
      </w:tblGrid>
      <w:tr w:rsidR="007D2CB6" w14:paraId="00F4B472" w14:textId="77777777">
        <w:trPr>
          <w:trHeight w:val="685"/>
        </w:trPr>
        <w:tc>
          <w:tcPr>
            <w:tcW w:w="4396" w:type="dxa"/>
            <w:gridSpan w:val="2"/>
          </w:tcPr>
          <w:p w14:paraId="4E728712" w14:textId="77777777" w:rsidR="007D2CB6" w:rsidRDefault="007347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ind w:left="566" w:hanging="566"/>
              <w:jc w:val="center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</w:rPr>
              <w:t>Náměšť na Hané, datum dle el. podpisu</w:t>
            </w:r>
          </w:p>
        </w:tc>
        <w:tc>
          <w:tcPr>
            <w:tcW w:w="249" w:type="dxa"/>
          </w:tcPr>
          <w:p w14:paraId="1AB495E2" w14:textId="77777777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6" w:type="dxa"/>
          </w:tcPr>
          <w:p w14:paraId="1CE6B880" w14:textId="77777777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475" w:type="dxa"/>
          </w:tcPr>
          <w:p w14:paraId="5A40BF38" w14:textId="77777777" w:rsidR="007D2CB6" w:rsidRDefault="007347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Brno, datum dle el. podpisu</w:t>
            </w:r>
          </w:p>
        </w:tc>
      </w:tr>
      <w:tr w:rsidR="007D2CB6" w14:paraId="79E425BD" w14:textId="77777777">
        <w:trPr>
          <w:trHeight w:val="336"/>
        </w:trPr>
        <w:tc>
          <w:tcPr>
            <w:tcW w:w="4254" w:type="dxa"/>
            <w:tcBorders>
              <w:bottom w:val="single" w:sz="4" w:space="0" w:color="000000"/>
            </w:tcBorders>
          </w:tcPr>
          <w:p w14:paraId="46BB1882" w14:textId="77777777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391" w:type="dxa"/>
            <w:gridSpan w:val="2"/>
          </w:tcPr>
          <w:p w14:paraId="12A81BAE" w14:textId="77777777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6" w:type="dxa"/>
            <w:tcBorders>
              <w:bottom w:val="single" w:sz="4" w:space="0" w:color="000000"/>
            </w:tcBorders>
          </w:tcPr>
          <w:p w14:paraId="563AA918" w14:textId="77777777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475" w:type="dxa"/>
            <w:tcBorders>
              <w:bottom w:val="single" w:sz="4" w:space="0" w:color="000000"/>
            </w:tcBorders>
          </w:tcPr>
          <w:p w14:paraId="2375D11E" w14:textId="77777777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240" w:after="240" w:line="276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D2CB6" w14:paraId="7D180820" w14:textId="77777777">
        <w:trPr>
          <w:trHeight w:val="306"/>
        </w:trPr>
        <w:tc>
          <w:tcPr>
            <w:tcW w:w="4396" w:type="dxa"/>
            <w:gridSpan w:val="2"/>
            <w:tcBorders>
              <w:top w:val="single" w:sz="4" w:space="0" w:color="000000"/>
            </w:tcBorders>
          </w:tcPr>
          <w:p w14:paraId="4088CC8E" w14:textId="1864EB4B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9" w:type="dxa"/>
          </w:tcPr>
          <w:p w14:paraId="5B1C3807" w14:textId="77777777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6" w:type="dxa"/>
            <w:tcBorders>
              <w:top w:val="single" w:sz="4" w:space="0" w:color="000000"/>
            </w:tcBorders>
          </w:tcPr>
          <w:p w14:paraId="649E5994" w14:textId="77777777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475" w:type="dxa"/>
            <w:tcBorders>
              <w:top w:val="single" w:sz="4" w:space="0" w:color="000000"/>
            </w:tcBorders>
          </w:tcPr>
          <w:p w14:paraId="29DF7854" w14:textId="1A9D1D6C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D2CB6" w14:paraId="45B20CBC" w14:textId="77777777">
        <w:trPr>
          <w:trHeight w:val="243"/>
        </w:trPr>
        <w:tc>
          <w:tcPr>
            <w:tcW w:w="4396" w:type="dxa"/>
            <w:gridSpan w:val="2"/>
          </w:tcPr>
          <w:p w14:paraId="1DFCBD1F" w14:textId="706FBC9D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49" w:type="dxa"/>
          </w:tcPr>
          <w:p w14:paraId="03F00DBB" w14:textId="77777777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36" w:type="dxa"/>
          </w:tcPr>
          <w:p w14:paraId="2B4B6CA4" w14:textId="77777777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475" w:type="dxa"/>
          </w:tcPr>
          <w:p w14:paraId="0793A1C7" w14:textId="519657CF" w:rsidR="007D2CB6" w:rsidRDefault="007D2C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5A9F6009" w14:textId="77777777" w:rsidR="007D2CB6" w:rsidRDefault="007D2CB6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  <w:sectPr w:rsidR="007D2CB6">
          <w:footerReference w:type="default" r:id="rId10"/>
          <w:pgSz w:w="11906" w:h="16838"/>
          <w:pgMar w:top="1417" w:right="991" w:bottom="851" w:left="993" w:header="708" w:footer="708" w:gutter="0"/>
          <w:pgNumType w:start="1"/>
          <w:cols w:space="708"/>
        </w:sectPr>
      </w:pPr>
    </w:p>
    <w:p w14:paraId="2F342E02" w14:textId="77777777" w:rsidR="007D2CB6" w:rsidRDefault="00734718">
      <w:pPr>
        <w:pageBreakBefore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142"/>
        <w:jc w:val="both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>Příloha č. 1 – Specifikace služeb</w:t>
      </w:r>
    </w:p>
    <w:p w14:paraId="7FD5DC6A" w14:textId="33A3ED34" w:rsidR="007D2CB6" w:rsidRDefault="007347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14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PREMIUM SLUŽBA – Virtuální asistent </w:t>
      </w:r>
      <w:r w:rsidR="00E6528D">
        <w:rPr>
          <w:rFonts w:ascii="Calibri" w:eastAsia="Calibri" w:hAnsi="Calibri" w:cs="Calibri"/>
          <w:b/>
          <w:color w:val="000000"/>
        </w:rPr>
        <w:t>domova – chatbot</w:t>
      </w:r>
    </w:p>
    <w:p w14:paraId="4A75B89B" w14:textId="77777777" w:rsidR="007D2CB6" w:rsidRDefault="00734718" w:rsidP="00E6528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Rozsah služby</w:t>
      </w:r>
    </w:p>
    <w:p w14:paraId="2137F3F1" w14:textId="77777777" w:rsidR="007D2CB6" w:rsidRDefault="0073471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pro klienta zajistí </w:t>
      </w:r>
      <w:r>
        <w:rPr>
          <w:rFonts w:ascii="Calibri" w:eastAsia="Calibri" w:hAnsi="Calibri" w:cs="Calibri"/>
        </w:rPr>
        <w:t xml:space="preserve">provoz </w:t>
      </w:r>
      <w:r>
        <w:rPr>
          <w:rFonts w:ascii="Calibri" w:eastAsia="Calibri" w:hAnsi="Calibri" w:cs="Calibri"/>
          <w:color w:val="000000"/>
        </w:rPr>
        <w:t>technologie virtuálního asistenta v podobě chatbota, se kterým budou moci návštěvníci prostředí aktivně komunikovat („</w:t>
      </w:r>
      <w:r>
        <w:rPr>
          <w:rFonts w:ascii="Calibri" w:eastAsia="Calibri" w:hAnsi="Calibri" w:cs="Calibri"/>
          <w:b/>
          <w:color w:val="000000"/>
        </w:rPr>
        <w:t>Chatbot</w:t>
      </w:r>
      <w:r>
        <w:rPr>
          <w:rFonts w:ascii="Calibri" w:eastAsia="Calibri" w:hAnsi="Calibri" w:cs="Calibri"/>
          <w:color w:val="000000"/>
        </w:rPr>
        <w:t>“).</w:t>
      </w:r>
    </w:p>
    <w:p w14:paraId="7A963206" w14:textId="77777777" w:rsidR="007D2CB6" w:rsidRDefault="0073471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bookmarkStart w:id="1" w:name="_heading=h.30j0zll" w:colFirst="0" w:colLast="0"/>
      <w:bookmarkEnd w:id="1"/>
      <w:r>
        <w:rPr>
          <w:rFonts w:ascii="Calibri" w:eastAsia="Calibri" w:hAnsi="Calibri" w:cs="Calibri"/>
          <w:color w:val="000000"/>
        </w:rPr>
        <w:t>Poskytování služby bude mít následující parametry:</w:t>
      </w:r>
    </w:p>
    <w:p w14:paraId="6F0A0956" w14:textId="77777777" w:rsidR="007D2CB6" w:rsidRDefault="0073471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V rámci služby bude zajištěn provoz AIKB (AI </w:t>
      </w:r>
      <w:proofErr w:type="spellStart"/>
      <w:r>
        <w:rPr>
          <w:rFonts w:ascii="Calibri" w:eastAsia="Calibri" w:hAnsi="Calibri" w:cs="Calibri"/>
          <w:color w:val="000000"/>
        </w:rPr>
        <w:t>Knowledge</w:t>
      </w:r>
      <w:proofErr w:type="spellEnd"/>
      <w:r>
        <w:rPr>
          <w:rFonts w:ascii="Calibri" w:eastAsia="Calibri" w:hAnsi="Calibri" w:cs="Calibri"/>
          <w:color w:val="000000"/>
        </w:rPr>
        <w:t xml:space="preserve"> Base) s databází max. 10 milionu znaků (cca 10 MB čistého textu);</w:t>
      </w:r>
    </w:p>
    <w:p w14:paraId="6F151D81" w14:textId="77777777" w:rsidR="007D2CB6" w:rsidRDefault="0073471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Základní kapacita Chatbota bude 2.000 dotazů (</w:t>
      </w:r>
      <w:proofErr w:type="spellStart"/>
      <w:r>
        <w:rPr>
          <w:rFonts w:ascii="Calibri" w:eastAsia="Calibri" w:hAnsi="Calibri" w:cs="Calibri"/>
          <w:color w:val="000000"/>
        </w:rPr>
        <w:t>queries</w:t>
      </w:r>
      <w:proofErr w:type="spellEnd"/>
      <w:r>
        <w:rPr>
          <w:rFonts w:ascii="Calibri" w:eastAsia="Calibri" w:hAnsi="Calibri" w:cs="Calibri"/>
          <w:color w:val="000000"/>
        </w:rPr>
        <w:t>) měsíčně;</w:t>
      </w:r>
    </w:p>
    <w:p w14:paraId="1819C20C" w14:textId="77777777" w:rsidR="007D2CB6" w:rsidRDefault="0073471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Klientovi bude zprovozněno testovací prostředí pro využití jeho personálem.</w:t>
      </w:r>
    </w:p>
    <w:p w14:paraId="2F35F44B" w14:textId="77777777" w:rsidR="007D2CB6" w:rsidRDefault="0073471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Poskytovatel bude zároveň poskytovat klientovi následující průběžné služby:</w:t>
      </w:r>
    </w:p>
    <w:p w14:paraId="43E9A1FC" w14:textId="77777777" w:rsidR="007D2CB6" w:rsidRDefault="0073471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120" w:line="264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Analytika, využití chatbota, čerpání dotazů v čase na vyžádání klientem.</w:t>
      </w:r>
    </w:p>
    <w:p w14:paraId="74F817FC" w14:textId="77777777" w:rsidR="007D2CB6" w:rsidRDefault="00734718" w:rsidP="00E6528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Technická podpora</w:t>
      </w:r>
    </w:p>
    <w:p w14:paraId="6CBD1DC6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se zavazuje odstraňovat kritické chyby služby, tj. takové chyby, </w:t>
      </w:r>
      <w:r>
        <w:rPr>
          <w:rFonts w:ascii="Calibri" w:eastAsia="Calibri" w:hAnsi="Calibri" w:cs="Calibri"/>
          <w:color w:val="000000"/>
        </w:rPr>
        <w:t>díky kterým není služba v rámci prostředí dostupná. Tyto chyby budou poskytovateli nahlašovány skrze technickou podporu.</w:t>
      </w:r>
    </w:p>
    <w:p w14:paraId="2E2C1F41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Poskytovatel se zavazuje poskytovat klientovi technickou podporu v následující kvalitě:</w:t>
      </w:r>
    </w:p>
    <w:p w14:paraId="6DB7D0DC" w14:textId="77777777" w:rsidR="007D2CB6" w:rsidRDefault="00734718" w:rsidP="00E6528D">
      <w:pPr>
        <w:numPr>
          <w:ilvl w:val="2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Technická podpora je dostupná v pracovních dnech od 9:00 – 15:00;</w:t>
      </w:r>
    </w:p>
    <w:p w14:paraId="3FD4765E" w14:textId="72A35856" w:rsidR="007D2CB6" w:rsidRDefault="00734718" w:rsidP="00E6528D">
      <w:pPr>
        <w:numPr>
          <w:ilvl w:val="2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 xml:space="preserve">Technickou podporu je možné kontaktovat emailem na adrese </w:t>
      </w:r>
    </w:p>
    <w:p w14:paraId="54CDC419" w14:textId="77777777" w:rsidR="007D2CB6" w:rsidRDefault="00734718" w:rsidP="00E6528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b/>
          <w:color w:val="000000"/>
        </w:rPr>
        <w:t>Odměna, milníky</w:t>
      </w:r>
    </w:p>
    <w:p w14:paraId="74E8C5A6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3543"/>
        <w:jc w:val="both"/>
      </w:pPr>
      <w:r>
        <w:rPr>
          <w:rFonts w:ascii="Calibri" w:eastAsia="Calibri" w:hAnsi="Calibri" w:cs="Calibri"/>
          <w:color w:val="000000"/>
        </w:rPr>
        <w:t>Cena za službu činí 2500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000000"/>
        </w:rPr>
        <w:t xml:space="preserve">- bez DPH měsíčně. </w:t>
      </w:r>
    </w:p>
    <w:p w14:paraId="20F377F4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 xml:space="preserve">Platební interval 6 měsíců / 12 měsíců dle dohody. </w:t>
      </w:r>
    </w:p>
    <w:p w14:paraId="374D8EDA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V případě změny parametrů stanovených v odst. 1.2 této Přílohy se mění cena následovně:</w:t>
      </w:r>
    </w:p>
    <w:p w14:paraId="356E186A" w14:textId="77777777" w:rsidR="007D2CB6" w:rsidRDefault="00734718" w:rsidP="00E6528D">
      <w:pPr>
        <w:numPr>
          <w:ilvl w:val="2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500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000000"/>
        </w:rPr>
        <w:t xml:space="preserve">- bez DPH </w:t>
      </w:r>
      <w:r>
        <w:rPr>
          <w:rFonts w:ascii="Calibri" w:eastAsia="Calibri" w:hAnsi="Calibri" w:cs="Calibri"/>
          <w:color w:val="000000"/>
        </w:rPr>
        <w:t>měsíčně za každých 1000 dotazů měsíčně nad rámec základní kapacity.</w:t>
      </w:r>
    </w:p>
    <w:p w14:paraId="5BAB5E77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Klient může požádat poskytovatele o navýšení parametrů kdykoliv v průběhu poskytování služby. V případě, že navýšení parametrů je možné, potvrdí poskytovatel toto navýšení a toto navýšení bude účinné od příštího měsíčního či ročního období. V případě, že bude poskytovatel mít zájem </w:t>
      </w:r>
      <w:r>
        <w:rPr>
          <w:rFonts w:ascii="Calibri" w:eastAsia="Calibri" w:hAnsi="Calibri" w:cs="Calibri"/>
          <w:color w:val="000000"/>
        </w:rPr>
        <w:lastRenderedPageBreak/>
        <w:t xml:space="preserve">o okamžité navýšení, vystaví poskytovatel klientovi fakturu na cenu, o kterou se navýší celková cena služby za poměrnou část do konce běžícího měsíčního či ročního období. </w:t>
      </w:r>
    </w:p>
    <w:p w14:paraId="5853F1C4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Klient může požádat poskytovatele o snížení parametrů kdykoliv v průběhu poskytování služby. V takovém případě je změna parametrů účinná od příštího měsíčního či ročního období.</w:t>
      </w:r>
    </w:p>
    <w:p w14:paraId="276ED3AE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bookmarkStart w:id="2" w:name="_heading=h.1fob9te" w:colFirst="0" w:colLast="0"/>
      <w:bookmarkEnd w:id="2"/>
      <w:r>
        <w:rPr>
          <w:rFonts w:ascii="Calibri" w:eastAsia="Calibri" w:hAnsi="Calibri" w:cs="Calibri"/>
          <w:color w:val="000000"/>
        </w:rPr>
        <w:t xml:space="preserve">Poskytovatel započne s plněním služby ve lhůtě 30 dnů od uzavření smlouvy. </w:t>
      </w:r>
    </w:p>
    <w:p w14:paraId="61BB8E21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Klient se zavazuje poskytnout Poskytovateli při poskytování služby veškerou nezbytnou součinnost. V případě neposkytnutí součinnosti se lhůta dle odst. 3.5 této přílohy prodlužuje o dobu prodlení se součinností. </w:t>
      </w:r>
    </w:p>
    <w:p w14:paraId="7348729C" w14:textId="77777777" w:rsidR="007D2CB6" w:rsidRDefault="00734718" w:rsidP="00E6528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Licence</w:t>
      </w:r>
    </w:p>
    <w:p w14:paraId="3D61B6B8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Patenty, užitné vzory, práva k vynálezům, autorská práva a práva související s autorským právem, ochranné známky, užitné vzory, obchodní jména, doménová jména, goodwill, práva na podání žaloby proti nekalé soutěži, průmyslové vzory, databázová práva, práva užít a chránit důvěrné informace (včetně know-how a obchodních tajemství) a veškeré ostatní duševní vlastnictví, ať už registrované či neregistrované („</w:t>
      </w:r>
      <w:r>
        <w:rPr>
          <w:rFonts w:ascii="Calibri" w:eastAsia="Calibri" w:hAnsi="Calibri" w:cs="Calibri"/>
          <w:b/>
          <w:color w:val="000000"/>
        </w:rPr>
        <w:t>práva k duševnímu vlastnictví</w:t>
      </w:r>
      <w:r>
        <w:rPr>
          <w:rFonts w:ascii="Calibri" w:eastAsia="Calibri" w:hAnsi="Calibri" w:cs="Calibri"/>
          <w:color w:val="000000"/>
        </w:rPr>
        <w:t>“), které je součástí služby, je a zůstává vlastnictvím poskytovatele a poskytovatel si vyhrazuje právo udělit licenci k takovému duševními vlastnictví jakékoliv třetí straně. Jakýkoliv obsah, který bude poskytnut poskytovatelem klientovi a který je způsobilý být chráněn právy k duševnímu vlastnictví („</w:t>
      </w:r>
      <w:r>
        <w:rPr>
          <w:rFonts w:ascii="Calibri" w:eastAsia="Calibri" w:hAnsi="Calibri" w:cs="Calibri"/>
          <w:b/>
          <w:color w:val="000000"/>
        </w:rPr>
        <w:t>licencovaný obsah</w:t>
      </w:r>
      <w:r>
        <w:rPr>
          <w:rFonts w:ascii="Calibri" w:eastAsia="Calibri" w:hAnsi="Calibri" w:cs="Calibri"/>
          <w:color w:val="000000"/>
        </w:rPr>
        <w:t>“) zůstává výhradně poskytovateli (či příslušným držitelům práv) a klient tak nezískává jakákoliv jiná práva k takovému licencovanému obsahu, než ta výslovně uved</w:t>
      </w:r>
      <w:r>
        <w:rPr>
          <w:rFonts w:ascii="Calibri" w:eastAsia="Calibri" w:hAnsi="Calibri" w:cs="Calibri"/>
          <w:color w:val="000000"/>
        </w:rPr>
        <w:t>ená v této příloze.</w:t>
      </w:r>
    </w:p>
    <w:p w14:paraId="68AB87FC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k Chatbotovi poskytuje klientovi odvolatelnou, nevýhradní, nepřevoditelnou, nepostupitelnou, místně neomezenou a časově omezenou licenci, a to výhradně k jeho provozování v rámci prostředí v souladu s podmínkami stanovenými ve smlouvě a této příloze. Omezená licence nezahrnuje jakákoliv zde přímo neuvedená práva. </w:t>
      </w:r>
    </w:p>
    <w:p w14:paraId="178CB1E8" w14:textId="77777777" w:rsidR="007D2CB6" w:rsidRDefault="00734718" w:rsidP="00E6528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Odpovědnost poskytovatele</w:t>
      </w:r>
    </w:p>
    <w:p w14:paraId="0B91BF37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Klient bere na vědomí, že poskytovatel nemá plnou kontrolu nad výstupy, které Chatbot prezentuje uživatelům v rámci prostředí, zejména pak nad jejich tónem, správností nebo vhodností pro daný účel. Chatbot je novou a částečně nezávislou technologií založenou na strojovém učení, která má sloužit pouze jako pomůcka uživatelům a ulehčení činnosti pro klienta, nikoli jako náhrada činnosti klienta nebo nezbytného odborného posouzení. Z tohoto důvodu poskytovatel v nejširší možné míře vylučuje svou odpovědnost, k</w:t>
      </w:r>
      <w:r>
        <w:rPr>
          <w:rFonts w:ascii="Calibri" w:eastAsia="Calibri" w:hAnsi="Calibri" w:cs="Calibri"/>
          <w:color w:val="000000"/>
        </w:rPr>
        <w:t xml:space="preserve">terá by mohla vyplývávat z provozu Chatbota, a to jak vůči klientovi, tak vůči uživatelům a návštěvníkům prostředí. </w:t>
      </w:r>
    </w:p>
    <w:p w14:paraId="716161B7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Při poskytování služeb poskytovatel cílí na co největší dostupnost – není však možné zaručit, že služby budou dostupné nepřetržitě a bez výpadků. Poskytovatel je především oprávněn provádět plánované odstávky serveru a ostatního vybavení, prostřednictvím kterých je služba provozována </w:t>
      </w:r>
      <w:r>
        <w:rPr>
          <w:rFonts w:ascii="Calibri" w:eastAsia="Calibri" w:hAnsi="Calibri" w:cs="Calibri"/>
          <w:color w:val="000000"/>
        </w:rPr>
        <w:lastRenderedPageBreak/>
        <w:t>a poskytována. Stejně tak poskytovatel nemůže ovlivnit fungování služeb třetích stran, na kterých je služba založena (poskytovatelé připojení internetu, hostingu, jazykového modelu apod.) V průběhu odstávek či nedostupností služeb třetích stran může být služba nedostupná.</w:t>
      </w:r>
    </w:p>
    <w:p w14:paraId="3FEEA749" w14:textId="77777777" w:rsidR="007D2CB6" w:rsidRDefault="00734718" w:rsidP="00E6528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Zpracování osobních údajů</w:t>
      </w:r>
    </w:p>
    <w:p w14:paraId="41947476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V rámci poskytování služeb bude poskytovatel pro klienta provádět zpracování osobních údajů ve smyslu čl. 6 smlouvy.</w:t>
      </w:r>
    </w:p>
    <w:p w14:paraId="77449DA4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Účelem zpracování osobních údajů je poskytování služby Chatbota. </w:t>
      </w:r>
    </w:p>
    <w:p w14:paraId="1E60A76C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Osobní údaje budou zpracovávány po dobu poskytování služby. </w:t>
      </w:r>
    </w:p>
    <w:p w14:paraId="7D03A409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Poskytovatel bude pro klienta zpracovávat osobní údaje o následujících kategoriích subjektů údajů:</w:t>
      </w:r>
    </w:p>
    <w:p w14:paraId="0FB8EA41" w14:textId="77777777" w:rsidR="007D2CB6" w:rsidRDefault="00734718" w:rsidP="00E6528D">
      <w:pPr>
        <w:numPr>
          <w:ilvl w:val="2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návštěvníci prostředí;</w:t>
      </w:r>
    </w:p>
    <w:p w14:paraId="43FF7231" w14:textId="77777777" w:rsidR="007D2CB6" w:rsidRDefault="00734718" w:rsidP="00E6528D">
      <w:pPr>
        <w:numPr>
          <w:ilvl w:val="2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zákazníci klienta.</w:t>
      </w:r>
    </w:p>
    <w:p w14:paraId="39CC8C94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Poskytovatel bude pro klienta zpracovávat následující kategorie osobních údajů:</w:t>
      </w:r>
    </w:p>
    <w:p w14:paraId="7739EE3E" w14:textId="77777777" w:rsidR="007D2CB6" w:rsidRDefault="00734718" w:rsidP="00E6528D">
      <w:pPr>
        <w:numPr>
          <w:ilvl w:val="2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kontaktní údaje;</w:t>
      </w:r>
    </w:p>
    <w:p w14:paraId="0475B09F" w14:textId="77777777" w:rsidR="007D2CB6" w:rsidRDefault="00734718" w:rsidP="00E6528D">
      <w:pPr>
        <w:numPr>
          <w:ilvl w:val="2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identifikační údaje;</w:t>
      </w:r>
    </w:p>
    <w:p w14:paraId="32056D0C" w14:textId="77777777" w:rsidR="007D2CB6" w:rsidRDefault="00734718" w:rsidP="00E6528D">
      <w:pPr>
        <w:numPr>
          <w:ilvl w:val="2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údaje o </w:t>
      </w:r>
      <w:r>
        <w:rPr>
          <w:rFonts w:ascii="Calibri" w:eastAsia="Calibri" w:hAnsi="Calibri" w:cs="Calibri"/>
          <w:color w:val="000000"/>
        </w:rPr>
        <w:t>způsobu užívání služby;</w:t>
      </w:r>
    </w:p>
    <w:p w14:paraId="1535426C" w14:textId="77777777" w:rsidR="007D2CB6" w:rsidRDefault="00734718" w:rsidP="00E6528D">
      <w:pPr>
        <w:numPr>
          <w:ilvl w:val="2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údaje o zařízení klienta.</w:t>
      </w:r>
    </w:p>
    <w:p w14:paraId="3741F3A4" w14:textId="77777777" w:rsidR="007D2CB6" w:rsidRDefault="00734718" w:rsidP="00E6528D">
      <w:pPr>
        <w:numPr>
          <w:ilvl w:val="1"/>
          <w:numId w:val="4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pro zpracování osobních údajů využívá následující </w:t>
      </w:r>
      <w:proofErr w:type="spellStart"/>
      <w:r>
        <w:rPr>
          <w:rFonts w:ascii="Calibri" w:eastAsia="Calibri" w:hAnsi="Calibri" w:cs="Calibri"/>
          <w:color w:val="000000"/>
        </w:rPr>
        <w:t>podzpracovatele</w:t>
      </w:r>
      <w:proofErr w:type="spellEnd"/>
      <w:r>
        <w:rPr>
          <w:rFonts w:ascii="Calibri" w:eastAsia="Calibri" w:hAnsi="Calibri" w:cs="Calibri"/>
          <w:color w:val="000000"/>
        </w:rPr>
        <w:t>:</w:t>
      </w:r>
    </w:p>
    <w:p w14:paraId="782C9C36" w14:textId="77777777" w:rsidR="007D2CB6" w:rsidRDefault="00734718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left="720" w:right="-142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OpenAi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OpCo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OpenAI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Ireland</w:t>
      </w:r>
      <w:proofErr w:type="spellEnd"/>
      <w:r>
        <w:rPr>
          <w:rFonts w:ascii="Calibri" w:eastAsia="Calibri" w:hAnsi="Calibri" w:cs="Calibri"/>
          <w:color w:val="000000"/>
        </w:rPr>
        <w:t xml:space="preserve"> Ltd, </w:t>
      </w:r>
      <w:proofErr w:type="spellStart"/>
      <w:r>
        <w:rPr>
          <w:rFonts w:ascii="Calibri" w:eastAsia="Calibri" w:hAnsi="Calibri" w:cs="Calibri"/>
          <w:color w:val="000000"/>
        </w:rPr>
        <w:t>Sheriff</w:t>
      </w:r>
      <w:proofErr w:type="spellEnd"/>
      <w:r>
        <w:rPr>
          <w:rFonts w:ascii="Calibri" w:eastAsia="Calibri" w:hAnsi="Calibri" w:cs="Calibri"/>
          <w:color w:val="000000"/>
        </w:rPr>
        <w:t xml:space="preserve"> Street </w:t>
      </w:r>
      <w:proofErr w:type="spellStart"/>
      <w:r>
        <w:rPr>
          <w:rFonts w:ascii="Calibri" w:eastAsia="Calibri" w:hAnsi="Calibri" w:cs="Calibri"/>
          <w:color w:val="000000"/>
        </w:rPr>
        <w:t>Upper</w:t>
      </w:r>
      <w:proofErr w:type="spellEnd"/>
      <w:r>
        <w:rPr>
          <w:rFonts w:ascii="Calibri" w:eastAsia="Calibri" w:hAnsi="Calibri" w:cs="Calibri"/>
          <w:color w:val="000000"/>
        </w:rPr>
        <w:t xml:space="preserve">, Dublin 1, D01 YC43, </w:t>
      </w:r>
      <w:proofErr w:type="spellStart"/>
      <w:r>
        <w:rPr>
          <w:rFonts w:ascii="Calibri" w:eastAsia="Calibri" w:hAnsi="Calibri" w:cs="Calibri"/>
          <w:color w:val="000000"/>
        </w:rPr>
        <w:t>Ireland</w:t>
      </w:r>
      <w:proofErr w:type="spellEnd"/>
      <w:r>
        <w:rPr>
          <w:rFonts w:ascii="Calibri" w:eastAsia="Calibri" w:hAnsi="Calibri" w:cs="Calibri"/>
          <w:color w:val="000000"/>
        </w:rPr>
        <w:t xml:space="preserve">, and CN: 737350, </w:t>
      </w:r>
      <w:proofErr w:type="spellStart"/>
      <w:r>
        <w:rPr>
          <w:rFonts w:ascii="Calibri" w:eastAsia="Calibri" w:hAnsi="Calibri" w:cs="Calibri"/>
          <w:color w:val="000000"/>
        </w:rPr>
        <w:t>Subprocessors</w:t>
      </w:r>
      <w:proofErr w:type="spellEnd"/>
      <w:r>
        <w:rPr>
          <w:rFonts w:ascii="Calibri" w:eastAsia="Calibri" w:hAnsi="Calibri" w:cs="Calibri"/>
          <w:color w:val="000000"/>
        </w:rPr>
        <w:t xml:space="preserve">: </w:t>
      </w:r>
      <w:hyperlink r:id="rId11">
        <w:r>
          <w:rPr>
            <w:rFonts w:ascii="Calibri" w:eastAsia="Calibri" w:hAnsi="Calibri" w:cs="Calibri"/>
            <w:color w:val="0000FF"/>
            <w:u w:val="single"/>
          </w:rPr>
          <w:t>https://platform.openai.com/subprocessors</w:t>
        </w:r>
      </w:hyperlink>
    </w:p>
    <w:p w14:paraId="6271C850" w14:textId="77777777" w:rsidR="007D2CB6" w:rsidRDefault="00734718">
      <w:pPr>
        <w:ind w:right="-142"/>
        <w:jc w:val="both"/>
        <w:rPr>
          <w:rFonts w:ascii="Calibri" w:eastAsia="Calibri" w:hAnsi="Calibri" w:cs="Calibri"/>
          <w:highlight w:val="cyan"/>
        </w:rPr>
      </w:pPr>
      <w:r>
        <w:br w:type="page"/>
      </w:r>
    </w:p>
    <w:p w14:paraId="421E9947" w14:textId="77777777" w:rsidR="007D2CB6" w:rsidRDefault="00734718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142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 xml:space="preserve">PREMIUM SLUŽBA – Nový systém žádostí – interaktivní formulář </w:t>
      </w:r>
    </w:p>
    <w:p w14:paraId="2AEB0812" w14:textId="77777777" w:rsidR="007D2CB6" w:rsidRDefault="007347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Rozsah služby</w:t>
      </w:r>
    </w:p>
    <w:p w14:paraId="15A154C3" w14:textId="77777777" w:rsidR="007D2CB6" w:rsidRDefault="0073471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pro klienta zajistí nasazení technologie </w:t>
      </w:r>
      <w:r>
        <w:rPr>
          <w:rFonts w:ascii="Calibri" w:eastAsia="Calibri" w:hAnsi="Calibri" w:cs="Calibri"/>
          <w:color w:val="000000"/>
        </w:rPr>
        <w:t>zjednodušení přijímání a zpracování žádostí, její integrování do stávajících systémů a následný provoz a podporu („</w:t>
      </w:r>
      <w:r>
        <w:rPr>
          <w:rFonts w:ascii="Calibri" w:eastAsia="Calibri" w:hAnsi="Calibri" w:cs="Calibri"/>
          <w:b/>
          <w:color w:val="000000"/>
        </w:rPr>
        <w:t>Systém žádostí</w:t>
      </w:r>
      <w:r>
        <w:rPr>
          <w:rFonts w:ascii="Calibri" w:eastAsia="Calibri" w:hAnsi="Calibri" w:cs="Calibri"/>
          <w:color w:val="000000"/>
        </w:rPr>
        <w:t>“).</w:t>
      </w:r>
    </w:p>
    <w:p w14:paraId="693D757C" w14:textId="77777777" w:rsidR="007D2CB6" w:rsidRDefault="0073471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Poskytování služby bude mít následující parametry:</w:t>
      </w:r>
    </w:p>
    <w:p w14:paraId="75D0FC2C" w14:textId="77777777" w:rsidR="007D2CB6" w:rsidRDefault="0073471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Vytvoření interaktivního formuláře pro sběr žádostí a jeho nasazení do prostředí;</w:t>
      </w:r>
    </w:p>
    <w:p w14:paraId="6D6713ED" w14:textId="77777777" w:rsidR="007D2CB6" w:rsidRDefault="0073471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Jednostranná integrace Systému žádostí na systém </w:t>
      </w:r>
      <w:proofErr w:type="spellStart"/>
      <w:r>
        <w:rPr>
          <w:rFonts w:ascii="Calibri" w:eastAsia="Calibri" w:hAnsi="Calibri" w:cs="Calibri"/>
          <w:color w:val="000000"/>
        </w:rPr>
        <w:t>Cygnus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Iresoft</w:t>
      </w:r>
      <w:proofErr w:type="spellEnd"/>
      <w:r>
        <w:rPr>
          <w:rFonts w:ascii="Calibri" w:eastAsia="Calibri" w:hAnsi="Calibri" w:cs="Calibri"/>
          <w:color w:val="000000"/>
        </w:rPr>
        <w:t xml:space="preserve"> skrze API;</w:t>
      </w:r>
    </w:p>
    <w:p w14:paraId="26745353" w14:textId="77777777" w:rsidR="007D2CB6" w:rsidRDefault="0073471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Propojení Systému žádostí s modulem žádosti o pobytovou službu. </w:t>
      </w:r>
    </w:p>
    <w:p w14:paraId="57AD641A" w14:textId="77777777" w:rsidR="007D2CB6" w:rsidRDefault="0073471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Generování PDF, automatické zasílání emailem </w:t>
      </w:r>
    </w:p>
    <w:p w14:paraId="31E62831" w14:textId="77777777" w:rsidR="007D2CB6" w:rsidRDefault="007347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Technická podpora</w:t>
      </w:r>
    </w:p>
    <w:p w14:paraId="65A0A51C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se zavazuje </w:t>
      </w:r>
      <w:r>
        <w:rPr>
          <w:rFonts w:ascii="Calibri" w:eastAsia="Calibri" w:hAnsi="Calibri" w:cs="Calibri"/>
          <w:color w:val="000000"/>
        </w:rPr>
        <w:t>odstraňovat kritické chyby služby, tj. takové chyby, kvůli kterým není služba v rámci prostředí dostupná. Tyto chyby budou poskytovateli nahlašovány skrze technickou podporu.</w:t>
      </w:r>
    </w:p>
    <w:p w14:paraId="5EEAFDAF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Poskytovatel se zavazuje poskytovat klientovi technickou podporu v následující kvalitě:</w:t>
      </w:r>
    </w:p>
    <w:p w14:paraId="78130C98" w14:textId="77777777" w:rsidR="007D2CB6" w:rsidRDefault="0073471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Technická podpora je dostupná v pracovních dnech od 9:00 – 15:00;</w:t>
      </w:r>
    </w:p>
    <w:p w14:paraId="0DD72440" w14:textId="7F80CF01" w:rsidR="007D2CB6" w:rsidRDefault="0073471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Technickou podporu je možné kontaktovat emailem na adrese </w:t>
      </w:r>
    </w:p>
    <w:p w14:paraId="119656A3" w14:textId="77777777" w:rsidR="007D2CB6" w:rsidRDefault="007347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Odměna, milníky</w:t>
      </w:r>
    </w:p>
    <w:p w14:paraId="4F866535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Cena za službu </w:t>
      </w:r>
      <w:r>
        <w:rPr>
          <w:rFonts w:ascii="Calibri" w:eastAsia="Calibri" w:hAnsi="Calibri" w:cs="Calibri"/>
          <w:color w:val="000000"/>
        </w:rPr>
        <w:t>činí 1400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000000"/>
        </w:rPr>
        <w:t xml:space="preserve">- bez DPH měsíčně. </w:t>
      </w:r>
    </w:p>
    <w:p w14:paraId="71E592B8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</w:rPr>
        <w:t xml:space="preserve">Platební interval 6 měsíců / 12 měsíců dle dohody. </w:t>
      </w:r>
    </w:p>
    <w:p w14:paraId="0F3A8F56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nasadí Systém žádostí do prostředí a započne s plněním služby ve lhůtě 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color w:val="000000"/>
        </w:rPr>
        <w:t xml:space="preserve">0 dnů od uzavření smlouvy. </w:t>
      </w:r>
    </w:p>
    <w:p w14:paraId="54999EB2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Klient se zavazuje poskytnout Poskytovateli při poskytování služby veškerou nezbytnou součinnost. V případě neposkytnutí součinnosti se lhůta dle odst. 3.5 této přílohy prodlužuje o dobu prodlení se součinností. </w:t>
      </w:r>
    </w:p>
    <w:p w14:paraId="246A054E" w14:textId="77777777" w:rsidR="007D2CB6" w:rsidRDefault="007347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Licence</w:t>
      </w:r>
    </w:p>
    <w:p w14:paraId="125A57BB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Patenty, užitné vzory, práva k vynálezům, autorská práva a práva související s autorským právem, ochranné známky, užitné vzory, obchodní jména, doménová jména, goodwill, práva na podání žaloby proti nekalé soutěži, průmyslové vzory, databázová práva, práva užít a chránit důvěrné </w:t>
      </w:r>
      <w:r>
        <w:rPr>
          <w:rFonts w:ascii="Calibri" w:eastAsia="Calibri" w:hAnsi="Calibri" w:cs="Calibri"/>
          <w:color w:val="000000"/>
        </w:rPr>
        <w:lastRenderedPageBreak/>
        <w:t>informace (včetně know-how a obchodních tajemství) a veškeré ostatní duševní vlastnictví, ať už registrované či neregistrované („</w:t>
      </w:r>
      <w:r>
        <w:rPr>
          <w:rFonts w:ascii="Calibri" w:eastAsia="Calibri" w:hAnsi="Calibri" w:cs="Calibri"/>
          <w:b/>
          <w:color w:val="000000"/>
        </w:rPr>
        <w:t>práva k duševnímu vlastnictví</w:t>
      </w:r>
      <w:r>
        <w:rPr>
          <w:rFonts w:ascii="Calibri" w:eastAsia="Calibri" w:hAnsi="Calibri" w:cs="Calibri"/>
          <w:color w:val="000000"/>
        </w:rPr>
        <w:t>“), které je součástí služby, je a zůstává vlastnictvím poskytovatele a poskytovatel si vyhrazuje právo udělit licenci k takovému duševními vlastnictví jakékoliv třetí straně. Jakýkoliv obsah, který bude poskytnut poskytovatelem klientovi a který je způsobilý být chráněn právy k duševnímu vlastnictví („</w:t>
      </w:r>
      <w:r>
        <w:rPr>
          <w:rFonts w:ascii="Calibri" w:eastAsia="Calibri" w:hAnsi="Calibri" w:cs="Calibri"/>
          <w:b/>
          <w:color w:val="000000"/>
        </w:rPr>
        <w:t>licencovaný obsah</w:t>
      </w:r>
      <w:r>
        <w:rPr>
          <w:rFonts w:ascii="Calibri" w:eastAsia="Calibri" w:hAnsi="Calibri" w:cs="Calibri"/>
          <w:color w:val="000000"/>
        </w:rPr>
        <w:t>“) zůstává výhradně poskytovateli</w:t>
      </w:r>
      <w:r>
        <w:rPr>
          <w:rFonts w:ascii="Calibri" w:eastAsia="Calibri" w:hAnsi="Calibri" w:cs="Calibri"/>
          <w:color w:val="000000"/>
        </w:rPr>
        <w:t xml:space="preserve"> (či příslušným držitelům práv) a klient tak nezískává jakákoliv jiná práva k takovému licencovanému obsahu, než ta výslovně uvedená v této příloze.</w:t>
      </w:r>
    </w:p>
    <w:p w14:paraId="2EE464F8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Poskytovatel k Systému žádostí poskytuje klientovi odvolatelnou, nevýhradní, nepřevoditelnou, nepostupitelnou, místně neomezenou a časově omezenou licenci, a to výhradně k jeho provozování v rámci prostředí v souladu s podmínkami stanovenými ve smlouvě a této příloze. Omezená licence nezahrnuje jakákoliv zde přímo neuvedená práva. </w:t>
      </w:r>
    </w:p>
    <w:p w14:paraId="0B02553D" w14:textId="77777777" w:rsidR="007D2CB6" w:rsidRDefault="007347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Odpovědnost poskytovatele</w:t>
      </w:r>
    </w:p>
    <w:p w14:paraId="738CC226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Při poskytování služeb poskytovatel cílí na co největší dostupnost – není však možné zaručit, že služby budou dostupné nepřetržitě a bez výpadků. Poskytovatel je především oprávněn provádět plánované odstávky serveru a ostatního vybavení, prostřednictvím kterých je služba provozována a poskytována. Stejně tak poskytovatel nemůže ovlivnit fungování služeb třetích stran, na kterých je služba zaručena (poskytovatelé připojení internetu, hostingu, jazykového modelu apod.) V průběhu odstávek či nedostupností slu</w:t>
      </w:r>
      <w:r>
        <w:rPr>
          <w:rFonts w:ascii="Calibri" w:eastAsia="Calibri" w:hAnsi="Calibri" w:cs="Calibri"/>
          <w:color w:val="000000"/>
        </w:rPr>
        <w:t>žeb třetích stran může být služba nedostupná.</w:t>
      </w:r>
    </w:p>
    <w:p w14:paraId="7A012676" w14:textId="77777777" w:rsidR="007D2CB6" w:rsidRDefault="007347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b/>
          <w:color w:val="000000"/>
        </w:rPr>
        <w:t>Zpracování osobních údajů</w:t>
      </w:r>
    </w:p>
    <w:p w14:paraId="192D640C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V rámci poskytování služeb bude poskytovatel pro klienta provádět zpracování osobních údajů ve smyslu čl. 6 smlouvy.</w:t>
      </w:r>
    </w:p>
    <w:p w14:paraId="7D63D87A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Účelem zpracování osobních údajů je poskytování služby Systému žádostí. </w:t>
      </w:r>
    </w:p>
    <w:p w14:paraId="7A74C265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 xml:space="preserve">Osobní údaje budou zpracovávány po dobu poskytování služby. </w:t>
      </w:r>
    </w:p>
    <w:p w14:paraId="6C52831E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ind w:right="-142"/>
        <w:jc w:val="both"/>
      </w:pPr>
      <w:r>
        <w:rPr>
          <w:rFonts w:ascii="Calibri" w:eastAsia="Calibri" w:hAnsi="Calibri" w:cs="Calibri"/>
          <w:color w:val="000000"/>
        </w:rPr>
        <w:t>Poskytovatel bude pro klienta zpracovávat osobní údaje o následujících kategoriích subjektů údajů:</w:t>
      </w:r>
    </w:p>
    <w:p w14:paraId="347CFB6D" w14:textId="77777777" w:rsidR="007D2CB6" w:rsidRDefault="0073471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návštěvníci prostředí;</w:t>
      </w:r>
    </w:p>
    <w:p w14:paraId="39C6633C" w14:textId="77777777" w:rsidR="007D2CB6" w:rsidRDefault="0073471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zákazníci klienta.</w:t>
      </w:r>
    </w:p>
    <w:p w14:paraId="0AD9B816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 xml:space="preserve">Poskytovatel bude pro klienta zpracovávat </w:t>
      </w:r>
      <w:r>
        <w:rPr>
          <w:rFonts w:ascii="Calibri" w:eastAsia="Calibri" w:hAnsi="Calibri" w:cs="Calibri"/>
          <w:color w:val="000000"/>
        </w:rPr>
        <w:t>následující kategorie osobních údajů:</w:t>
      </w:r>
    </w:p>
    <w:p w14:paraId="5D77DBD0" w14:textId="77777777" w:rsidR="007D2CB6" w:rsidRDefault="0073471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kontaktní údaje;</w:t>
      </w:r>
    </w:p>
    <w:p w14:paraId="5A38A0C3" w14:textId="77777777" w:rsidR="007D2CB6" w:rsidRDefault="0073471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identifikační údaje;</w:t>
      </w:r>
    </w:p>
    <w:p w14:paraId="497C4FC0" w14:textId="77777777" w:rsidR="007D2CB6" w:rsidRDefault="0073471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>údaje o způsobu užívání služby;</w:t>
      </w:r>
    </w:p>
    <w:p w14:paraId="410C5CB4" w14:textId="77777777" w:rsidR="007D2CB6" w:rsidRDefault="0073471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lastRenderedPageBreak/>
        <w:t>údaje o zařízení klienta;</w:t>
      </w:r>
    </w:p>
    <w:p w14:paraId="124D4B12" w14:textId="77777777" w:rsidR="007D2CB6" w:rsidRDefault="0073471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  <w:rPr>
          <w:color w:val="000000"/>
        </w:rPr>
      </w:pPr>
      <w:r>
        <w:rPr>
          <w:rFonts w:ascii="Calibri" w:eastAsia="Calibri" w:hAnsi="Calibri" w:cs="Calibri"/>
          <w:b/>
          <w:color w:val="000000"/>
        </w:rPr>
        <w:t>zvláštní kategorie osobních údajů – údaje o zdravotním stavu</w:t>
      </w:r>
      <w:r>
        <w:rPr>
          <w:rFonts w:ascii="Calibri" w:eastAsia="Calibri" w:hAnsi="Calibri" w:cs="Calibri"/>
          <w:color w:val="000000"/>
        </w:rPr>
        <w:t>.</w:t>
      </w:r>
    </w:p>
    <w:p w14:paraId="3A45B7AC" w14:textId="77777777" w:rsidR="007D2CB6" w:rsidRDefault="0073471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</w:pPr>
      <w:r>
        <w:rPr>
          <w:rFonts w:ascii="Calibri" w:eastAsia="Calibri" w:hAnsi="Calibri" w:cs="Calibri"/>
          <w:color w:val="000000"/>
        </w:rPr>
        <w:t xml:space="preserve">Poskytovatel pro zpracování osobních údajů využívá následující </w:t>
      </w:r>
      <w:proofErr w:type="spellStart"/>
      <w:r>
        <w:rPr>
          <w:rFonts w:ascii="Calibri" w:eastAsia="Calibri" w:hAnsi="Calibri" w:cs="Calibri"/>
          <w:color w:val="000000"/>
        </w:rPr>
        <w:t>podzpracovatele</w:t>
      </w:r>
      <w:proofErr w:type="spellEnd"/>
      <w:r>
        <w:rPr>
          <w:rFonts w:ascii="Calibri" w:eastAsia="Calibri" w:hAnsi="Calibri" w:cs="Calibri"/>
          <w:color w:val="000000"/>
        </w:rPr>
        <w:t>:</w:t>
      </w:r>
    </w:p>
    <w:p w14:paraId="1FA41BED" w14:textId="77777777" w:rsidR="007D2CB6" w:rsidRDefault="0073471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BiQ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pux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a.s. </w:t>
      </w:r>
      <w:r>
        <w:rPr>
          <w:rFonts w:ascii="Calibri" w:eastAsia="Calibri" w:hAnsi="Calibri" w:cs="Calibri"/>
          <w:color w:val="000000"/>
        </w:rPr>
        <w:t>Čechyňská 5, 602 00 Brno-Střed IČO: 17516056</w:t>
      </w:r>
    </w:p>
    <w:p w14:paraId="75D00FC9" w14:textId="77777777" w:rsidR="007D2CB6" w:rsidRDefault="00734718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240" w:after="240" w:line="276" w:lineRule="auto"/>
        <w:jc w:val="both"/>
        <w:rPr>
          <w:color w:val="000000"/>
        </w:rPr>
      </w:pPr>
      <w:proofErr w:type="spellStart"/>
      <w:r>
        <w:rPr>
          <w:rFonts w:ascii="Calibri" w:eastAsia="Calibri" w:hAnsi="Calibri" w:cs="Calibri"/>
          <w:b/>
          <w:color w:val="000000"/>
        </w:rPr>
        <w:t>Iresoft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s.r.o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,  </w:t>
      </w:r>
      <w:r>
        <w:rPr>
          <w:rFonts w:ascii="Calibri" w:eastAsia="Calibri" w:hAnsi="Calibri" w:cs="Calibri"/>
          <w:color w:val="000000"/>
        </w:rPr>
        <w:tab/>
        <w:t>Purkyňova 71/99, Královo Pole, 612 00 Brno</w:t>
      </w:r>
    </w:p>
    <w:p w14:paraId="49FA972B" w14:textId="77777777" w:rsidR="007D2CB6" w:rsidRDefault="007D2CB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libri" w:eastAsia="Calibri" w:hAnsi="Calibri" w:cs="Calibri"/>
          <w:color w:val="000000"/>
        </w:rPr>
      </w:pPr>
    </w:p>
    <w:sectPr w:rsidR="007D2CB6">
      <w:pgSz w:w="11906" w:h="16838"/>
      <w:pgMar w:top="1417" w:right="991" w:bottom="851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88541" w14:textId="77777777" w:rsidR="009967E2" w:rsidRDefault="009967E2">
      <w:r>
        <w:separator/>
      </w:r>
    </w:p>
  </w:endnote>
  <w:endnote w:type="continuationSeparator" w:id="0">
    <w:p w14:paraId="483C2F06" w14:textId="77777777" w:rsidR="009967E2" w:rsidRDefault="00996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FA55F16-4026-49F8-99A1-F3F27A47CB45}"/>
    <w:embedBold r:id="rId2" w:fontKey="{C84955D8-2F39-40F1-A43B-A1AA43045DB1}"/>
    <w:embedItalic r:id="rId3" w:fontKey="{8914BE5D-9A3E-45DD-BBAC-AACBA5BD480D}"/>
  </w:font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4" w:fontKey="{7B2F81D9-7FEE-4BA3-969D-8C2AFB40A5E9}"/>
    <w:embedItalic r:id="rId5" w:fontKey="{536068C6-B2C4-4D10-A59D-C0CC3D6682E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B0819742-D469-41E5-9CA5-6BDCACCDB14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1E140067-AC2E-4101-B4A5-FD0E158DD41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418D5601-8643-4596-A5F1-F23D35120E47}"/>
    <w:embedItalic r:id="rId9" w:fontKey="{E6646E35-CE2A-4644-A909-88F74A1FAB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4949053F-5E8A-49DB-99C0-2648AB6B1F7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B0A148B8-699B-46F2-9707-DA1C1F9AB0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86461" w14:textId="77777777" w:rsidR="007D2CB6" w:rsidRDefault="007347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6528D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6CFFACCF" w14:textId="77777777" w:rsidR="007D2CB6" w:rsidRDefault="007D2CB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0F7DE8" w14:textId="77777777" w:rsidR="009967E2" w:rsidRDefault="009967E2">
      <w:r>
        <w:separator/>
      </w:r>
    </w:p>
  </w:footnote>
  <w:footnote w:type="continuationSeparator" w:id="0">
    <w:p w14:paraId="1CF48A9E" w14:textId="77777777" w:rsidR="009967E2" w:rsidRDefault="009967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52A41"/>
    <w:multiLevelType w:val="multilevel"/>
    <w:tmpl w:val="7E12F34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9517D2D"/>
    <w:multiLevelType w:val="multilevel"/>
    <w:tmpl w:val="D410DF8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9C2099"/>
    <w:multiLevelType w:val="multilevel"/>
    <w:tmpl w:val="902E9D1E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7B02290"/>
    <w:multiLevelType w:val="multilevel"/>
    <w:tmpl w:val="662AE8B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7D37884"/>
    <w:multiLevelType w:val="multilevel"/>
    <w:tmpl w:val="662AE8B4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eastAsia="Calibri" w:hAnsi="Calibri" w:cs="Calibri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BCE3413"/>
    <w:multiLevelType w:val="multilevel"/>
    <w:tmpl w:val="E9CCC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6946706">
    <w:abstractNumId w:val="4"/>
  </w:num>
  <w:num w:numId="2" w16cid:durableId="1732386510">
    <w:abstractNumId w:val="2"/>
  </w:num>
  <w:num w:numId="3" w16cid:durableId="1593657886">
    <w:abstractNumId w:val="0"/>
  </w:num>
  <w:num w:numId="4" w16cid:durableId="889347493">
    <w:abstractNumId w:val="1"/>
  </w:num>
  <w:num w:numId="5" w16cid:durableId="948200241">
    <w:abstractNumId w:val="5"/>
  </w:num>
  <w:num w:numId="6" w16cid:durableId="1312191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4931038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236585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865725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05107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088243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904110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562136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468496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812705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522432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348291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289151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32120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3815680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35993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237722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7903364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4029229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517631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06636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717076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430800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47514827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499184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0104332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918821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11746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081301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9158744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8308981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3872096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001078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9323267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1417300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8719057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71523288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8559950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6630468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8566999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CB6"/>
    <w:rsid w:val="00734718"/>
    <w:rsid w:val="007D2CB6"/>
    <w:rsid w:val="009668CA"/>
    <w:rsid w:val="009967E2"/>
    <w:rsid w:val="00DE616C"/>
    <w:rsid w:val="00E6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4FA5E"/>
  <w15:docId w15:val="{30BEA849-A809-40CA-BDC4-4C715959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  <w:autoSpaceDN w:val="0"/>
      <w:textAlignment w:val="baseline"/>
    </w:pPr>
    <w:rPr>
      <w:kern w:val="3"/>
      <w:lang w:eastAsia="zh-CN" w:bidi="hi-IN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sid w:val="004438C5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 w:bidi="hi-IN"/>
    </w:rPr>
  </w:style>
  <w:style w:type="paragraph" w:customStyle="1" w:styleId="Heading">
    <w:name w:val="Heading"/>
    <w:basedOn w:val="Standard"/>
    <w:next w:val="Textbody"/>
    <w:rsid w:val="004438C5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4438C5"/>
    <w:pPr>
      <w:spacing w:after="140"/>
    </w:pPr>
  </w:style>
  <w:style w:type="paragraph" w:styleId="Seznam">
    <w:name w:val="List"/>
    <w:basedOn w:val="Textbody"/>
    <w:rsid w:val="004438C5"/>
    <w:rPr>
      <w:rFonts w:cs="Lucida Sans"/>
    </w:rPr>
  </w:style>
  <w:style w:type="paragraph" w:customStyle="1" w:styleId="Titulek1">
    <w:name w:val="Titulek1"/>
    <w:basedOn w:val="Standard"/>
    <w:rsid w:val="004438C5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rsid w:val="004438C5"/>
    <w:pPr>
      <w:suppressLineNumbers/>
    </w:pPr>
    <w:rPr>
      <w:rFonts w:cs="Lucida Sans"/>
    </w:rPr>
  </w:style>
  <w:style w:type="paragraph" w:styleId="Odstavecseseznamem">
    <w:name w:val="List Paragraph"/>
    <w:basedOn w:val="Standard"/>
    <w:qFormat/>
    <w:rsid w:val="004438C5"/>
    <w:pPr>
      <w:ind w:left="720"/>
    </w:pPr>
  </w:style>
  <w:style w:type="paragraph" w:styleId="Textkomente">
    <w:name w:val="annotation text"/>
    <w:basedOn w:val="Standard"/>
    <w:rsid w:val="004438C5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rsid w:val="004438C5"/>
    <w:rPr>
      <w:b/>
      <w:bCs/>
    </w:rPr>
  </w:style>
  <w:style w:type="paragraph" w:styleId="Textbubliny">
    <w:name w:val="Balloon Text"/>
    <w:basedOn w:val="Standard"/>
    <w:rsid w:val="004438C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Zhlav1">
    <w:name w:val="Záhlaví1"/>
    <w:basedOn w:val="Standard"/>
    <w:rsid w:val="004438C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pat1">
    <w:name w:val="Zápatí1"/>
    <w:basedOn w:val="Standard"/>
    <w:rsid w:val="004438C5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Standard"/>
    <w:rsid w:val="004438C5"/>
    <w:pPr>
      <w:suppressLineNumbers/>
    </w:pPr>
  </w:style>
  <w:style w:type="character" w:styleId="Odkaznakoment">
    <w:name w:val="annotation reference"/>
    <w:rsid w:val="004438C5"/>
    <w:rPr>
      <w:sz w:val="16"/>
      <w:szCs w:val="16"/>
    </w:rPr>
  </w:style>
  <w:style w:type="character" w:customStyle="1" w:styleId="TextkomenteChar">
    <w:name w:val="Text komentáře Char"/>
    <w:rsid w:val="004438C5"/>
    <w:rPr>
      <w:rFonts w:ascii="Calibri" w:eastAsia="Calibri" w:hAnsi="Calibri" w:cs="Calibri"/>
      <w:sz w:val="20"/>
      <w:szCs w:val="20"/>
      <w:lang w:eastAsia="zh-CN"/>
    </w:rPr>
  </w:style>
  <w:style w:type="character" w:customStyle="1" w:styleId="PedmtkomenteChar">
    <w:name w:val="Předmět komentáře Char"/>
    <w:rsid w:val="004438C5"/>
    <w:rPr>
      <w:rFonts w:ascii="Calibri" w:eastAsia="Calibri" w:hAnsi="Calibri" w:cs="Calibri"/>
      <w:b/>
      <w:bCs/>
      <w:sz w:val="20"/>
      <w:szCs w:val="20"/>
      <w:lang w:eastAsia="zh-CN"/>
    </w:rPr>
  </w:style>
  <w:style w:type="character" w:customStyle="1" w:styleId="TextbublinyChar">
    <w:name w:val="Text bubliny Char"/>
    <w:rsid w:val="004438C5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ZhlavChar">
    <w:name w:val="Záhlaví Char"/>
    <w:rsid w:val="004438C5"/>
    <w:rPr>
      <w:rFonts w:ascii="Calibri" w:eastAsia="Calibri" w:hAnsi="Calibri" w:cs="Calibri"/>
      <w:lang w:eastAsia="zh-CN"/>
    </w:rPr>
  </w:style>
  <w:style w:type="character" w:customStyle="1" w:styleId="ZpatChar">
    <w:name w:val="Zápatí Char"/>
    <w:uiPriority w:val="99"/>
    <w:rsid w:val="004438C5"/>
    <w:rPr>
      <w:rFonts w:ascii="Calibri" w:eastAsia="Calibri" w:hAnsi="Calibri" w:cs="Calibri"/>
      <w:lang w:eastAsia="zh-CN"/>
    </w:rPr>
  </w:style>
  <w:style w:type="character" w:customStyle="1" w:styleId="WW8Num1z0">
    <w:name w:val="WW8Num1z0"/>
    <w:rsid w:val="004438C5"/>
  </w:style>
  <w:style w:type="character" w:customStyle="1" w:styleId="TextkomenteChar1">
    <w:name w:val="Text komentáře Char1"/>
    <w:rsid w:val="004438C5"/>
    <w:rPr>
      <w:rFonts w:ascii="Calibri" w:eastAsia="Calibri" w:hAnsi="Calibri" w:cs="Calibri"/>
      <w:lang w:eastAsia="zh-CN"/>
    </w:rPr>
  </w:style>
  <w:style w:type="character" w:customStyle="1" w:styleId="5yl5">
    <w:name w:val="_5yl5"/>
    <w:basedOn w:val="Standardnpsmoodstavce"/>
    <w:rsid w:val="004438C5"/>
  </w:style>
  <w:style w:type="character" w:customStyle="1" w:styleId="Internetlink">
    <w:name w:val="Internet link"/>
    <w:rsid w:val="004438C5"/>
    <w:rPr>
      <w:color w:val="0563C1"/>
      <w:u w:val="single"/>
    </w:rPr>
  </w:style>
  <w:style w:type="character" w:styleId="Siln">
    <w:name w:val="Strong"/>
    <w:uiPriority w:val="22"/>
    <w:qFormat/>
    <w:rsid w:val="004438C5"/>
    <w:rPr>
      <w:b/>
      <w:bCs/>
    </w:rPr>
  </w:style>
  <w:style w:type="character" w:customStyle="1" w:styleId="apple-converted-space">
    <w:name w:val="apple-converted-space"/>
    <w:basedOn w:val="Standardnpsmoodstavce"/>
    <w:rsid w:val="004438C5"/>
  </w:style>
  <w:style w:type="character" w:customStyle="1" w:styleId="ListLabel1">
    <w:name w:val="ListLabel 1"/>
    <w:rsid w:val="004438C5"/>
    <w:rPr>
      <w:rFonts w:cs="Courier New"/>
    </w:rPr>
  </w:style>
  <w:style w:type="character" w:customStyle="1" w:styleId="ListLabel2">
    <w:name w:val="ListLabel 2"/>
    <w:rsid w:val="004438C5"/>
    <w:rPr>
      <w:rFonts w:cs="Courier New"/>
    </w:rPr>
  </w:style>
  <w:style w:type="character" w:customStyle="1" w:styleId="ListLabel3">
    <w:name w:val="ListLabel 3"/>
    <w:rsid w:val="004438C5"/>
    <w:rPr>
      <w:rFonts w:cs="Courier New"/>
    </w:rPr>
  </w:style>
  <w:style w:type="character" w:customStyle="1" w:styleId="ListLabel4">
    <w:name w:val="ListLabel 4"/>
    <w:rsid w:val="004438C5"/>
    <w:rPr>
      <w:rFonts w:cs="Courier New"/>
    </w:rPr>
  </w:style>
  <w:style w:type="character" w:customStyle="1" w:styleId="ListLabel5">
    <w:name w:val="ListLabel 5"/>
    <w:rsid w:val="004438C5"/>
    <w:rPr>
      <w:rFonts w:cs="Courier New"/>
    </w:rPr>
  </w:style>
  <w:style w:type="character" w:customStyle="1" w:styleId="ListLabel6">
    <w:name w:val="ListLabel 6"/>
    <w:rsid w:val="004438C5"/>
    <w:rPr>
      <w:rFonts w:cs="Courier New"/>
    </w:rPr>
  </w:style>
  <w:style w:type="character" w:customStyle="1" w:styleId="ListLabel7">
    <w:name w:val="ListLabel 7"/>
    <w:rsid w:val="004438C5"/>
    <w:rPr>
      <w:rFonts w:cs="Courier New"/>
    </w:rPr>
  </w:style>
  <w:style w:type="character" w:customStyle="1" w:styleId="ListLabel8">
    <w:name w:val="ListLabel 8"/>
    <w:rsid w:val="004438C5"/>
    <w:rPr>
      <w:rFonts w:cs="Courier New"/>
    </w:rPr>
  </w:style>
  <w:style w:type="character" w:customStyle="1" w:styleId="ListLabel9">
    <w:name w:val="ListLabel 9"/>
    <w:rsid w:val="004438C5"/>
    <w:rPr>
      <w:rFonts w:cs="Courier New"/>
    </w:rPr>
  </w:style>
  <w:style w:type="character" w:customStyle="1" w:styleId="ListLabel10">
    <w:name w:val="ListLabel 10"/>
    <w:rsid w:val="004438C5"/>
    <w:rPr>
      <w:rFonts w:cs="Courier New"/>
    </w:rPr>
  </w:style>
  <w:style w:type="character" w:customStyle="1" w:styleId="ListLabel11">
    <w:name w:val="ListLabel 11"/>
    <w:rsid w:val="004438C5"/>
    <w:rPr>
      <w:rFonts w:eastAsia="Calibri" w:cs="Calibri"/>
    </w:rPr>
  </w:style>
  <w:style w:type="character" w:customStyle="1" w:styleId="ListLabel12">
    <w:name w:val="ListLabel 12"/>
    <w:rsid w:val="004438C5"/>
    <w:rPr>
      <w:rFonts w:cs="Courier New"/>
    </w:rPr>
  </w:style>
  <w:style w:type="character" w:customStyle="1" w:styleId="ListLabel13">
    <w:name w:val="ListLabel 13"/>
    <w:rsid w:val="004438C5"/>
    <w:rPr>
      <w:rFonts w:cs="Courier New"/>
    </w:rPr>
  </w:style>
  <w:style w:type="character" w:customStyle="1" w:styleId="ListLabel14">
    <w:name w:val="ListLabel 14"/>
    <w:rsid w:val="004438C5"/>
    <w:rPr>
      <w:rFonts w:eastAsia="Calibri" w:cs="Calibri"/>
    </w:rPr>
  </w:style>
  <w:style w:type="character" w:customStyle="1" w:styleId="ListLabel15">
    <w:name w:val="ListLabel 15"/>
    <w:rsid w:val="004438C5"/>
    <w:rPr>
      <w:rFonts w:cs="Courier New"/>
    </w:rPr>
  </w:style>
  <w:style w:type="character" w:customStyle="1" w:styleId="ListLabel16">
    <w:name w:val="ListLabel 16"/>
    <w:rsid w:val="004438C5"/>
    <w:rPr>
      <w:rFonts w:cs="Courier New"/>
    </w:rPr>
  </w:style>
  <w:style w:type="character" w:customStyle="1" w:styleId="ListLabel17">
    <w:name w:val="ListLabel 17"/>
    <w:rsid w:val="004438C5"/>
    <w:rPr>
      <w:rFonts w:cs="Courier New"/>
    </w:rPr>
  </w:style>
  <w:style w:type="character" w:customStyle="1" w:styleId="ListLabel18">
    <w:name w:val="ListLabel 18"/>
    <w:rsid w:val="004438C5"/>
    <w:rPr>
      <w:rFonts w:cs="Courier New"/>
    </w:rPr>
  </w:style>
  <w:style w:type="character" w:customStyle="1" w:styleId="ListLabel19">
    <w:name w:val="ListLabel 19"/>
    <w:rsid w:val="004438C5"/>
    <w:rPr>
      <w:rFonts w:cs="Courier New"/>
    </w:rPr>
  </w:style>
  <w:style w:type="character" w:customStyle="1" w:styleId="ListLabel20">
    <w:name w:val="ListLabel 20"/>
    <w:rsid w:val="004438C5"/>
    <w:rPr>
      <w:rFonts w:cs="Courier New"/>
    </w:rPr>
  </w:style>
  <w:style w:type="character" w:customStyle="1" w:styleId="ListLabel21">
    <w:name w:val="ListLabel 21"/>
    <w:rsid w:val="004438C5"/>
    <w:rPr>
      <w:rFonts w:cs="Courier New"/>
    </w:rPr>
  </w:style>
  <w:style w:type="character" w:customStyle="1" w:styleId="ListLabel22">
    <w:name w:val="ListLabel 22"/>
    <w:rsid w:val="004438C5"/>
    <w:rPr>
      <w:rFonts w:cs="Courier New"/>
    </w:rPr>
  </w:style>
  <w:style w:type="character" w:customStyle="1" w:styleId="ListLabel23">
    <w:name w:val="ListLabel 23"/>
    <w:rsid w:val="004438C5"/>
    <w:rPr>
      <w:rFonts w:cs="Courier New"/>
    </w:rPr>
  </w:style>
  <w:style w:type="character" w:customStyle="1" w:styleId="ListLabel24">
    <w:name w:val="ListLabel 24"/>
    <w:rsid w:val="004438C5"/>
    <w:rPr>
      <w:rFonts w:cs="Courier New"/>
    </w:rPr>
  </w:style>
  <w:style w:type="character" w:customStyle="1" w:styleId="ListLabel25">
    <w:name w:val="ListLabel 25"/>
    <w:rsid w:val="004438C5"/>
    <w:rPr>
      <w:rFonts w:cs="Courier New"/>
    </w:rPr>
  </w:style>
  <w:style w:type="character" w:customStyle="1" w:styleId="ListLabel26">
    <w:name w:val="ListLabel 26"/>
    <w:rsid w:val="004438C5"/>
    <w:rPr>
      <w:rFonts w:cs="Courier New"/>
    </w:rPr>
  </w:style>
  <w:style w:type="character" w:customStyle="1" w:styleId="ListLabel27">
    <w:name w:val="ListLabel 27"/>
    <w:rsid w:val="004438C5"/>
    <w:rPr>
      <w:rFonts w:cs="Courier New"/>
    </w:rPr>
  </w:style>
  <w:style w:type="character" w:customStyle="1" w:styleId="ListLabel28">
    <w:name w:val="ListLabel 28"/>
    <w:rsid w:val="004438C5"/>
    <w:rPr>
      <w:rFonts w:cs="Courier New"/>
    </w:rPr>
  </w:style>
  <w:style w:type="character" w:customStyle="1" w:styleId="ListLabel29">
    <w:name w:val="ListLabel 29"/>
    <w:rsid w:val="004438C5"/>
    <w:rPr>
      <w:rFonts w:cs="Courier New"/>
    </w:rPr>
  </w:style>
  <w:style w:type="character" w:customStyle="1" w:styleId="ListLabel30">
    <w:name w:val="ListLabel 30"/>
    <w:rsid w:val="004438C5"/>
  </w:style>
  <w:style w:type="character" w:customStyle="1" w:styleId="ListLabel31">
    <w:name w:val="ListLabel 31"/>
    <w:rsid w:val="004438C5"/>
    <w:rPr>
      <w:b/>
      <w:bCs/>
      <w:sz w:val="24"/>
      <w:szCs w:val="24"/>
    </w:rPr>
  </w:style>
  <w:style w:type="character" w:customStyle="1" w:styleId="NumberingSymbols">
    <w:name w:val="Numbering Symbols"/>
    <w:rsid w:val="004438C5"/>
  </w:style>
  <w:style w:type="numbering" w:customStyle="1" w:styleId="Bezseznamu1">
    <w:name w:val="Bez seznamu1"/>
    <w:basedOn w:val="Bezseznamu"/>
    <w:rsid w:val="004438C5"/>
  </w:style>
  <w:style w:type="numbering" w:customStyle="1" w:styleId="WWNum1">
    <w:name w:val="WWNum1"/>
    <w:basedOn w:val="Bezseznamu"/>
    <w:rsid w:val="004438C5"/>
  </w:style>
  <w:style w:type="numbering" w:customStyle="1" w:styleId="WWNum2">
    <w:name w:val="WWNum2"/>
    <w:basedOn w:val="Bezseznamu"/>
    <w:rsid w:val="004438C5"/>
  </w:style>
  <w:style w:type="numbering" w:customStyle="1" w:styleId="WWNum3">
    <w:name w:val="WWNum3"/>
    <w:basedOn w:val="Bezseznamu"/>
    <w:rsid w:val="004438C5"/>
  </w:style>
  <w:style w:type="numbering" w:customStyle="1" w:styleId="WWNum4">
    <w:name w:val="WWNum4"/>
    <w:basedOn w:val="Bezseznamu"/>
    <w:rsid w:val="004438C5"/>
  </w:style>
  <w:style w:type="numbering" w:customStyle="1" w:styleId="WWNum5">
    <w:name w:val="WWNum5"/>
    <w:basedOn w:val="Bezseznamu"/>
    <w:rsid w:val="004438C5"/>
  </w:style>
  <w:style w:type="numbering" w:customStyle="1" w:styleId="WWNum6">
    <w:name w:val="WWNum6"/>
    <w:basedOn w:val="Bezseznamu"/>
    <w:rsid w:val="004438C5"/>
  </w:style>
  <w:style w:type="numbering" w:customStyle="1" w:styleId="WWNum7">
    <w:name w:val="WWNum7"/>
    <w:basedOn w:val="Bezseznamu"/>
    <w:rsid w:val="004438C5"/>
  </w:style>
  <w:style w:type="numbering" w:customStyle="1" w:styleId="WWNum8">
    <w:name w:val="WWNum8"/>
    <w:basedOn w:val="Bezseznamu"/>
    <w:rsid w:val="004438C5"/>
  </w:style>
  <w:style w:type="numbering" w:customStyle="1" w:styleId="WWNum9">
    <w:name w:val="WWNum9"/>
    <w:basedOn w:val="Bezseznamu"/>
    <w:rsid w:val="004438C5"/>
  </w:style>
  <w:style w:type="numbering" w:customStyle="1" w:styleId="WWNum10">
    <w:name w:val="WWNum10"/>
    <w:basedOn w:val="Bezseznamu"/>
    <w:rsid w:val="004438C5"/>
  </w:style>
  <w:style w:type="numbering" w:customStyle="1" w:styleId="WWNum11">
    <w:name w:val="WWNum11"/>
    <w:basedOn w:val="Bezseznamu"/>
    <w:rsid w:val="004438C5"/>
  </w:style>
  <w:style w:type="numbering" w:customStyle="1" w:styleId="WWNum12">
    <w:name w:val="WWNum12"/>
    <w:basedOn w:val="Bezseznamu"/>
    <w:rsid w:val="004438C5"/>
  </w:style>
  <w:style w:type="numbering" w:customStyle="1" w:styleId="WWNum13">
    <w:name w:val="WWNum13"/>
    <w:basedOn w:val="Bezseznamu"/>
    <w:rsid w:val="004438C5"/>
  </w:style>
  <w:style w:type="numbering" w:customStyle="1" w:styleId="WWNum14">
    <w:name w:val="WWNum14"/>
    <w:basedOn w:val="Bezseznamu"/>
    <w:rsid w:val="004438C5"/>
  </w:style>
  <w:style w:type="numbering" w:customStyle="1" w:styleId="WWNum15">
    <w:name w:val="WWNum15"/>
    <w:basedOn w:val="Bezseznamu"/>
    <w:rsid w:val="004438C5"/>
  </w:style>
  <w:style w:type="numbering" w:customStyle="1" w:styleId="WWNum16">
    <w:name w:val="WWNum16"/>
    <w:basedOn w:val="Bezseznamu"/>
    <w:rsid w:val="004438C5"/>
  </w:style>
  <w:style w:type="numbering" w:customStyle="1" w:styleId="WWNum17">
    <w:name w:val="WWNum17"/>
    <w:basedOn w:val="Bezseznamu"/>
    <w:rsid w:val="004438C5"/>
  </w:style>
  <w:style w:type="numbering" w:customStyle="1" w:styleId="WWNum18">
    <w:name w:val="WWNum18"/>
    <w:basedOn w:val="Bezseznamu"/>
    <w:rsid w:val="004438C5"/>
  </w:style>
  <w:style w:type="numbering" w:customStyle="1" w:styleId="WWNum19">
    <w:name w:val="WWNum19"/>
    <w:basedOn w:val="Bezseznamu"/>
    <w:rsid w:val="004438C5"/>
  </w:style>
  <w:style w:type="numbering" w:customStyle="1" w:styleId="WWNum20">
    <w:name w:val="WWNum20"/>
    <w:basedOn w:val="Bezseznamu"/>
    <w:rsid w:val="004438C5"/>
  </w:style>
  <w:style w:type="numbering" w:customStyle="1" w:styleId="WWNum21">
    <w:name w:val="WWNum21"/>
    <w:basedOn w:val="Bezseznamu"/>
    <w:rsid w:val="004438C5"/>
  </w:style>
  <w:style w:type="numbering" w:customStyle="1" w:styleId="WWNum22">
    <w:name w:val="WWNum22"/>
    <w:basedOn w:val="Bezseznamu"/>
    <w:rsid w:val="004438C5"/>
  </w:style>
  <w:style w:type="numbering" w:customStyle="1" w:styleId="WWNum23">
    <w:name w:val="WWNum23"/>
    <w:basedOn w:val="Bezseznamu"/>
    <w:rsid w:val="004438C5"/>
  </w:style>
  <w:style w:type="numbering" w:customStyle="1" w:styleId="WWNum24">
    <w:name w:val="WWNum24"/>
    <w:basedOn w:val="Bezseznamu"/>
    <w:rsid w:val="004438C5"/>
  </w:style>
  <w:style w:type="numbering" w:customStyle="1" w:styleId="WWNum25">
    <w:name w:val="WWNum25"/>
    <w:basedOn w:val="Bezseznamu"/>
    <w:rsid w:val="004438C5"/>
  </w:style>
  <w:style w:type="numbering" w:customStyle="1" w:styleId="WWNum26">
    <w:name w:val="WWNum26"/>
    <w:basedOn w:val="Bezseznamu"/>
    <w:rsid w:val="004438C5"/>
  </w:style>
  <w:style w:type="numbering" w:customStyle="1" w:styleId="WWNum27">
    <w:name w:val="WWNum27"/>
    <w:basedOn w:val="Bezseznamu"/>
    <w:rsid w:val="004438C5"/>
  </w:style>
  <w:style w:type="numbering" w:customStyle="1" w:styleId="WWNum28">
    <w:name w:val="WWNum28"/>
    <w:basedOn w:val="Bezseznamu"/>
    <w:rsid w:val="004438C5"/>
  </w:style>
  <w:style w:type="numbering" w:customStyle="1" w:styleId="WWNum29">
    <w:name w:val="WWNum29"/>
    <w:basedOn w:val="Bezseznamu"/>
    <w:rsid w:val="004438C5"/>
  </w:style>
  <w:style w:type="numbering" w:customStyle="1" w:styleId="WWNum30">
    <w:name w:val="WWNum30"/>
    <w:basedOn w:val="Bezseznamu"/>
    <w:rsid w:val="004438C5"/>
  </w:style>
  <w:style w:type="numbering" w:customStyle="1" w:styleId="WWNum31">
    <w:name w:val="WWNum31"/>
    <w:basedOn w:val="Bezseznamu"/>
    <w:rsid w:val="004438C5"/>
  </w:style>
  <w:style w:type="numbering" w:customStyle="1" w:styleId="WWNum32">
    <w:name w:val="WWNum32"/>
    <w:basedOn w:val="Bezseznamu"/>
    <w:rsid w:val="004438C5"/>
  </w:style>
  <w:style w:type="numbering" w:customStyle="1" w:styleId="WWNum33">
    <w:name w:val="WWNum33"/>
    <w:basedOn w:val="Bezseznamu"/>
    <w:rsid w:val="004438C5"/>
  </w:style>
  <w:style w:type="numbering" w:customStyle="1" w:styleId="WWNum34">
    <w:name w:val="WWNum34"/>
    <w:basedOn w:val="Bezseznamu"/>
    <w:rsid w:val="004438C5"/>
  </w:style>
  <w:style w:type="numbering" w:customStyle="1" w:styleId="WWNum35">
    <w:name w:val="WWNum35"/>
    <w:basedOn w:val="Bezseznamu"/>
    <w:rsid w:val="004438C5"/>
  </w:style>
  <w:style w:type="numbering" w:customStyle="1" w:styleId="WWNum36">
    <w:name w:val="WWNum36"/>
    <w:basedOn w:val="Bezseznamu"/>
    <w:rsid w:val="004438C5"/>
  </w:style>
  <w:style w:type="numbering" w:customStyle="1" w:styleId="WWNum37">
    <w:name w:val="WWNum37"/>
    <w:basedOn w:val="Bezseznamu"/>
    <w:rsid w:val="004438C5"/>
  </w:style>
  <w:style w:type="numbering" w:customStyle="1" w:styleId="WWNum38">
    <w:name w:val="WWNum38"/>
    <w:basedOn w:val="Bezseznamu"/>
    <w:rsid w:val="004438C5"/>
  </w:style>
  <w:style w:type="numbering" w:customStyle="1" w:styleId="WWNum39">
    <w:name w:val="WWNum39"/>
    <w:basedOn w:val="Bezseznamu"/>
    <w:rsid w:val="004438C5"/>
  </w:style>
  <w:style w:type="numbering" w:customStyle="1" w:styleId="WWNum40">
    <w:name w:val="WWNum40"/>
    <w:basedOn w:val="Bezseznamu"/>
    <w:rsid w:val="004438C5"/>
  </w:style>
  <w:style w:type="numbering" w:customStyle="1" w:styleId="WWNum41">
    <w:name w:val="WWNum41"/>
    <w:basedOn w:val="Bezseznamu"/>
    <w:rsid w:val="004438C5"/>
  </w:style>
  <w:style w:type="numbering" w:customStyle="1" w:styleId="WWNum42">
    <w:name w:val="WWNum42"/>
    <w:basedOn w:val="Bezseznamu"/>
    <w:rsid w:val="004438C5"/>
  </w:style>
  <w:style w:type="numbering" w:customStyle="1" w:styleId="WWNum43">
    <w:name w:val="WWNum43"/>
    <w:basedOn w:val="Bezseznamu"/>
    <w:rsid w:val="004438C5"/>
  </w:style>
  <w:style w:type="paragraph" w:styleId="Zpat">
    <w:name w:val="footer"/>
    <w:basedOn w:val="Normln"/>
    <w:link w:val="ZpatChar1"/>
    <w:uiPriority w:val="99"/>
    <w:unhideWhenUsed/>
    <w:rsid w:val="004438C5"/>
    <w:pPr>
      <w:tabs>
        <w:tab w:val="center" w:pos="4536"/>
        <w:tab w:val="right" w:pos="9072"/>
      </w:tabs>
    </w:pPr>
    <w:rPr>
      <w:rFonts w:cs="Times New Roman"/>
      <w:kern w:val="0"/>
      <w:sz w:val="20"/>
      <w:szCs w:val="21"/>
      <w:lang w:val="x-none" w:eastAsia="x-none" w:bidi="ar-SA"/>
    </w:rPr>
  </w:style>
  <w:style w:type="character" w:customStyle="1" w:styleId="ZpatChar1">
    <w:name w:val="Zápatí Char1"/>
    <w:link w:val="Zpat"/>
    <w:uiPriority w:val="99"/>
    <w:semiHidden/>
    <w:rsid w:val="004438C5"/>
    <w:rPr>
      <w:rFonts w:cs="Mangal"/>
      <w:szCs w:val="21"/>
    </w:rPr>
  </w:style>
  <w:style w:type="character" w:styleId="Hypertextovodkaz">
    <w:name w:val="Hyperlink"/>
    <w:uiPriority w:val="99"/>
    <w:unhideWhenUsed/>
    <w:rsid w:val="003210D3"/>
    <w:rPr>
      <w:color w:val="0000FF"/>
      <w:u w:val="single"/>
    </w:rPr>
  </w:style>
  <w:style w:type="paragraph" w:styleId="Bezmezer">
    <w:name w:val="No Spacing"/>
    <w:uiPriority w:val="1"/>
    <w:qFormat/>
    <w:rsid w:val="00CE3C58"/>
    <w:pPr>
      <w:suppressAutoHyphens/>
      <w:autoSpaceDN w:val="0"/>
      <w:textAlignment w:val="baseline"/>
    </w:pPr>
    <w:rPr>
      <w:rFonts w:cs="Mangal"/>
      <w:kern w:val="3"/>
      <w:szCs w:val="21"/>
      <w:lang w:eastAsia="zh-CN" w:bidi="hi-IN"/>
    </w:rPr>
  </w:style>
  <w:style w:type="paragraph" w:styleId="Normlnweb">
    <w:name w:val="Normal (Web)"/>
    <w:basedOn w:val="Normln"/>
    <w:uiPriority w:val="99"/>
    <w:semiHidden/>
    <w:unhideWhenUsed/>
    <w:rsid w:val="001C1510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styleId="Zhlav">
    <w:name w:val="header"/>
    <w:basedOn w:val="Normln"/>
    <w:link w:val="ZhlavChar1"/>
    <w:uiPriority w:val="99"/>
    <w:semiHidden/>
    <w:unhideWhenUsed/>
    <w:rsid w:val="00AA669B"/>
    <w:pPr>
      <w:tabs>
        <w:tab w:val="center" w:pos="4536"/>
        <w:tab w:val="right" w:pos="9072"/>
      </w:tabs>
    </w:pPr>
    <w:rPr>
      <w:rFonts w:cs="Mangal"/>
      <w:szCs w:val="21"/>
      <w:lang w:val="x-none"/>
    </w:rPr>
  </w:style>
  <w:style w:type="character" w:customStyle="1" w:styleId="ZhlavChar1">
    <w:name w:val="Záhlaví Char1"/>
    <w:link w:val="Zhlav"/>
    <w:uiPriority w:val="99"/>
    <w:semiHidden/>
    <w:rsid w:val="00AA669B"/>
    <w:rPr>
      <w:rFonts w:cs="Mangal"/>
      <w:kern w:val="3"/>
      <w:sz w:val="24"/>
      <w:szCs w:val="21"/>
      <w:lang w:eastAsia="zh-C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0F289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F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ove1">
    <w:name w:val="Úroveň 1"/>
    <w:basedOn w:val="Odstavecseseznamem"/>
    <w:qFormat/>
    <w:rsid w:val="00383D27"/>
    <w:pPr>
      <w:tabs>
        <w:tab w:val="left" w:pos="851"/>
      </w:tabs>
      <w:spacing w:before="240" w:after="240"/>
      <w:ind w:left="567" w:hanging="567"/>
    </w:pPr>
    <w:rPr>
      <w:b/>
    </w:rPr>
  </w:style>
  <w:style w:type="paragraph" w:customStyle="1" w:styleId="rove2">
    <w:name w:val="Úroveň 2"/>
    <w:basedOn w:val="rove1"/>
    <w:qFormat/>
    <w:rsid w:val="00383D27"/>
    <w:rPr>
      <w:b w:val="0"/>
    </w:rPr>
  </w:style>
  <w:style w:type="paragraph" w:customStyle="1" w:styleId="rove3">
    <w:name w:val="Úroveň 3"/>
    <w:basedOn w:val="rove2"/>
    <w:qFormat/>
    <w:rsid w:val="00383D27"/>
    <w:pPr>
      <w:ind w:left="1224" w:hanging="504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dnamestnahane.cz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daF14pBb2JkL+pr56ypwBUXMaw==">CgMxLjAyCGguZ2pkZ3hzMgloLjMwajB6bGwyCWguMWZvYjl0ZTgAciExSEI1UmNyRl9tS1hMOXEwYkhMbkNHMmctdHRoMnFsUVk=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3290</Words>
  <Characters>19411</Characters>
  <Application>Microsoft Office Word</Application>
  <DocSecurity>0</DocSecurity>
  <Lines>161</Lines>
  <Paragraphs>45</Paragraphs>
  <ScaleCrop>false</ScaleCrop>
  <Company/>
  <LinksUpToDate>false</LinksUpToDate>
  <CharactersWithSpaces>22656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eLegal;Mgr. Petr Pospíchal</dc:creator>
  <cp:lastModifiedBy>dd namest</cp:lastModifiedBy>
  <cp:revision>3</cp:revision>
  <dcterms:created xsi:type="dcterms:W3CDTF">2024-08-15T16:23:00Z</dcterms:created>
  <dcterms:modified xsi:type="dcterms:W3CDTF">2024-09-17T07:28:00Z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