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19A01" w14:textId="61BF8619" w:rsidR="004C52F9" w:rsidRDefault="004C52F9" w:rsidP="00955FD6">
      <w:pPr>
        <w:keepNext/>
        <w:spacing w:before="220" w:after="14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ab/>
        <w:t>Č.j.</w:t>
      </w:r>
      <w:r w:rsidR="00955FD6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>: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>2024/4135/NM</w:t>
      </w:r>
    </w:p>
    <w:p w14:paraId="61F36DE3" w14:textId="7BBC792C" w:rsidR="0041030F" w:rsidRPr="0041030F" w:rsidRDefault="0041030F" w:rsidP="0041030F">
      <w:pPr>
        <w:keepNext/>
        <w:spacing w:before="220" w:after="14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>Kupní smlouva</w:t>
      </w:r>
      <w:r w:rsidR="00C74F33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  <w14:ligatures w14:val="none"/>
        </w:rPr>
        <w:t xml:space="preserve"> č. 241160</w:t>
      </w:r>
    </w:p>
    <w:p w14:paraId="52CB9619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a smlouva o poskytnutí licence a služeb</w:t>
      </w:r>
    </w:p>
    <w:p w14:paraId="674A27DA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uzavřená mezi níže uvedenými smluvními stranami</w:t>
      </w:r>
    </w:p>
    <w:p w14:paraId="22E7D02E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</w:p>
    <w:p w14:paraId="322A4376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bCs/>
          <w:kern w:val="0"/>
          <w:szCs w:val="24"/>
          <w:lang w:eastAsia="cs-CZ"/>
          <w14:ligatures w14:val="none"/>
        </w:rPr>
        <w:t>Národní muzeum</w:t>
      </w:r>
    </w:p>
    <w:p w14:paraId="1A6ADC0A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se sídlem Václavské náměstí 1700/68, 110 00 Praha 1</w:t>
      </w:r>
    </w:p>
    <w:p w14:paraId="10881AC4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zastoupená Ing. Martinem Součkem, Ph.D., ředitelem Odboru digitalizace a informačních systémů</w:t>
      </w:r>
    </w:p>
    <w:p w14:paraId="50778E58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IČ: 00023272</w:t>
      </w:r>
    </w:p>
    <w:p w14:paraId="159CA834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DIČ: </w:t>
      </w:r>
      <w:r w:rsidRPr="004103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CZ00023272</w:t>
      </w:r>
    </w:p>
    <w:p w14:paraId="35ED8B63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jako Kupující na straně jedné</w:t>
      </w:r>
    </w:p>
    <w:p w14:paraId="75092D27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7C162959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a</w:t>
      </w:r>
    </w:p>
    <w:p w14:paraId="793D4905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3F27313D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proofErr w:type="spellStart"/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Perfect</w:t>
      </w:r>
      <w:proofErr w:type="spellEnd"/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System</w:t>
      </w:r>
      <w:proofErr w:type="spellEnd"/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, s.r.o.</w:t>
      </w:r>
    </w:p>
    <w:p w14:paraId="5D98C4B4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se sídlem Radlická 3301/68, 150 00 Praha 5</w:t>
      </w:r>
    </w:p>
    <w:p w14:paraId="48BF1B89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zastoupená Ing. Petrem Novotným, jednatelem</w:t>
      </w:r>
    </w:p>
    <w:p w14:paraId="6690310E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(zapsáno u Městského soudu v Praze v oddílu C, vložka číslo 84989)</w:t>
      </w:r>
    </w:p>
    <w:p w14:paraId="44B6E191" w14:textId="77777777" w:rsidR="0041030F" w:rsidRPr="0041030F" w:rsidRDefault="0041030F" w:rsidP="0041030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IČ: 26480981</w:t>
      </w: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ab/>
      </w:r>
    </w:p>
    <w:p w14:paraId="36F85EB4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DIČ: CZ26480981</w:t>
      </w:r>
    </w:p>
    <w:p w14:paraId="7155EFDC" w14:textId="75506192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Bankovní spojení: </w:t>
      </w:r>
      <w:proofErr w:type="spellStart"/>
      <w:r w:rsidR="005B1FAA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xxxxxxxxxxxxxxxxxxxxxx</w:t>
      </w:r>
      <w:proofErr w:type="spellEnd"/>
    </w:p>
    <w:p w14:paraId="08DFCE46" w14:textId="4CF6A2A5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odpovědná osoba ve věcech smluvních: </w:t>
      </w:r>
      <w:proofErr w:type="spellStart"/>
      <w:r w:rsidR="005B1FAA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xxxxxxxxxxxxxxxxxxxxxx</w:t>
      </w:r>
      <w:proofErr w:type="spellEnd"/>
    </w:p>
    <w:p w14:paraId="0CF916F2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jako Prodávající na straně druhé</w:t>
      </w:r>
    </w:p>
    <w:p w14:paraId="4AF1E847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3D68C5A2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uzavírají tuto</w:t>
      </w:r>
    </w:p>
    <w:p w14:paraId="7772A985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04DE5313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 xml:space="preserve">Kupní a licenční smlouvu a smlouvu o poskytnutí služeb číslo SpLS-2020-0099-CH </w:t>
      </w: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(dále též „Smlouva“) v souladu s § 2079 a následujících zákona č. 89/2012 Sb., občanský zákoník ve znění pozdějších předpisů a smlouvu o poskytnutí licence a služeb dle zákona č. 121/2000 Sb., autorský zákon ve znění pozdějších předpisů (dále též AZ) k užívání níže uvedeného předmětu smlouvy.</w:t>
      </w:r>
    </w:p>
    <w:p w14:paraId="6025A7D6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1FA4B5D4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0CE04DE0" w14:textId="39D370D3" w:rsidR="0041030F" w:rsidRPr="0041030F" w:rsidRDefault="0041030F" w:rsidP="0041030F">
      <w:pPr>
        <w:pStyle w:val="Odstavecseseznamem"/>
        <w:keepNext/>
        <w:numPr>
          <w:ilvl w:val="0"/>
          <w:numId w:val="21"/>
        </w:numPr>
        <w:tabs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Předmět smlouvy</w:t>
      </w:r>
    </w:p>
    <w:p w14:paraId="14184546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Předmětem smlouvy je závazek Prodávajícího poskytnout licence Rezervačního vstupenkového systému </w:t>
      </w:r>
      <w:proofErr w:type="spell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Kiosk a dodávka a implementace hardware (dále též „HW“) v rozsahu dle této Smlouvy a závazek Kupujícího uhradit Prodávajícímu v této Smlouvě sjednanou cenu. Předmět smlouvy sestává z následujících částí:</w:t>
      </w:r>
    </w:p>
    <w:p w14:paraId="02263911" w14:textId="77777777" w:rsidR="0041030F" w:rsidRPr="0041030F" w:rsidRDefault="0041030F" w:rsidP="0041030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 xml:space="preserve">Rezervační systém </w:t>
      </w:r>
      <w:proofErr w:type="spellStart"/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 xml:space="preserve"> – licence</w:t>
      </w:r>
    </w:p>
    <w:p w14:paraId="0F680238" w14:textId="77777777" w:rsidR="0041030F" w:rsidRPr="0041030F" w:rsidRDefault="0041030F" w:rsidP="004103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HW </w:t>
      </w:r>
      <w:proofErr w:type="spell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– Kiosk, 2 ks</w:t>
      </w:r>
    </w:p>
    <w:p w14:paraId="2429C4F0" w14:textId="77777777" w:rsidR="0041030F" w:rsidRPr="0041030F" w:rsidRDefault="0041030F" w:rsidP="0041030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Služby související s dodávkou HW dle odstavce 1.1 a 1.3 Smlouvy</w:t>
      </w:r>
    </w:p>
    <w:p w14:paraId="7174E435" w14:textId="77777777" w:rsidR="0041030F" w:rsidRPr="0041030F" w:rsidRDefault="0041030F" w:rsidP="0041030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nastavení a zprovoznění HW dle odstavce 1.1 a 1.3 Smlouvy</w:t>
      </w:r>
    </w:p>
    <w:p w14:paraId="2C63A7DC" w14:textId="77777777" w:rsidR="0041030F" w:rsidRPr="0041030F" w:rsidRDefault="0041030F" w:rsidP="0041030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Hardware</w:t>
      </w:r>
    </w:p>
    <w:p w14:paraId="062B7E43" w14:textId="77777777" w:rsidR="0041030F" w:rsidRPr="0041030F" w:rsidRDefault="0041030F" w:rsidP="0041030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Hardware samoobslužné poklady včetně periferií a oživení na místě, 2 ks, bližší specifikace v Příloze I Smlouvy</w:t>
      </w:r>
    </w:p>
    <w:p w14:paraId="4D9793ED" w14:textId="38F759B2" w:rsidR="0041030F" w:rsidRPr="0041030F" w:rsidRDefault="0041030F" w:rsidP="0041030F">
      <w:pPr>
        <w:pStyle w:val="Odstavecseseznamem"/>
        <w:keepNext/>
        <w:numPr>
          <w:ilvl w:val="0"/>
          <w:numId w:val="21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Plnění smlouvy</w:t>
      </w:r>
    </w:p>
    <w:p w14:paraId="4B12BECB" w14:textId="77777777" w:rsidR="0041030F" w:rsidRPr="0041030F" w:rsidRDefault="0041030F" w:rsidP="0041030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Místo plnění</w:t>
      </w:r>
    </w:p>
    <w:p w14:paraId="292E4777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Místem plnění předmětu této </w:t>
      </w:r>
      <w:r w:rsidRPr="0041030F">
        <w:rPr>
          <w:rFonts w:ascii="Times New Roman" w:eastAsia="Times New Roman" w:hAnsi="Times New Roman" w:cs="Times New Roman"/>
          <w:color w:val="000000"/>
          <w:kern w:val="0"/>
          <w:szCs w:val="24"/>
          <w:lang w:eastAsia="cs-CZ"/>
          <w14:ligatures w14:val="none"/>
        </w:rPr>
        <w:t>smlouvy jsou místa určená Kupujícím – Muzejní komplex Národního muzea, Václavské náměstí 68, 115 79 Praha 1.</w:t>
      </w:r>
    </w:p>
    <w:p w14:paraId="6F787246" w14:textId="77777777" w:rsidR="0041030F" w:rsidRPr="0041030F" w:rsidRDefault="0041030F" w:rsidP="0041030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Termín plnění</w:t>
      </w:r>
    </w:p>
    <w:p w14:paraId="7AC4E3A8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lastRenderedPageBreak/>
        <w:t>Předmět smlouvy dle odstavců 1.1, 1.2 a 1.3 Smlouvy bude dodán dle tohoto harmonogramu:</w:t>
      </w:r>
    </w:p>
    <w:p w14:paraId="6E5EAA86" w14:textId="77777777" w:rsidR="0041030F" w:rsidRPr="0041030F" w:rsidRDefault="0041030F" w:rsidP="0041030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do 6 týdnů od podpisu této Smlouvy</w:t>
      </w:r>
    </w:p>
    <w:p w14:paraId="40C0D8AE" w14:textId="01F54D78" w:rsidR="0041030F" w:rsidRPr="0041030F" w:rsidRDefault="0041030F" w:rsidP="0041030F">
      <w:pPr>
        <w:pStyle w:val="Odstavecseseznamem"/>
        <w:keepNext/>
        <w:numPr>
          <w:ilvl w:val="0"/>
          <w:numId w:val="21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Cena předmětu smlouvy</w:t>
      </w:r>
    </w:p>
    <w:p w14:paraId="41456ABF" w14:textId="77777777" w:rsidR="0041030F" w:rsidRPr="0041030F" w:rsidRDefault="0041030F" w:rsidP="0041030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Smluvní cena předmětu Smlouvy dle odstavce 1.1 je stanovena na 60.000,- Kč bez DPH, výše DPH 12.600,- Kč, cena celkem včetně DPH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72.600,-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Kč.</w:t>
      </w:r>
    </w:p>
    <w:p w14:paraId="1F1CEB91" w14:textId="77777777" w:rsidR="0041030F" w:rsidRPr="0041030F" w:rsidRDefault="0041030F" w:rsidP="0041030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Smluvní cena předmětu Smlouvy dle odstavce 1.2 je stanovena na 26.800,- Kč bez DPH, výše DPH 5.628,- Kč, cena celkem včetně DPH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32.428,-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Kč.</w:t>
      </w:r>
    </w:p>
    <w:p w14:paraId="3385ECC6" w14:textId="77777777" w:rsidR="0041030F" w:rsidRPr="0041030F" w:rsidRDefault="0041030F" w:rsidP="0041030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Smluvní cena předmětu Smlouvy dle odstavce 1.3 Smlouvy je stanovena na 310.000,- Kč bez DPH, výše DPH 65.100,- Kč, cena celkem včetně DPH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375.100,-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Kč.</w:t>
      </w:r>
    </w:p>
    <w:p w14:paraId="33D92C44" w14:textId="1A6B1C02" w:rsidR="0041030F" w:rsidRPr="0041030F" w:rsidRDefault="0041030F" w:rsidP="0041030F">
      <w:pPr>
        <w:pStyle w:val="Odstavecseseznamem"/>
        <w:keepNext/>
        <w:numPr>
          <w:ilvl w:val="0"/>
          <w:numId w:val="21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Platební a fakturační podmínky</w:t>
      </w:r>
    </w:p>
    <w:p w14:paraId="2D83F95B" w14:textId="77777777" w:rsidR="0041030F" w:rsidRPr="0041030F" w:rsidRDefault="0041030F" w:rsidP="0041030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Cena za předmět Smlouvy sjednaná v odstavci 3.1, 3.2 a 3.3 Smlouvy bude zaplacena na základě dohody smluvních stran takto:</w:t>
      </w:r>
    </w:p>
    <w:p w14:paraId="3B01EAEE" w14:textId="77777777" w:rsidR="0041030F" w:rsidRPr="0041030F" w:rsidRDefault="0041030F" w:rsidP="0041030F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100 % ceny + DPH v zákonné výši na základě faktury – daňového dokladu s 20denní splatností od jejího doručení Kupujícímu, kterou je Prodávající oprávněn vystavit k datu zahájení provozu HW dle odstavce 2.2 Smlouvy.</w:t>
      </w:r>
    </w:p>
    <w:p w14:paraId="539E8241" w14:textId="77777777" w:rsidR="0041030F" w:rsidRPr="0041030F" w:rsidRDefault="0041030F" w:rsidP="0041030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Všechny vystavené faktury musí mít náležitosti řádného účetního a daňového dokladu ve smyslu příslušných právních předpisů, zejména zákona č. 235/2004 Sb., o dani z přidané hodnoty, v platném znění.</w:t>
      </w:r>
    </w:p>
    <w:p w14:paraId="02F7D0A2" w14:textId="77777777" w:rsidR="0041030F" w:rsidRPr="0041030F" w:rsidRDefault="0041030F" w:rsidP="0041030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případě, že faktura nebude mít odpovídající náležitosti, bude obsahovat nesprávné či neúplné údaje, je Kupující oprávněn vrátit ji v době splatnosti zpět Prodávajícímu k doplnění. U vrácené faktury musí Kupující vyznačit důvody vrácení.</w:t>
      </w:r>
    </w:p>
    <w:p w14:paraId="780B823B" w14:textId="77777777" w:rsidR="0041030F" w:rsidRPr="0041030F" w:rsidRDefault="0041030F" w:rsidP="0041030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Prodávající je povinen podle povahy nesprávnosti fakturu opravit nebo nově vyhotovit. Oprávněným vrácením faktury přestává běžet původní doba splatnosti. Celá doba splatnosti </w:t>
      </w:r>
      <w:proofErr w:type="gramStart"/>
      <w:r w:rsidRPr="004103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běží</w:t>
      </w:r>
      <w:proofErr w:type="gramEnd"/>
      <w:r w:rsidRPr="004103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znovu ode dne doručení opravené nebo nově vyhotovené faktury Kupujícímu.</w:t>
      </w:r>
    </w:p>
    <w:p w14:paraId="6C901828" w14:textId="29BB169E" w:rsidR="0041030F" w:rsidRPr="0041030F" w:rsidRDefault="0041030F" w:rsidP="0041030F">
      <w:pPr>
        <w:pStyle w:val="Odstavecseseznamem"/>
        <w:keepNext/>
        <w:numPr>
          <w:ilvl w:val="0"/>
          <w:numId w:val="21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Dodání předmětu smlouvy</w:t>
      </w:r>
    </w:p>
    <w:p w14:paraId="6EFB97B6" w14:textId="77777777" w:rsidR="0041030F" w:rsidRPr="0041030F" w:rsidRDefault="0041030F" w:rsidP="0041030F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Prodávající je povinen předmět smlouvy dle odstavců 1.1, 1.2 a 1.3 Smlouvy předat Kupujícímu v termínu dle odstavce 2.2 této smlouvy. Převzetí předmětu smlouvy bude zaznamenáno protokolem o převzetí HW do užívání.</w:t>
      </w:r>
    </w:p>
    <w:p w14:paraId="44F81196" w14:textId="77777777" w:rsidR="0041030F" w:rsidRPr="0041030F" w:rsidRDefault="0041030F" w:rsidP="0041030F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Právo užívat programy, které jsou součástí předmětu této smlouvy a na které vykonává Prodávající autorské právo ve smyslu zákona č.121 z roku 2000 ve znění pozdějších předpisů, vzniká Kupujícímu po předání předmětu smlouvy </w:t>
      </w:r>
      <w:r w:rsidRPr="0041030F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do užívání dle odstavce 5.1 Smlouvy</w:t>
      </w: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.</w:t>
      </w:r>
    </w:p>
    <w:p w14:paraId="7BC773B1" w14:textId="7BD7CC71" w:rsidR="0041030F" w:rsidRPr="0041030F" w:rsidRDefault="0041030F" w:rsidP="0041030F">
      <w:pPr>
        <w:keepNext/>
        <w:tabs>
          <w:tab w:val="num" w:pos="357"/>
          <w:tab w:val="num" w:pos="720"/>
        </w:tabs>
        <w:spacing w:before="240" w:after="0" w:line="240" w:lineRule="auto"/>
        <w:ind w:left="720" w:hanging="360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 xml:space="preserve">6.   </w:t>
      </w: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Záruka za předmět smlouvy</w:t>
      </w:r>
    </w:p>
    <w:p w14:paraId="2DAE4317" w14:textId="77777777" w:rsidR="0041030F" w:rsidRPr="0041030F" w:rsidRDefault="0041030F" w:rsidP="0041030F">
      <w:pPr>
        <w:widowControl w:val="0"/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  <w:t>6.1</w:t>
      </w: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ab/>
        <w:t xml:space="preserve">Prodávající poskytuje záruku na předmět smlouvy po dobu účinnosti </w:t>
      </w:r>
      <w:bookmarkStart w:id="0" w:name="_Hlk174006060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Smlouvy o poskytnutí a provozování systému pro rezervaci vstupenek a zboží číslo 240017 uzavřenou mezi smluvními stranami dne 7. 3. 2024</w:t>
      </w:r>
      <w:bookmarkEnd w:id="0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.</w:t>
      </w:r>
    </w:p>
    <w:p w14:paraId="11509184" w14:textId="77777777" w:rsidR="0041030F" w:rsidRPr="0041030F" w:rsidRDefault="0041030F" w:rsidP="0041030F">
      <w:pPr>
        <w:widowControl w:val="0"/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  <w:t>6.4</w:t>
      </w: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ab/>
        <w:t>Záruka se nevztahuje na předmět smlouvy:</w:t>
      </w:r>
    </w:p>
    <w:p w14:paraId="5AEB255B" w14:textId="77777777" w:rsidR="0041030F" w:rsidRPr="0041030F" w:rsidRDefault="0041030F" w:rsidP="0041030F">
      <w:pPr>
        <w:widowControl w:val="0"/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jestliže Kupující předmět smlouvy nebo jakoukoliv jeho část použije předtím, než mu bylo v souladu s článkem 5 této smlouvy předáno a/nebo</w:t>
      </w:r>
    </w:p>
    <w:p w14:paraId="0A04FAF0" w14:textId="77777777" w:rsidR="0041030F" w:rsidRPr="0041030F" w:rsidRDefault="0041030F" w:rsidP="0041030F">
      <w:pPr>
        <w:widowControl w:val="0"/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jestliže Kupující předmět smlouvy nebo jakoukoliv jeho část použije v rozporu s ustanovením článku 9. Smlouvy a/nebo s Přílohou III Smlouvy</w:t>
      </w:r>
    </w:p>
    <w:p w14:paraId="7C1B8BB8" w14:textId="77777777" w:rsidR="0041030F" w:rsidRPr="0041030F" w:rsidRDefault="0041030F" w:rsidP="0041030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Zasáhne-li Kupující do konstrukce HW nebo nainstaluje-li dohledový systém monitoringu a diagnostiky provozu, je povinen učinit tak odborným způsobem s využitím informací od Prodávajícího. Tímto způsobem provedené zásahy a úpravy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neruší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záruku. Vady vzniklé zjevně nesprávným užíváním nebo neodborným zásahem Kupujícího odstraní Prodávající dle rozsahu závady v přiměřené lhůtě na náklady Kupujícího.</w:t>
      </w:r>
    </w:p>
    <w:p w14:paraId="47CC1D6F" w14:textId="77777777" w:rsidR="0041030F" w:rsidRPr="0041030F" w:rsidRDefault="0041030F" w:rsidP="0041030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Kupující je povinen vady oznámit Prodávajícímu bez zbytečného odkladu postupem dle Smlouvy o poskytnutí a provozování systému pro rezervaci vstupenek a zboží číslo 240017 uzavřenou mezi smluvními stranami dne 7. 3. 2024.</w:t>
      </w:r>
    </w:p>
    <w:p w14:paraId="7C921472" w14:textId="77777777" w:rsidR="0041030F" w:rsidRPr="0041030F" w:rsidRDefault="0041030F" w:rsidP="0041030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Prodávající garantuje Kupujícímu pozáruční servis HW.</w:t>
      </w:r>
    </w:p>
    <w:p w14:paraId="0B27538D" w14:textId="5869D05E" w:rsidR="0041030F" w:rsidRPr="0041030F" w:rsidRDefault="0041030F" w:rsidP="0041030F">
      <w:pPr>
        <w:pStyle w:val="Odstavecseseznamem"/>
        <w:keepNext/>
        <w:numPr>
          <w:ilvl w:val="0"/>
          <w:numId w:val="23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lastRenderedPageBreak/>
        <w:t>Smluvní pokuty</w:t>
      </w:r>
    </w:p>
    <w:p w14:paraId="7EBCFEB1" w14:textId="77777777" w:rsidR="0041030F" w:rsidRPr="0041030F" w:rsidRDefault="0041030F" w:rsidP="0041030F">
      <w:pPr>
        <w:widowControl w:val="0"/>
        <w:numPr>
          <w:ilvl w:val="1"/>
          <w:numId w:val="5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Prodávající bude platit Kupujícímu smluvní pokutu za prodlení s plněním předmětu této smlouvy dle článku 1, v termínech dle článku 2 Smlouvy, a to 0,05 % z ceny předmětu smlouvy dle odstavců 3.1, 3.2 a 3.3 Smlouvy za každý den prodlení.</w:t>
      </w:r>
    </w:p>
    <w:p w14:paraId="3383CE87" w14:textId="77777777" w:rsidR="0041030F" w:rsidRPr="0041030F" w:rsidRDefault="0041030F" w:rsidP="0041030F">
      <w:pPr>
        <w:widowControl w:val="0"/>
        <w:numPr>
          <w:ilvl w:val="1"/>
          <w:numId w:val="5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Kupující bude platit Prodávajícímu úrok z prodlení v zákonné výši při prodlení s úhradou faktur dle odstavce 4.1 této smlouvy.</w:t>
      </w:r>
    </w:p>
    <w:p w14:paraId="6296DF31" w14:textId="77777777" w:rsidR="0041030F" w:rsidRPr="0041030F" w:rsidRDefault="0041030F" w:rsidP="0041030F">
      <w:pPr>
        <w:widowControl w:val="0"/>
        <w:numPr>
          <w:ilvl w:val="1"/>
          <w:numId w:val="5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Smluvní pokuty jsou splatné do 21 dnů ode dne doručení jejich vyúčtování druhé smluvní straně.</w:t>
      </w:r>
    </w:p>
    <w:p w14:paraId="50FD45F3" w14:textId="680581BA" w:rsidR="0041030F" w:rsidRPr="0041030F" w:rsidRDefault="0041030F" w:rsidP="0041030F">
      <w:pPr>
        <w:pStyle w:val="Odstavecseseznamem"/>
        <w:keepNext/>
        <w:numPr>
          <w:ilvl w:val="0"/>
          <w:numId w:val="23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Základní vztahy mezi Kupujícím a Prodávajícím</w:t>
      </w:r>
    </w:p>
    <w:p w14:paraId="1F714B61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Během plnění předmětu smlouvy je Kupující povinen umožnit pracovníkům Prodávajícího přístup do prostor instalace, a to minimálně v pracovních dnech od 7:00 do 18:00 hod., po předchozí domluvě.</w:t>
      </w:r>
    </w:p>
    <w:p w14:paraId="58658262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Kupující je povinen poskytnout nezbytnou součinnost s Prodávajícím, umožňující řádné a včasné plnění předmětu této smlouvy, zejména umožní Prodávajícímu přístup do prostor, kde bude HW instalován a pro účely školení zajistí přítomnost osob, které budou s HW pracovat. Termín školení bude stanoven dohodou mezi Kupujícím a Prodávajícím.</w:t>
      </w:r>
    </w:p>
    <w:p w14:paraId="4947C1A4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Kupující je povinen poskytnout či zprostředkovat odborné konzultace za účelem získání informací pro správné provedení instalace a konfigurace HW dle článku 1 Smlouvy. Za ztráty či škody způsobené poskytnutím nesprávných informací nese odpovědnost plně Kupující a Prodávající je oprávněn tyto ztráty Kupující účtovat sazbou dle platného ceníku Prodávajícího za vícepráce spojené s opravou instalace a konfigurace HW.</w:t>
      </w:r>
    </w:p>
    <w:p w14:paraId="60DC9AD3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Prodávající se zavazuje zachovávat mlčenlivost o interních záležitostech Kupujícího, se kterými se seznámil při provádění předmětu smlouvy.</w:t>
      </w:r>
    </w:p>
    <w:p w14:paraId="0A2C8039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Kupující se zavazuje zachovat mlčenlivost o technologiích a know-how Prodávajícího použitém při plnění předmětu této smlouvy.</w:t>
      </w:r>
    </w:p>
    <w:p w14:paraId="683FCFF0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Od této smlouvy mohou účastníci odstoupit s okamžitým účinkem za podmínek stanovených zákonem nebo touto smlouvou.</w:t>
      </w:r>
    </w:p>
    <w:p w14:paraId="73192418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Kupující je oprávněn odstoupit od smlouvy v případě podstatného porušení smluvních povinností Prodávajícím, za které se považuje zejména prodlení s předáním předmětu smlouvy dle článku 5 této smlouvy Prodávajícímu delším než 10 dní.</w:t>
      </w:r>
    </w:p>
    <w:p w14:paraId="268A9ADD" w14:textId="77777777" w:rsidR="0041030F" w:rsidRPr="0041030F" w:rsidRDefault="0041030F" w:rsidP="0041030F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Prodávající je oprávněn odstoupit od smlouvy v případě, že Kupující závažným způsobem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poruší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 podmínky užívání předmětu smlouvy dle článku 9.</w:t>
      </w:r>
    </w:p>
    <w:p w14:paraId="2E63EABA" w14:textId="4F0F2514" w:rsidR="0041030F" w:rsidRPr="0041030F" w:rsidRDefault="0041030F" w:rsidP="0041030F">
      <w:pPr>
        <w:pStyle w:val="Odstavecseseznamem"/>
        <w:keepNext/>
        <w:numPr>
          <w:ilvl w:val="0"/>
          <w:numId w:val="23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Užívání software a podmínky licence</w:t>
      </w:r>
    </w:p>
    <w:p w14:paraId="4A309E43" w14:textId="77777777" w:rsidR="0041030F" w:rsidRPr="0041030F" w:rsidRDefault="0041030F" w:rsidP="0041030F">
      <w:pPr>
        <w:widowControl w:val="0"/>
        <w:numPr>
          <w:ilvl w:val="1"/>
          <w:numId w:val="7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Prodávající poskytuje Kupujícímu licenci nevýhradní, teritoriálně omezenou územím České republiky a na dobu bez časového omezení a ke všem způsobům jeho užití, v souladu s AZ a touto smlouvou.</w:t>
      </w:r>
    </w:p>
    <w:p w14:paraId="46344F20" w14:textId="77777777" w:rsidR="0041030F" w:rsidRPr="0041030F" w:rsidRDefault="0041030F" w:rsidP="0041030F">
      <w:pPr>
        <w:widowControl w:val="0"/>
        <w:numPr>
          <w:ilvl w:val="1"/>
          <w:numId w:val="7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Prodávající prohlašuje, že je plně oprávněn disponovat právy duševního vlastnictví týkající se HW, včetně práv autorských, do HW zahrnutých, a zavazuje se zajistit řádné a nerušené užívání HW Kupujícím, včetně zajištění souhlasů všech nositelů práv duševního vlastnictví do HW zahrnutých. Prodávající je povinen Kupujícímu uhradit jakékoli majetkové a nemajetkové újmy, vzniklé v důsledku toho, že by Kupující nemohl předmět Smlouvy nebo jakoukoli jeho část užívat řádně nerušeně.</w:t>
      </w:r>
    </w:p>
    <w:p w14:paraId="5FCC4FD8" w14:textId="77777777" w:rsidR="0041030F" w:rsidRPr="0041030F" w:rsidRDefault="0041030F" w:rsidP="0041030F">
      <w:pPr>
        <w:widowControl w:val="0"/>
        <w:numPr>
          <w:ilvl w:val="1"/>
          <w:numId w:val="7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Počítačové programy, které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tvoří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 součást předmětu smlouvy podle bodu 1.1 této smlouvy, jsou chráněny autorských právem. Autorské právo k těmto programům vykonává výhradně Prodávající. Oprávnění k výlučnému vydání a šíření předmětu smlouvy dle bodu 1.1 jako celku nebo jeho jednotlivých částí náleží Prodávajícímu. Prodávající poskytuje Kupujícímu licenci spočívající v oprávnění používat předmět smlouvy pro vlastní potřebu a v souladu s jeho předmětem činnosti.</w:t>
      </w:r>
    </w:p>
    <w:p w14:paraId="3C200DC6" w14:textId="77777777" w:rsidR="0041030F" w:rsidRPr="0041030F" w:rsidRDefault="0041030F" w:rsidP="0041030F">
      <w:pPr>
        <w:widowControl w:val="0"/>
        <w:numPr>
          <w:ilvl w:val="1"/>
          <w:numId w:val="7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Kupující nesmí programy dodané podle bodu 1.1 této smlouvy použít k jinému než sjednanému účelu, zejména je nesmí jakýmkoliv způsobem zcizit nebo zastavit, popř. jakýmkoliv způsobem umožnit třetím osobám je užívat.</w:t>
      </w:r>
    </w:p>
    <w:p w14:paraId="34BD4BE2" w14:textId="77777777" w:rsidR="0041030F" w:rsidRPr="0041030F" w:rsidRDefault="0041030F" w:rsidP="0041030F">
      <w:pPr>
        <w:widowControl w:val="0"/>
        <w:numPr>
          <w:ilvl w:val="1"/>
          <w:numId w:val="7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Kupující není oprávněn pořizovat kopie programů dodaných jako součást předmětu smlouvy dle bodu 1.1 této smlouvy za účelem jiným, než je jejich zálohování.</w:t>
      </w:r>
    </w:p>
    <w:p w14:paraId="5D14E69B" w14:textId="77777777" w:rsidR="0041030F" w:rsidRPr="0041030F" w:rsidRDefault="0041030F" w:rsidP="0041030F">
      <w:pPr>
        <w:widowControl w:val="0"/>
        <w:numPr>
          <w:ilvl w:val="1"/>
          <w:numId w:val="7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lastRenderedPageBreak/>
        <w:t>Další podmínky užívání software Kupujícím jsou stanoveny v Příloze III této Smlouvy.</w:t>
      </w:r>
    </w:p>
    <w:p w14:paraId="05DFA96B" w14:textId="3ECE9BCC" w:rsidR="0041030F" w:rsidRPr="0041030F" w:rsidRDefault="0041030F" w:rsidP="0041030F">
      <w:pPr>
        <w:pStyle w:val="Odstavecseseznamem"/>
        <w:keepNext/>
        <w:numPr>
          <w:ilvl w:val="0"/>
          <w:numId w:val="23"/>
        </w:numPr>
        <w:tabs>
          <w:tab w:val="num" w:pos="357"/>
          <w:tab w:val="num" w:pos="72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</w:pPr>
      <w:r w:rsidRPr="0041030F">
        <w:rPr>
          <w:rFonts w:ascii="Times New Roman" w:eastAsia="Times New Roman" w:hAnsi="Times New Roman" w:cs="Arial"/>
          <w:b/>
          <w:bCs/>
          <w:iCs/>
          <w:kern w:val="0"/>
          <w:szCs w:val="28"/>
          <w:lang w:eastAsia="cs-CZ"/>
          <w14:ligatures w14:val="none"/>
        </w:rPr>
        <w:t>Závěrečná ujednání</w:t>
      </w:r>
    </w:p>
    <w:p w14:paraId="707330EE" w14:textId="72A90443" w:rsidR="0041030F" w:rsidRPr="0041030F" w:rsidRDefault="0041030F" w:rsidP="0041030F">
      <w:pPr>
        <w:widowControl w:val="0"/>
        <w:numPr>
          <w:ilvl w:val="1"/>
          <w:numId w:val="8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Pro vzájemné vztahy smluvních stran platí, že pro vznik, změnu nebo zánik právního vztahu (</w:t>
      </w:r>
      <w:r w:rsidR="00E1195C"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dodatku</w:t>
      </w: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 apod.) je zapotřebí písemné formy právního úkonu. Smluvní strany se tímto výslovně dohodly, že případné další dodávky zejména programového vybavení budou sjednány výhradně smlouvou v písemné formě, pro případ provozního materiálu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postačí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 objednávka. Osobami oprávněnými za tím účelem za smluvní strany jednat jsou osoby, které jsou jejich statutárními orgány nebo jsou oprávněny jednat jménem smluvní strany ve všech věcech, popř. jsou k takovému jednání těmito osobami výslovně pověřeny nebo zmocněny.</w:t>
      </w:r>
    </w:p>
    <w:p w14:paraId="0E290A1C" w14:textId="77777777" w:rsidR="0041030F" w:rsidRPr="0041030F" w:rsidRDefault="0041030F" w:rsidP="0041030F">
      <w:pPr>
        <w:widowControl w:val="0"/>
        <w:numPr>
          <w:ilvl w:val="1"/>
          <w:numId w:val="8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Smlouva je platná dnem jejího podpisu oprávněnými zástupci smluvních stran a nabývá účinnosti jejím zveřejněním v Registru smluv. Zveřejnění v Registru smluv zajistí Kupující. </w:t>
      </w:r>
    </w:p>
    <w:p w14:paraId="57757A29" w14:textId="77777777" w:rsidR="0041030F" w:rsidRPr="0041030F" w:rsidRDefault="0041030F" w:rsidP="0041030F">
      <w:pPr>
        <w:widowControl w:val="0"/>
        <w:numPr>
          <w:ilvl w:val="1"/>
          <w:numId w:val="8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Smlouva je vyhotovena ve třech exemplářích, Kupující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obdrží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 dva a prodávající jeden exemplář.</w:t>
      </w:r>
    </w:p>
    <w:p w14:paraId="50DC5441" w14:textId="77777777" w:rsidR="0041030F" w:rsidRPr="0041030F" w:rsidRDefault="0041030F" w:rsidP="0041030F">
      <w:pPr>
        <w:widowControl w:val="0"/>
        <w:numPr>
          <w:ilvl w:val="1"/>
          <w:numId w:val="8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Nedílnou součást této smlouvy </w:t>
      </w:r>
      <w:proofErr w:type="gramStart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tvoří</w:t>
      </w:r>
      <w:proofErr w:type="gramEnd"/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 přílohy:</w:t>
      </w:r>
    </w:p>
    <w:p w14:paraId="2F9927E4" w14:textId="77777777" w:rsidR="0041030F" w:rsidRPr="0041030F" w:rsidRDefault="0041030F" w:rsidP="0041030F">
      <w:pPr>
        <w:widowControl w:val="0"/>
        <w:numPr>
          <w:ilvl w:val="0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Příloha I – Specifikace předmětu smlouvy dle odstavce, požadavky na součinnost</w:t>
      </w:r>
    </w:p>
    <w:p w14:paraId="219C2D59" w14:textId="77777777" w:rsidR="0041030F" w:rsidRPr="0041030F" w:rsidRDefault="0041030F" w:rsidP="0041030F">
      <w:pPr>
        <w:widowControl w:val="0"/>
        <w:numPr>
          <w:ilvl w:val="0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Příloha II – Specifikace technické podpory</w:t>
      </w:r>
    </w:p>
    <w:p w14:paraId="7F8468CC" w14:textId="77777777" w:rsidR="0041030F" w:rsidRPr="0041030F" w:rsidRDefault="0041030F" w:rsidP="0041030F">
      <w:pPr>
        <w:widowControl w:val="0"/>
        <w:numPr>
          <w:ilvl w:val="0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Příloha III – Další podmínky užívání software</w:t>
      </w:r>
    </w:p>
    <w:p w14:paraId="15B56687" w14:textId="77777777" w:rsidR="0041030F" w:rsidRPr="0041030F" w:rsidRDefault="0041030F" w:rsidP="0041030F">
      <w:pPr>
        <w:widowControl w:val="0"/>
        <w:numPr>
          <w:ilvl w:val="1"/>
          <w:numId w:val="8"/>
        </w:num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Zástupci účastníků této smlouvy po jejím přečtení prohlašují, že s jejím obsahem souhlasí, což stvrzují svými podpisy.</w:t>
      </w:r>
    </w:p>
    <w:p w14:paraId="6B2B0BCD" w14:textId="77777777" w:rsidR="0041030F" w:rsidRPr="0041030F" w:rsidRDefault="0041030F" w:rsidP="00410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7"/>
        <w:gridCol w:w="4515"/>
      </w:tblGrid>
      <w:tr w:rsidR="0041030F" w:rsidRPr="0041030F" w14:paraId="01C0BB62" w14:textId="77777777" w:rsidTr="00EF55BE">
        <w:trPr>
          <w:jc w:val="center"/>
        </w:trPr>
        <w:tc>
          <w:tcPr>
            <w:tcW w:w="4606" w:type="dxa"/>
            <w:shd w:val="clear" w:color="auto" w:fill="auto"/>
          </w:tcPr>
          <w:p w14:paraId="6D70B19A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V Praze dne: </w:t>
            </w:r>
          </w:p>
        </w:tc>
        <w:tc>
          <w:tcPr>
            <w:tcW w:w="4606" w:type="dxa"/>
            <w:shd w:val="clear" w:color="auto" w:fill="auto"/>
          </w:tcPr>
          <w:p w14:paraId="175A6426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V Praze dne: </w:t>
            </w:r>
          </w:p>
        </w:tc>
      </w:tr>
      <w:tr w:rsidR="0041030F" w:rsidRPr="0041030F" w14:paraId="46D3E3EA" w14:textId="77777777" w:rsidTr="00EF55BE">
        <w:trPr>
          <w:trHeight w:val="1409"/>
          <w:jc w:val="center"/>
        </w:trPr>
        <w:tc>
          <w:tcPr>
            <w:tcW w:w="4606" w:type="dxa"/>
            <w:shd w:val="clear" w:color="auto" w:fill="auto"/>
          </w:tcPr>
          <w:p w14:paraId="59E14D35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335BC359" w14:textId="77777777" w:rsidR="0041030F" w:rsidRPr="0041030F" w:rsidRDefault="0041030F" w:rsidP="00410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261F6AF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341911B" w14:textId="4FEAEBE1" w:rsidR="0041030F" w:rsidRPr="0041030F" w:rsidRDefault="005B1FAA" w:rsidP="00410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xxxxxxxxxxxxxxxxxxxxxxxxxxxxxxxxxxxx</w:t>
            </w:r>
            <w:proofErr w:type="spellEnd"/>
          </w:p>
          <w:p w14:paraId="6568AA79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........................................</w:t>
            </w:r>
          </w:p>
          <w:p w14:paraId="7B60D2D9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smartTag w:uri="urn:schemas-microsoft-com:office:smarttags" w:element="PersonName">
              <w:smartTagPr>
                <w:attr w:name="ProductID" w:val="Petr Novotn�"/>
              </w:smartTagPr>
              <w:r w:rsidRPr="0041030F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cs-CZ"/>
                  <w14:ligatures w14:val="none"/>
                </w:rPr>
                <w:t>Petr Novotný</w:t>
              </w:r>
            </w:smartTag>
          </w:p>
          <w:p w14:paraId="4C85C871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jednatel</w:t>
            </w:r>
          </w:p>
          <w:p w14:paraId="43676966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smartTag w:uri="urn:schemas-microsoft-com:office:smarttags" w:element="PersonName">
              <w:smartTagPr>
                <w:attr w:name="ProductID" w:val="Perfect System"/>
              </w:smartTagPr>
              <w:r w:rsidRPr="0041030F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cs-CZ"/>
                  <w14:ligatures w14:val="none"/>
                </w:rPr>
                <w:t>Perfect</w:t>
              </w:r>
              <w:proofErr w:type="spellEnd"/>
              <w:r w:rsidRPr="0041030F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cs-CZ"/>
                  <w14:ligatures w14:val="none"/>
                </w:rPr>
                <w:t xml:space="preserve"> System</w:t>
              </w:r>
            </w:smartTag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, s.r.o.</w:t>
            </w:r>
          </w:p>
        </w:tc>
        <w:tc>
          <w:tcPr>
            <w:tcW w:w="4606" w:type="dxa"/>
            <w:shd w:val="clear" w:color="auto" w:fill="auto"/>
          </w:tcPr>
          <w:p w14:paraId="7143396E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3AFF26D3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9813BD9" w14:textId="77777777" w:rsidR="0041030F" w:rsidRPr="0041030F" w:rsidRDefault="0041030F" w:rsidP="00410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1DE1F3D0" w14:textId="20ED5E68" w:rsidR="0041030F" w:rsidRPr="0041030F" w:rsidRDefault="005B1FAA" w:rsidP="00410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xxxxxxxxxxxxxxxxxxxxxxxxx</w:t>
            </w:r>
            <w:proofErr w:type="spellEnd"/>
          </w:p>
          <w:p w14:paraId="00532F55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........................................</w:t>
            </w:r>
          </w:p>
          <w:p w14:paraId="124B8F45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Ing. Martin Souček</w:t>
            </w:r>
          </w:p>
          <w:p w14:paraId="77C4172A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ředitel Odboru digitalizace a informačních systémů</w:t>
            </w:r>
          </w:p>
          <w:p w14:paraId="38B9B14F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03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Národní muzeum</w:t>
            </w:r>
          </w:p>
        </w:tc>
      </w:tr>
    </w:tbl>
    <w:p w14:paraId="49DB5509" w14:textId="77777777" w:rsidR="0041030F" w:rsidRPr="0041030F" w:rsidRDefault="0041030F" w:rsidP="00410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  <w:br w:type="page"/>
      </w:r>
      <w:r w:rsidRPr="0041030F"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  <w:lastRenderedPageBreak/>
        <w:t>Příloha I – Specifikace předmětu smlouvy dle odstavce 1.3, požadavky na součinnost</w:t>
      </w:r>
    </w:p>
    <w:p w14:paraId="7E5A099D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5F2FD9F3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bCs/>
          <w:kern w:val="0"/>
          <w:szCs w:val="24"/>
          <w:lang w:eastAsia="cs-CZ"/>
          <w14:ligatures w14:val="none"/>
        </w:rPr>
        <w:t>Specifikace dodávaného hardware – samoobslužné pokladny</w:t>
      </w:r>
    </w:p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900"/>
      </w:tblGrid>
      <w:tr w:rsidR="0041030F" w:rsidRPr="0041030F" w14:paraId="43036380" w14:textId="77777777" w:rsidTr="00EF55BE">
        <w:trPr>
          <w:trHeight w:val="300"/>
          <w:jc w:val="center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C91A51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cs-CZ"/>
                <w14:ligatures w14:val="none"/>
              </w:rPr>
              <w:t>Specifikace samoobslužné pokladny:</w:t>
            </w:r>
          </w:p>
        </w:tc>
      </w:tr>
      <w:tr w:rsidR="0041030F" w:rsidRPr="0041030F" w14:paraId="336A5818" w14:textId="77777777" w:rsidTr="00EF55BE">
        <w:trPr>
          <w:trHeight w:val="300"/>
          <w:jc w:val="center"/>
        </w:trPr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9AD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  <w:t xml:space="preserve">Dell </w:t>
            </w:r>
            <w:proofErr w:type="spellStart"/>
            <w:r w:rsidRPr="0041030F"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  <w:t>OptiPlex</w:t>
            </w:r>
            <w:proofErr w:type="spellEnd"/>
            <w:r w:rsidRPr="0041030F"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  <w:t xml:space="preserve"> 3000 MFF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2C6E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LCD specifikace panelu</w:t>
            </w:r>
          </w:p>
        </w:tc>
      </w:tr>
      <w:tr w:rsidR="0041030F" w:rsidRPr="0041030F" w14:paraId="042A4DA4" w14:textId="77777777" w:rsidTr="00EF55BE">
        <w:trPr>
          <w:trHeight w:val="300"/>
          <w:jc w:val="center"/>
        </w:trPr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6C49" w14:textId="77777777" w:rsidR="0041030F" w:rsidRPr="0041030F" w:rsidRDefault="0041030F" w:rsidP="0041030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DEA5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 xml:space="preserve">Panel: průmyslový originální panel, </w:t>
            </w:r>
            <w:proofErr w:type="spellStart"/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Edge</w:t>
            </w:r>
            <w:proofErr w:type="spellEnd"/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 xml:space="preserve"> LED BLU</w:t>
            </w:r>
          </w:p>
        </w:tc>
      </w:tr>
      <w:tr w:rsidR="0041030F" w:rsidRPr="0041030F" w14:paraId="51FBA23D" w14:textId="77777777" w:rsidTr="00EF55BE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3D0E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CPU: i5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2FEE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Maximální rozlišení: 32“, 1920x1080p</w:t>
            </w:r>
          </w:p>
        </w:tc>
      </w:tr>
      <w:tr w:rsidR="0041030F" w:rsidRPr="0041030F" w14:paraId="1E8E7F9A" w14:textId="77777777" w:rsidTr="00EF55BE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E3D7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proofErr w:type="gramStart"/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4GB</w:t>
            </w:r>
            <w:proofErr w:type="gramEnd"/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 xml:space="preserve"> DDR3 paměť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753D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Jas: 300 cd/m2 s dotykovým sklem</w:t>
            </w:r>
          </w:p>
        </w:tc>
      </w:tr>
      <w:tr w:rsidR="0041030F" w:rsidRPr="0041030F" w14:paraId="0990383A" w14:textId="77777777" w:rsidTr="00EF55BE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F3A3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proofErr w:type="gramStart"/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128GB</w:t>
            </w:r>
            <w:proofErr w:type="gramEnd"/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 xml:space="preserve"> SSD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9300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Kontrastní poměr: 5000:1</w:t>
            </w:r>
          </w:p>
        </w:tc>
      </w:tr>
      <w:tr w:rsidR="0041030F" w:rsidRPr="0041030F" w14:paraId="429370A2" w14:textId="77777777" w:rsidTr="00EF55BE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B8A5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MS Windows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9F41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Úhel pohledu: H/178, V/178</w:t>
            </w:r>
          </w:p>
        </w:tc>
      </w:tr>
      <w:tr w:rsidR="0041030F" w:rsidRPr="0041030F" w14:paraId="0F915BE3" w14:textId="77777777" w:rsidTr="00EF55BE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BF89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Tiskárna pro tisk vstupenek/účtenek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A597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Doba odezvy: 8ms</w:t>
            </w:r>
          </w:p>
        </w:tc>
      </w:tr>
      <w:tr w:rsidR="0041030F" w:rsidRPr="0041030F" w14:paraId="23F74B4C" w14:textId="77777777" w:rsidTr="00EF55BE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D89F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Platební terminál Prodávajícího, v souladu se stávajícími podmínkami platebních terminálů na pokladnách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3EB3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  <w:t>kapacitní dotykový panel</w:t>
            </w:r>
          </w:p>
        </w:tc>
      </w:tr>
      <w:tr w:rsidR="0041030F" w:rsidRPr="0041030F" w14:paraId="31E6CC0A" w14:textId="77777777" w:rsidTr="00EF55BE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5629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41030F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cs-CZ"/>
                <w14:ligatures w14:val="none"/>
              </w:rPr>
              <w:t>Barva: RAL 7016 (antracitová šedá)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3B89" w14:textId="77777777" w:rsidR="0041030F" w:rsidRPr="0041030F" w:rsidRDefault="0041030F" w:rsidP="0041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Cs w:val="24"/>
                <w:lang w:eastAsia="cs-CZ"/>
                <w14:ligatures w14:val="none"/>
              </w:rPr>
            </w:pPr>
          </w:p>
        </w:tc>
      </w:tr>
    </w:tbl>
    <w:p w14:paraId="7E2E6A3B" w14:textId="03B4ED8E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55AE4807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1A0E1248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bCs/>
          <w:kern w:val="0"/>
          <w:szCs w:val="24"/>
          <w:lang w:eastAsia="cs-CZ"/>
          <w14:ligatures w14:val="none"/>
        </w:rPr>
        <w:t>Požadavky na součinnost</w:t>
      </w:r>
    </w:p>
    <w:p w14:paraId="28E0108D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Kupující na své náklady zajistí:</w:t>
      </w:r>
    </w:p>
    <w:p w14:paraId="36E7B422" w14:textId="77777777" w:rsidR="0041030F" w:rsidRPr="0041030F" w:rsidRDefault="0041030F" w:rsidP="0041030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vhodné místo k umístění a montáži samoobslužných pokladen, samoobslužné pokladny lze na stěnu nebo do podlahy pomocí hmoždinek a šroubů</w:t>
      </w:r>
    </w:p>
    <w:p w14:paraId="71F65E0E" w14:textId="77777777" w:rsidR="0041030F" w:rsidRPr="0041030F" w:rsidRDefault="0041030F" w:rsidP="0041030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pro každou samoobslužnou pokladnu zajistí Kupující tyto přípojky:</w:t>
      </w:r>
    </w:p>
    <w:p w14:paraId="138339E5" w14:textId="77777777" w:rsidR="0041030F" w:rsidRPr="0041030F" w:rsidRDefault="0041030F" w:rsidP="0041030F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1x napájení 230 V</w:t>
      </w:r>
    </w:p>
    <w:p w14:paraId="2C50D4F1" w14:textId="77777777" w:rsidR="0041030F" w:rsidRPr="0041030F" w:rsidRDefault="0041030F" w:rsidP="0041030F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2x kabelové připojení do LAN</w:t>
      </w:r>
    </w:p>
    <w:p w14:paraId="3405F7B8" w14:textId="77777777" w:rsidR="0041030F" w:rsidRPr="0041030F" w:rsidRDefault="0041030F" w:rsidP="0041030F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neblokovaný přístup z automatické pokladny do sítě internet</w:t>
      </w:r>
    </w:p>
    <w:p w14:paraId="63FD2356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01417DC0" w14:textId="77777777" w:rsidR="0041030F" w:rsidRPr="0041030F" w:rsidRDefault="0041030F" w:rsidP="004103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  <w:br w:type="page"/>
      </w:r>
      <w:r w:rsidRPr="0041030F"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  <w:lastRenderedPageBreak/>
        <w:t>Příloha II – Specifikace nadstandardní technické podpory</w:t>
      </w:r>
    </w:p>
    <w:p w14:paraId="4881EA9E" w14:textId="77777777" w:rsidR="0041030F" w:rsidRPr="0041030F" w:rsidRDefault="0041030F" w:rsidP="0041030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Cs/>
          <w:kern w:val="0"/>
          <w:szCs w:val="20"/>
          <w:lang w:eastAsia="cs-CZ"/>
          <w14:ligatures w14:val="none"/>
        </w:rPr>
        <w:t>Dle podmínek Smlouvy o poskytnutí a provozování systému pro rezervaci vstupenek a zboží číslo 240017 uzavřenou mezi smluvními stranami dne 7. 3. 2024.</w:t>
      </w:r>
    </w:p>
    <w:p w14:paraId="3B128E42" w14:textId="77777777" w:rsidR="0041030F" w:rsidRPr="0041030F" w:rsidRDefault="0041030F" w:rsidP="004103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Cs/>
          <w:kern w:val="0"/>
          <w:szCs w:val="20"/>
          <w:lang w:eastAsia="cs-CZ"/>
          <w14:ligatures w14:val="none"/>
        </w:rPr>
        <w:br w:type="page"/>
      </w:r>
      <w:r w:rsidRPr="0041030F">
        <w:rPr>
          <w:rFonts w:ascii="Times New Roman" w:eastAsia="Times New Roman" w:hAnsi="Times New Roman" w:cs="Times New Roman"/>
          <w:b/>
          <w:kern w:val="0"/>
          <w:szCs w:val="20"/>
          <w:lang w:eastAsia="cs-CZ"/>
          <w14:ligatures w14:val="none"/>
        </w:rPr>
        <w:lastRenderedPageBreak/>
        <w:t>Příloha III – Další podmínky užívání software</w:t>
      </w:r>
    </w:p>
    <w:p w14:paraId="51E85DA1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</w:p>
    <w:p w14:paraId="5A5CD9A8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1. OCHRANNÉ ZNÁMKY, AUTOHWKÁ PRÁVA</w:t>
      </w:r>
    </w:p>
    <w:p w14:paraId="3716D8A6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02823140" w14:textId="77777777" w:rsidR="0041030F" w:rsidRPr="0041030F" w:rsidRDefault="0041030F" w:rsidP="0041030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Softwarový produkt je chráněn zákony a dohodami o duševním vlastnictví. Softwarový produkt se neprodává, pouze se uděluje licence k jeho užívání.</w:t>
      </w:r>
    </w:p>
    <w:p w14:paraId="57A808AA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</w:p>
    <w:p w14:paraId="6461463D" w14:textId="77777777" w:rsidR="0041030F" w:rsidRPr="0041030F" w:rsidRDefault="0041030F" w:rsidP="0041030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Výrobce produktu, společnost </w:t>
      </w:r>
      <w:proofErr w:type="spellStart"/>
      <w:smartTag w:uri="urn:schemas-microsoft-com:office:smarttags" w:element="PersonName">
        <w:smartTagPr>
          <w:attr w:name="ProductID" w:val="Perfect System"/>
        </w:smartTagPr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>Perfect</w:t>
        </w:r>
        <w:proofErr w:type="spellEnd"/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 xml:space="preserve"> </w:t>
        </w:r>
        <w:proofErr w:type="spellStart"/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>System</w:t>
        </w:r>
      </w:smartTag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, s.r.o., zaručuje, že je výhradním majitelem dodaného produktu a všech autorských práv s produktem spojených, a že je ze zákona oprávněna poskytnout licenci bez souhlasu třetí strany.</w:t>
      </w:r>
    </w:p>
    <w:p w14:paraId="02D072E6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11D481C7" w14:textId="77777777" w:rsidR="0041030F" w:rsidRPr="0041030F" w:rsidRDefault="0041030F" w:rsidP="0041030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Kupující je srozuměn se skutečností, že držitelem veškerých autorských práv spojených s rezervačním systémem je společnost </w:t>
      </w:r>
      <w:proofErr w:type="spellStart"/>
      <w:smartTag w:uri="urn:schemas-microsoft-com:office:smarttags" w:element="PersonName">
        <w:smartTagPr>
          <w:attr w:name="ProductID" w:val="Perfect System"/>
        </w:smartTagPr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>Perfect</w:t>
        </w:r>
        <w:proofErr w:type="spellEnd"/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 xml:space="preserve"> </w:t>
        </w:r>
        <w:proofErr w:type="spellStart"/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>System</w:t>
        </w:r>
      </w:smartTag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, s.r.o., která Kupujícímu poskytuje licenci pro využívání programu.</w:t>
      </w:r>
    </w:p>
    <w:p w14:paraId="208366D2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6C0C4141" w14:textId="77777777" w:rsidR="0041030F" w:rsidRPr="0041030F" w:rsidRDefault="0041030F" w:rsidP="0041030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COLOSSEUM a logo společnosti </w:t>
      </w:r>
      <w:proofErr w:type="spellStart"/>
      <w:smartTag w:uri="urn:schemas-microsoft-com:office:smarttags" w:element="PersonName">
        <w:smartTagPr>
          <w:attr w:name="ProductID" w:val="Perfect System"/>
        </w:smartTagPr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>Perfect</w:t>
        </w:r>
        <w:proofErr w:type="spellEnd"/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 xml:space="preserve"> </w:t>
        </w:r>
        <w:proofErr w:type="spellStart"/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>System</w:t>
        </w:r>
      </w:smartTag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, s.r.o. jsou ochranné známky zapsané ve známkovém rejstříku Úřadu průmyslového vlastnictví pod spisovými čísly </w:t>
      </w:r>
      <w:smartTag w:uri="urn:schemas-microsoft-com:office:smarttags" w:element="metricconverter">
        <w:smartTagPr>
          <w:attr w:name="ProductID" w:val="185364 a"/>
        </w:smartTagPr>
        <w:r w:rsidRPr="0041030F">
          <w:rPr>
            <w:rFonts w:ascii="Times New Roman" w:eastAsia="Times New Roman" w:hAnsi="Times New Roman" w:cs="Times New Roman"/>
            <w:kern w:val="0"/>
            <w:szCs w:val="24"/>
            <w:lang w:eastAsia="cs-CZ"/>
            <w14:ligatures w14:val="none"/>
          </w:rPr>
          <w:t>185364 a</w:t>
        </w:r>
      </w:smartTag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185365. Program </w:t>
      </w:r>
      <w:proofErr w:type="spell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H je registrován u firmy </w:t>
      </w: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aura – pont s.r.o.</w:t>
      </w: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zabývající se právní ochranou počítačových programů pod číslem 02/41/01/1.</w:t>
      </w:r>
    </w:p>
    <w:p w14:paraId="2D3058F2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32D0F8FB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2. OMEZENÍ</w:t>
      </w:r>
    </w:p>
    <w:p w14:paraId="15EC9073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2F6E4865" w14:textId="77777777" w:rsidR="0041030F" w:rsidRPr="0041030F" w:rsidRDefault="0041030F" w:rsidP="0041030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Kupující se zavazuje používat rezervační systém </w:t>
      </w:r>
      <w:proofErr w:type="spell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tak, aby nedošlo k porušení či ohrožení autorských práv výrobce.</w:t>
      </w:r>
    </w:p>
    <w:p w14:paraId="34DC2282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</w:p>
    <w:p w14:paraId="7C24AA91" w14:textId="77777777" w:rsidR="0041030F" w:rsidRPr="0041030F" w:rsidRDefault="0041030F" w:rsidP="0041030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Kupující nesmí postoupit licenci k užívání Rezervačního systému </w:t>
      </w:r>
      <w:proofErr w:type="spell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třetí osobě.</w:t>
      </w:r>
    </w:p>
    <w:p w14:paraId="25B0789C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7E0FBCEE" w14:textId="77777777" w:rsidR="0041030F" w:rsidRPr="0041030F" w:rsidRDefault="0041030F" w:rsidP="0041030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Kupující nesmí provádět žádné změny do Rezervačního systému </w:t>
      </w:r>
      <w:proofErr w:type="spell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ani do doprovodných souborů vyjma takových změn, které jsou prováděny obslužnými programy dodanými s instalací rezervačního systém.</w:t>
      </w:r>
    </w:p>
    <w:p w14:paraId="3CCFE282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0E316C5F" w14:textId="77777777" w:rsidR="0041030F" w:rsidRPr="0041030F" w:rsidRDefault="0041030F" w:rsidP="0041030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Kupující smí pořizovat archivní kopie programu a instalačních médií pouze pro potřeby archivace a vytvoření záložních kopií.</w:t>
      </w:r>
    </w:p>
    <w:p w14:paraId="19173582" w14:textId="77777777" w:rsidR="0041030F" w:rsidRPr="0041030F" w:rsidRDefault="0041030F" w:rsidP="004103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</w:p>
    <w:p w14:paraId="2A6C6A29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3. ZÁRUKA</w:t>
      </w:r>
    </w:p>
    <w:p w14:paraId="1C3167A3" w14:textId="77777777" w:rsidR="0041030F" w:rsidRPr="0041030F" w:rsidRDefault="0041030F" w:rsidP="0041030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2E61894B" w14:textId="77777777" w:rsidR="0041030F" w:rsidRPr="0041030F" w:rsidRDefault="0041030F" w:rsidP="0041030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Výrobce poskytuje záruku na Rezervační systém </w:t>
      </w:r>
      <w:proofErr w:type="spellStart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Colosseum</w:t>
      </w:r>
      <w:proofErr w:type="spellEnd"/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po dobu trvání záruční lhůty.</w:t>
      </w:r>
    </w:p>
    <w:p w14:paraId="6EDCDB1C" w14:textId="77777777" w:rsidR="0041030F" w:rsidRPr="0041030F" w:rsidRDefault="0041030F" w:rsidP="0041030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29CEAB59" w14:textId="77777777" w:rsidR="0041030F" w:rsidRPr="0041030F" w:rsidRDefault="0041030F" w:rsidP="0041030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41030F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Záruka není platná, jestliže uživatel umožní použití nebo užívání HW nebo jeho části třetí osobě.</w:t>
      </w:r>
    </w:p>
    <w:p w14:paraId="789037A4" w14:textId="77777777" w:rsidR="0041030F" w:rsidRPr="0041030F" w:rsidRDefault="0041030F" w:rsidP="0041030F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58EAC48A" w14:textId="77777777" w:rsidR="005055BA" w:rsidRDefault="005055BA"/>
    <w:sectPr w:rsidR="005055BA" w:rsidSect="004103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C4208" w14:textId="77777777" w:rsidR="000E77F0" w:rsidRDefault="000E77F0">
      <w:pPr>
        <w:spacing w:after="0" w:line="240" w:lineRule="auto"/>
      </w:pPr>
      <w:r>
        <w:separator/>
      </w:r>
    </w:p>
  </w:endnote>
  <w:endnote w:type="continuationSeparator" w:id="0">
    <w:p w14:paraId="293FF433" w14:textId="77777777" w:rsidR="000E77F0" w:rsidRDefault="000E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851C2" w14:textId="77777777" w:rsidR="000E77F0" w:rsidRDefault="000E77F0">
      <w:pPr>
        <w:spacing w:after="0" w:line="240" w:lineRule="auto"/>
      </w:pPr>
      <w:r>
        <w:separator/>
      </w:r>
    </w:p>
  </w:footnote>
  <w:footnote w:type="continuationSeparator" w:id="0">
    <w:p w14:paraId="64E79BD4" w14:textId="77777777" w:rsidR="000E77F0" w:rsidRDefault="000E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38544" w14:textId="77777777" w:rsidR="0041030F" w:rsidRDefault="0041030F">
    <w:pPr>
      <w:pStyle w:val="Zhlav"/>
      <w:pBdr>
        <w:bottom w:val="single" w:sz="4" w:space="1" w:color="auto"/>
      </w:pBdr>
      <w:jc w:val="right"/>
    </w:pPr>
    <w:r>
      <w:t>Kupní smlouva a smlouva o poskytnutí licence a služeb číslo KSLS2024-0110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6DBE"/>
    <w:multiLevelType w:val="multilevel"/>
    <w:tmpl w:val="6804D1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4876C82"/>
    <w:multiLevelType w:val="multilevel"/>
    <w:tmpl w:val="C20AA8B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" w15:restartNumberingAfterBreak="0">
    <w:nsid w:val="14E67C79"/>
    <w:multiLevelType w:val="hybridMultilevel"/>
    <w:tmpl w:val="0B8A15F8"/>
    <w:lvl w:ilvl="0" w:tplc="D0A4D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B1FE4"/>
    <w:multiLevelType w:val="hybridMultilevel"/>
    <w:tmpl w:val="3C201C4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2326E"/>
    <w:multiLevelType w:val="hybridMultilevel"/>
    <w:tmpl w:val="C728E78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733E7"/>
    <w:multiLevelType w:val="hybridMultilevel"/>
    <w:tmpl w:val="0B8A15F8"/>
    <w:lvl w:ilvl="0" w:tplc="D0A4D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95438"/>
    <w:multiLevelType w:val="multilevel"/>
    <w:tmpl w:val="A6A8F33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3730431"/>
    <w:multiLevelType w:val="hybridMultilevel"/>
    <w:tmpl w:val="AE1A92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AD17F8"/>
    <w:multiLevelType w:val="hybridMultilevel"/>
    <w:tmpl w:val="0B8A15F8"/>
    <w:lvl w:ilvl="0" w:tplc="D0A4D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7D2DCC"/>
    <w:multiLevelType w:val="multilevel"/>
    <w:tmpl w:val="6B9CDD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CDA0909"/>
    <w:multiLevelType w:val="hybridMultilevel"/>
    <w:tmpl w:val="76CA976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E3AC9"/>
    <w:multiLevelType w:val="multilevel"/>
    <w:tmpl w:val="B12EE70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D6D6508"/>
    <w:multiLevelType w:val="multilevel"/>
    <w:tmpl w:val="8C5C3D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3" w15:restartNumberingAfterBreak="0">
    <w:nsid w:val="61EC6A4D"/>
    <w:multiLevelType w:val="hybridMultilevel"/>
    <w:tmpl w:val="99887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29A7"/>
    <w:multiLevelType w:val="multilevel"/>
    <w:tmpl w:val="DD848EA6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60C1DE4"/>
    <w:multiLevelType w:val="hybridMultilevel"/>
    <w:tmpl w:val="C3B0A8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654B5"/>
    <w:multiLevelType w:val="multilevel"/>
    <w:tmpl w:val="370C388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7" w15:restartNumberingAfterBreak="0">
    <w:nsid w:val="727953F2"/>
    <w:multiLevelType w:val="multilevel"/>
    <w:tmpl w:val="7F9ACFB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7C0F1EFF"/>
    <w:multiLevelType w:val="multilevel"/>
    <w:tmpl w:val="587C13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EDD26A2"/>
    <w:multiLevelType w:val="multilevel"/>
    <w:tmpl w:val="8DC6467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F4F5BDC"/>
    <w:multiLevelType w:val="hybridMultilevel"/>
    <w:tmpl w:val="A3489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119C9"/>
    <w:multiLevelType w:val="hybridMultilevel"/>
    <w:tmpl w:val="4244AF40"/>
    <w:lvl w:ilvl="0" w:tplc="B80E8A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942FE3"/>
    <w:multiLevelType w:val="hybridMultilevel"/>
    <w:tmpl w:val="9AA09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624038">
    <w:abstractNumId w:val="6"/>
  </w:num>
  <w:num w:numId="2" w16cid:durableId="1945846029">
    <w:abstractNumId w:val="19"/>
  </w:num>
  <w:num w:numId="3" w16cid:durableId="1512989702">
    <w:abstractNumId w:val="16"/>
  </w:num>
  <w:num w:numId="4" w16cid:durableId="358630435">
    <w:abstractNumId w:val="22"/>
  </w:num>
  <w:num w:numId="5" w16cid:durableId="951402949">
    <w:abstractNumId w:val="0"/>
  </w:num>
  <w:num w:numId="6" w16cid:durableId="1763063753">
    <w:abstractNumId w:val="11"/>
  </w:num>
  <w:num w:numId="7" w16cid:durableId="1546061537">
    <w:abstractNumId w:val="18"/>
  </w:num>
  <w:num w:numId="8" w16cid:durableId="171147174">
    <w:abstractNumId w:val="14"/>
  </w:num>
  <w:num w:numId="9" w16cid:durableId="1208881620">
    <w:abstractNumId w:val="15"/>
  </w:num>
  <w:num w:numId="10" w16cid:durableId="668095869">
    <w:abstractNumId w:val="17"/>
  </w:num>
  <w:num w:numId="11" w16cid:durableId="1480272230">
    <w:abstractNumId w:val="4"/>
  </w:num>
  <w:num w:numId="12" w16cid:durableId="1730104611">
    <w:abstractNumId w:val="9"/>
  </w:num>
  <w:num w:numId="13" w16cid:durableId="1818451844">
    <w:abstractNumId w:val="3"/>
  </w:num>
  <w:num w:numId="14" w16cid:durableId="472868252">
    <w:abstractNumId w:val="12"/>
  </w:num>
  <w:num w:numId="15" w16cid:durableId="1832139582">
    <w:abstractNumId w:val="1"/>
  </w:num>
  <w:num w:numId="16" w16cid:durableId="2091386875">
    <w:abstractNumId w:val="5"/>
  </w:num>
  <w:num w:numId="17" w16cid:durableId="2012753928">
    <w:abstractNumId w:val="7"/>
  </w:num>
  <w:num w:numId="18" w16cid:durableId="1712269818">
    <w:abstractNumId w:val="8"/>
  </w:num>
  <w:num w:numId="19" w16cid:durableId="232325619">
    <w:abstractNumId w:val="13"/>
  </w:num>
  <w:num w:numId="20" w16cid:durableId="2039577077">
    <w:abstractNumId w:val="2"/>
  </w:num>
  <w:num w:numId="21" w16cid:durableId="1810442240">
    <w:abstractNumId w:val="20"/>
  </w:num>
  <w:num w:numId="22" w16cid:durableId="128406655">
    <w:abstractNumId w:val="21"/>
  </w:num>
  <w:num w:numId="23" w16cid:durableId="1093012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0F"/>
    <w:rsid w:val="000E77F0"/>
    <w:rsid w:val="001B0BC4"/>
    <w:rsid w:val="0041030F"/>
    <w:rsid w:val="004C52F9"/>
    <w:rsid w:val="005055BA"/>
    <w:rsid w:val="005B1FAA"/>
    <w:rsid w:val="005C70C3"/>
    <w:rsid w:val="005D699F"/>
    <w:rsid w:val="007B5C47"/>
    <w:rsid w:val="0092223F"/>
    <w:rsid w:val="00955FD6"/>
    <w:rsid w:val="009D729B"/>
    <w:rsid w:val="00B709EA"/>
    <w:rsid w:val="00C74F33"/>
    <w:rsid w:val="00CC1140"/>
    <w:rsid w:val="00D052CE"/>
    <w:rsid w:val="00D20082"/>
    <w:rsid w:val="00E1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B6A365"/>
  <w15:chartTrackingRefBased/>
  <w15:docId w15:val="{0BE85A0C-B7BA-4488-9587-0E71973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1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03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3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3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3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3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3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0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03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03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03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03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030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4103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41030F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1AA19-4D03-40F7-90CD-D5D016E2A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9577C-541C-4674-93CD-A495F56744BE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CFABF65E-20C7-4435-A5D9-310C12B81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1977</Words>
  <Characters>11669</Characters>
  <Application>Microsoft Office Word</Application>
  <DocSecurity>0</DocSecurity>
  <Lines>97</Lines>
  <Paragraphs>27</Paragraphs>
  <ScaleCrop>false</ScaleCrop>
  <Company>Národní muzeum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4</cp:revision>
  <dcterms:created xsi:type="dcterms:W3CDTF">2024-09-13T09:06:00Z</dcterms:created>
  <dcterms:modified xsi:type="dcterms:W3CDTF">2024-09-13T09:07:00Z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