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B98" w:rsidRDefault="00714B98" w:rsidP="001533F5">
      <w:pPr>
        <w:jc w:val="center"/>
        <w:rPr>
          <w:b/>
        </w:rPr>
      </w:pPr>
      <w:bookmarkStart w:id="0" w:name="_GoBack"/>
      <w:bookmarkEnd w:id="0"/>
      <w:r w:rsidRPr="00714B98">
        <w:rPr>
          <w:b/>
        </w:rPr>
        <w:t xml:space="preserve">Rozsah </w:t>
      </w:r>
      <w:r w:rsidR="00001850">
        <w:rPr>
          <w:b/>
        </w:rPr>
        <w:t xml:space="preserve">plánovaných </w:t>
      </w:r>
      <w:r w:rsidRPr="00714B98">
        <w:rPr>
          <w:b/>
        </w:rPr>
        <w:t xml:space="preserve">stavebních prací </w:t>
      </w:r>
      <w:r w:rsidR="008A69AB">
        <w:rPr>
          <w:b/>
        </w:rPr>
        <w:t xml:space="preserve">na </w:t>
      </w:r>
      <w:r w:rsidRPr="00714B98">
        <w:rPr>
          <w:b/>
        </w:rPr>
        <w:t>akc</w:t>
      </w:r>
      <w:r w:rsidR="008A69AB">
        <w:rPr>
          <w:b/>
        </w:rPr>
        <w:t>i</w:t>
      </w:r>
      <w:r w:rsidRPr="00714B98">
        <w:rPr>
          <w:b/>
        </w:rPr>
        <w:t>:</w:t>
      </w:r>
    </w:p>
    <w:p w:rsidR="00AB5609" w:rsidRDefault="00BA1E53" w:rsidP="008A69AB">
      <w:pPr>
        <w:spacing w:after="0"/>
        <w:jc w:val="center"/>
        <w:rPr>
          <w:b/>
        </w:rPr>
      </w:pPr>
      <w:r w:rsidRPr="00BA1E53">
        <w:rPr>
          <w:b/>
        </w:rPr>
        <w:t xml:space="preserve">Vypracování projektové </w:t>
      </w:r>
      <w:r w:rsidRPr="007B371C">
        <w:rPr>
          <w:b/>
        </w:rPr>
        <w:t>dokumentace</w:t>
      </w:r>
      <w:r w:rsidR="00001850" w:rsidRPr="007B371C">
        <w:rPr>
          <w:b/>
        </w:rPr>
        <w:t xml:space="preserve"> – </w:t>
      </w:r>
      <w:r w:rsidR="007B371C" w:rsidRPr="007B371C">
        <w:rPr>
          <w:b/>
        </w:rPr>
        <w:t xml:space="preserve">Americká 8/39, </w:t>
      </w:r>
      <w:proofErr w:type="gramStart"/>
      <w:r w:rsidR="00AB5609" w:rsidRPr="007B371C">
        <w:rPr>
          <w:b/>
        </w:rPr>
        <w:t>Plzeň - snížení</w:t>
      </w:r>
      <w:proofErr w:type="gramEnd"/>
      <w:r w:rsidR="00AB5609" w:rsidRPr="00AB5609">
        <w:rPr>
          <w:b/>
        </w:rPr>
        <w:t xml:space="preserve"> energetické náročnosti budovy</w:t>
      </w:r>
    </w:p>
    <w:p w:rsidR="00483347" w:rsidRDefault="00483347" w:rsidP="001533F5">
      <w:pPr>
        <w:jc w:val="both"/>
      </w:pPr>
    </w:p>
    <w:p w:rsidR="005656D1" w:rsidRDefault="005656D1" w:rsidP="001533F5">
      <w:pPr>
        <w:jc w:val="both"/>
      </w:pPr>
    </w:p>
    <w:p w:rsidR="00F711C9" w:rsidRPr="00A67729" w:rsidRDefault="00F711C9" w:rsidP="00F711C9">
      <w:pPr>
        <w:jc w:val="both"/>
        <w:rPr>
          <w:rFonts w:cstheme="minorHAnsi"/>
          <w:b/>
          <w:u w:val="single"/>
        </w:rPr>
      </w:pPr>
      <w:r w:rsidRPr="00A67729">
        <w:rPr>
          <w:rFonts w:cstheme="minorHAnsi"/>
          <w:b/>
          <w:u w:val="single"/>
        </w:rPr>
        <w:t>1. Identifikační údaje</w:t>
      </w:r>
    </w:p>
    <w:p w:rsidR="00714B98" w:rsidRPr="00D46565" w:rsidRDefault="00714B98" w:rsidP="001533F5">
      <w:pPr>
        <w:tabs>
          <w:tab w:val="left" w:pos="2835"/>
        </w:tabs>
        <w:ind w:left="2832" w:hanging="2832"/>
        <w:jc w:val="both"/>
        <w:rPr>
          <w:strike/>
        </w:rPr>
      </w:pPr>
      <w:r w:rsidRPr="00714B98">
        <w:t>Stavba:</w:t>
      </w:r>
      <w:r w:rsidRPr="00714B98">
        <w:tab/>
      </w:r>
      <w:r w:rsidR="005656D1" w:rsidRPr="005656D1">
        <w:t xml:space="preserve">Americká 8/39, </w:t>
      </w:r>
      <w:r w:rsidR="007B371C" w:rsidRPr="007B371C">
        <w:t xml:space="preserve">Plzeň </w:t>
      </w:r>
      <w:r w:rsidR="00FF66F1">
        <w:t>–</w:t>
      </w:r>
      <w:r w:rsidR="007B371C" w:rsidRPr="007B371C">
        <w:t xml:space="preserve"> snížení</w:t>
      </w:r>
      <w:r w:rsidR="00FF66F1">
        <w:t xml:space="preserve"> </w:t>
      </w:r>
      <w:r w:rsidR="007B371C" w:rsidRPr="007B371C">
        <w:t xml:space="preserve">energetické náročnosti </w:t>
      </w:r>
      <w:r w:rsidR="007B371C" w:rsidRPr="00D46565">
        <w:t>budovy</w:t>
      </w:r>
    </w:p>
    <w:p w:rsidR="003E425F" w:rsidRDefault="003E425F" w:rsidP="001533F5">
      <w:pPr>
        <w:tabs>
          <w:tab w:val="left" w:pos="2835"/>
        </w:tabs>
        <w:ind w:left="2832" w:hanging="2832"/>
        <w:jc w:val="both"/>
      </w:pPr>
      <w:r>
        <w:t>Místo stavby:</w:t>
      </w:r>
      <w:r>
        <w:tab/>
      </w:r>
      <w:r w:rsidR="000F10E5">
        <w:t>stavba pro administrativu</w:t>
      </w:r>
      <w:r w:rsidR="000F10E5" w:rsidRPr="00714B98">
        <w:t xml:space="preserve"> </w:t>
      </w:r>
      <w:r w:rsidR="007B371C">
        <w:t>v ulici</w:t>
      </w:r>
      <w:r w:rsidR="000F10E5">
        <w:t xml:space="preserve"> Americká 8/39, na pozemku </w:t>
      </w:r>
      <w:proofErr w:type="spellStart"/>
      <w:r w:rsidR="000F10E5">
        <w:t>parc</w:t>
      </w:r>
      <w:proofErr w:type="spellEnd"/>
      <w:r w:rsidR="000F10E5">
        <w:t>. č. 5714 v katastrálním území a</w:t>
      </w:r>
      <w:r w:rsidR="001533F5" w:rsidRPr="00354F65">
        <w:t> </w:t>
      </w:r>
      <w:r w:rsidR="000F10E5">
        <w:t>obci Plzeň</w:t>
      </w:r>
    </w:p>
    <w:p w:rsidR="00714B98" w:rsidRDefault="00044A2A" w:rsidP="001533F5">
      <w:pPr>
        <w:tabs>
          <w:tab w:val="left" w:pos="2835"/>
        </w:tabs>
        <w:ind w:left="2832" w:hanging="2832"/>
        <w:jc w:val="both"/>
      </w:pPr>
      <w:r>
        <w:t>Zadavatel</w:t>
      </w:r>
      <w:r w:rsidR="00714B98">
        <w:t>:</w:t>
      </w:r>
      <w:r w:rsidR="00714B98">
        <w:tab/>
        <w:t xml:space="preserve">Česká republika – Úřad pro zastupování státu ve věcech majetkových, </w:t>
      </w:r>
      <w:r w:rsidR="00636CB0">
        <w:t>Rašínovo nábřeží 390/42, Nové Město, 128 00 Praha 2</w:t>
      </w:r>
    </w:p>
    <w:p w:rsidR="00001850" w:rsidRPr="00001850" w:rsidRDefault="004902E2" w:rsidP="00001850">
      <w:pPr>
        <w:tabs>
          <w:tab w:val="left" w:pos="2835"/>
        </w:tabs>
        <w:spacing w:after="0"/>
        <w:rPr>
          <w:rFonts w:eastAsiaTheme="minorEastAsia"/>
          <w:noProof/>
          <w:lang w:eastAsia="cs-CZ"/>
        </w:rPr>
      </w:pPr>
      <w:r w:rsidRPr="00001850">
        <w:t>Zpracovatel:</w:t>
      </w:r>
      <w:r w:rsidRPr="00001850">
        <w:tab/>
      </w:r>
      <w:r w:rsidR="00001850" w:rsidRPr="00001850">
        <w:t xml:space="preserve">Bc. Martin Doležal, </w:t>
      </w:r>
      <w:r w:rsidR="00001850" w:rsidRPr="00001850">
        <w:rPr>
          <w:rFonts w:eastAsiaTheme="minorEastAsia"/>
          <w:noProof/>
          <w:lang w:eastAsia="cs-CZ"/>
        </w:rPr>
        <w:t>referent oddělení Hospodářské správy,</w:t>
      </w:r>
    </w:p>
    <w:p w:rsidR="00001850" w:rsidRPr="00001850" w:rsidRDefault="00001850" w:rsidP="00001850">
      <w:pPr>
        <w:tabs>
          <w:tab w:val="left" w:pos="2835"/>
        </w:tabs>
        <w:spacing w:after="0"/>
        <w:ind w:left="2832"/>
        <w:rPr>
          <w:rFonts w:eastAsiaTheme="minorEastAsia"/>
          <w:b/>
          <w:bCs/>
          <w:noProof/>
          <w:lang w:eastAsia="cs-CZ"/>
        </w:rPr>
      </w:pPr>
      <w:r>
        <w:rPr>
          <w:rFonts w:eastAsiaTheme="minorEastAsia"/>
          <w:noProof/>
          <w:lang w:eastAsia="cs-CZ"/>
        </w:rPr>
        <w:t>Územní pracoviště Plzeň,</w:t>
      </w:r>
      <w:r>
        <w:rPr>
          <w:rFonts w:eastAsiaTheme="minorEastAsia"/>
          <w:b/>
          <w:bCs/>
          <w:noProof/>
          <w:lang w:eastAsia="cs-CZ"/>
        </w:rPr>
        <w:t xml:space="preserve"> </w:t>
      </w:r>
      <w:r>
        <w:rPr>
          <w:rFonts w:eastAsiaTheme="minorEastAsia"/>
          <w:noProof/>
          <w:lang w:eastAsia="cs-CZ"/>
        </w:rPr>
        <w:t>Radobyčická 14, 301 00 Plzeň</w:t>
      </w:r>
    </w:p>
    <w:p w:rsidR="00001850" w:rsidRDefault="00001850" w:rsidP="00001850">
      <w:pPr>
        <w:rPr>
          <w:rFonts w:eastAsiaTheme="minorEastAsia"/>
          <w:noProof/>
          <w:lang w:eastAsia="cs-CZ"/>
        </w:rPr>
      </w:pPr>
    </w:p>
    <w:p w:rsidR="00592060" w:rsidRDefault="00592060" w:rsidP="001533F5">
      <w:pPr>
        <w:jc w:val="both"/>
      </w:pPr>
    </w:p>
    <w:p w:rsidR="00F711C9" w:rsidRPr="00A67729" w:rsidRDefault="00F711C9" w:rsidP="00D46565">
      <w:pPr>
        <w:spacing w:before="120"/>
        <w:jc w:val="both"/>
        <w:rPr>
          <w:rFonts w:cstheme="minorHAnsi"/>
          <w:b/>
          <w:u w:val="single"/>
        </w:rPr>
      </w:pPr>
      <w:r w:rsidRPr="00A67729">
        <w:rPr>
          <w:rFonts w:cstheme="minorHAnsi"/>
          <w:b/>
          <w:u w:val="single"/>
        </w:rPr>
        <w:t>2. Popis objektu</w:t>
      </w:r>
    </w:p>
    <w:p w:rsidR="004248A0" w:rsidRPr="00C65892" w:rsidRDefault="00F711C9" w:rsidP="00D46565">
      <w:pPr>
        <w:autoSpaceDE w:val="0"/>
        <w:autoSpaceDN w:val="0"/>
        <w:adjustRightInd w:val="0"/>
        <w:spacing w:before="120" w:after="0" w:line="276" w:lineRule="auto"/>
        <w:ind w:firstLine="709"/>
        <w:jc w:val="both"/>
        <w:rPr>
          <w:rFonts w:cs="Arial"/>
        </w:rPr>
      </w:pPr>
      <w:r w:rsidRPr="00C65892">
        <w:rPr>
          <w:rFonts w:cs="Arial"/>
        </w:rPr>
        <w:t>Budova stojí na pozemku p. č. 5714 o výměře 1 287 m</w:t>
      </w:r>
      <w:r w:rsidRPr="00C65892">
        <w:rPr>
          <w:rFonts w:cs="Arial"/>
          <w:vertAlign w:val="superscript"/>
        </w:rPr>
        <w:t>2</w:t>
      </w:r>
      <w:r w:rsidRPr="00C65892">
        <w:rPr>
          <w:rFonts w:cs="Arial"/>
        </w:rPr>
        <w:t>, druh pozemku zastavěná plocha a nádvoří, v katastrálním území a obci Plzeň a je zapsána jako stavba pro administrativu s č. p. 8. Vlastnické právo k budově a přilehlému pozemku p. č. 5715 má Česká republika, příslušnost hospodařit s majetkem státu Úřad pro zastupování státu ve věcech majetkových, Rašínovo nábřeží 390/42, Nové Město, 128 00 Praha 2. Objekt byl prohlášen za nemovitou kulturní památku Ministerstvem kultury dne 30.4.2015, č. j. MK 28597/2015 OPP</w:t>
      </w:r>
      <w:r w:rsidR="009F30DD" w:rsidRPr="00C65892">
        <w:rPr>
          <w:rFonts w:cs="Arial"/>
        </w:rPr>
        <w:t xml:space="preserve"> zapsanou v Ústředním seznamu kulturních památek pod </w:t>
      </w:r>
      <w:proofErr w:type="spellStart"/>
      <w:r w:rsidR="009F30DD" w:rsidRPr="00C65892">
        <w:rPr>
          <w:rFonts w:cs="Arial"/>
        </w:rPr>
        <w:t>rejstř</w:t>
      </w:r>
      <w:proofErr w:type="spellEnd"/>
      <w:r w:rsidR="009F30DD" w:rsidRPr="00C65892">
        <w:rPr>
          <w:rFonts w:cs="Arial"/>
        </w:rPr>
        <w:t>. č. 105632.</w:t>
      </w:r>
      <w:r w:rsidR="004248A0" w:rsidRPr="00C65892">
        <w:rPr>
          <w:rFonts w:cs="Arial"/>
        </w:rPr>
        <w:t xml:space="preserve"> Celá akce bude probíhat pod dozorem státní památkové péče, památkový dohled bude vykonávat Magistrát města Plzně – odbor památkové péče, Kopeckého sady 11, 306 32 Plzeň </w:t>
      </w:r>
      <w:r w:rsidR="004248A0" w:rsidRPr="00C65892">
        <w:t>(dále jen „MMP OPP“)</w:t>
      </w:r>
      <w:r w:rsidR="004248A0" w:rsidRPr="00C65892">
        <w:rPr>
          <w:rFonts w:cs="Arial"/>
        </w:rPr>
        <w:t>.</w:t>
      </w:r>
    </w:p>
    <w:p w:rsidR="004248A0" w:rsidRPr="00C65892" w:rsidRDefault="00F711C9" w:rsidP="00D46565">
      <w:pPr>
        <w:autoSpaceDE w:val="0"/>
        <w:autoSpaceDN w:val="0"/>
        <w:adjustRightInd w:val="0"/>
        <w:spacing w:before="120" w:after="0" w:line="276" w:lineRule="auto"/>
        <w:ind w:firstLine="709"/>
        <w:jc w:val="both"/>
        <w:rPr>
          <w:rFonts w:cs="Arial"/>
        </w:rPr>
      </w:pPr>
      <w:r w:rsidRPr="00C65892">
        <w:rPr>
          <w:rFonts w:cs="Arial"/>
        </w:rPr>
        <w:t>Budova je situována na Jižním Předměstí v blízkosti historického centra města Plzeň. Jedná se o nárožní objekt, který hlavním průčelím orientovaným na jih směřuje na Americkou třídu. Východním traktem stavba zabíhá do ulice Goethovy a západním do Martinské ulice. Boční křídla jsou zešikmena podle uliční čáry a přímo na ně navazují další řadové domy. Na hlavní vchod v jižním průčelí navazuje průjezd procházející hlavním traktem do dvora, který byl původně tvořen zahradou se studnou. Nad průjezdem je situováno hlavní trojramenné schodiště, jež představuje reprezentační část interiéru budovy. Průjezd vč. hlavního schodišťového prostoru je zdoben množstvím dekorativních prvků secesního tvarosloví – štuková výzdoba stropu a stěn, mozaiková dlažba, kované zábradlí s rostlinnými motivy, okna s leptanými skleněnými výplněmi. Na schodiště navazují chodby hlavního křídla směřované k severní straně. Z nich se vchází do průchozích kanceláří s okny orientovanými k jižní straně na Americkou třídu. Chodby jsou na stropech zdobeny štukovým dekorem. Západní křídlo je rovněž tvořeno kancelářemi, východní trakt byl stejně tak určen prostorám kanceláří. Přístup k nim zajišťoval boční vchod, na který navazuje schodiště spojující sklepní prostory s půdními. Hmota schodiště vystupuje do prostoru dvora. Objekt je v podstatě zachován v původní podobě z doby výstavby s řadou dochovaných uměleckořemeslných prvků.</w:t>
      </w:r>
      <w:r w:rsidR="004248A0" w:rsidRPr="00C65892">
        <w:rPr>
          <w:rFonts w:cs="Arial"/>
        </w:rPr>
        <w:t xml:space="preserve"> </w:t>
      </w:r>
    </w:p>
    <w:p w:rsidR="00F711C9" w:rsidRPr="00C65892" w:rsidRDefault="00F711C9" w:rsidP="00D46565">
      <w:pPr>
        <w:autoSpaceDE w:val="0"/>
        <w:autoSpaceDN w:val="0"/>
        <w:adjustRightInd w:val="0"/>
        <w:spacing w:before="120" w:after="0" w:line="276" w:lineRule="auto"/>
        <w:ind w:firstLine="709"/>
        <w:jc w:val="both"/>
        <w:rPr>
          <w:rFonts w:cs="Arial"/>
        </w:rPr>
      </w:pPr>
      <w:r w:rsidRPr="00C65892">
        <w:rPr>
          <w:rFonts w:cs="Arial"/>
        </w:rPr>
        <w:lastRenderedPageBreak/>
        <w:t>Bývalé okresní hejtmanství č. p. 8 je třípodlažní podsklepená budova se sedlovou střechou. Zdivo se předpokládá převážně cihelné, místy smíšené. Vodorovné nosné konstrukce jsou cihelné klenuté, zejména v 1.PP a na chodbách v přízemí. Stropní nosnou konstrukci nad kancelářemi tvoří pravděpodobně dřevěné stropní trámy. Původní podlahy jsou z dubových parketových vlysů, především v kancelářích a na chodbě ve 2. patře, které jsou překryty vrstvou z PVC, nová pokládka provedena v loňském roce. Okna a dveře přestávají plnit svoji funkci, některé truhlářské výplně jsou již nepůvodní. Dvorní fasáda je v současné době neomítnutá, omítka byla v minulosti z důvodu bezpečnosti odstraněna až na zdivo, vyjma korunových říms, které byly ponechány. V současné době ale dochází k jejich odlupování a drolení vlivem dlouhodobého zatékání a odpadávající části říms ohrožují zdraví osob a hrozí poškození majetku parkujících vozidel.</w:t>
      </w:r>
    </w:p>
    <w:p w:rsidR="001B40CD" w:rsidRPr="00C65892" w:rsidRDefault="0077163C" w:rsidP="00D46565">
      <w:pPr>
        <w:autoSpaceDE w:val="0"/>
        <w:autoSpaceDN w:val="0"/>
        <w:adjustRightInd w:val="0"/>
        <w:spacing w:before="120" w:after="0" w:line="276" w:lineRule="auto"/>
        <w:ind w:firstLine="709"/>
        <w:jc w:val="both"/>
        <w:rPr>
          <w:rFonts w:cs="Arial"/>
        </w:rPr>
      </w:pPr>
      <w:r w:rsidRPr="00C65892">
        <w:t>Fasáda vnitřního dvora prošla v minulosti rovněž stavebními úpravami, které změnily celkový vzhled jednotlivých fasád oproti předkládané původní dokumentaci. V 80. letech byla původní nika mezi jižním a východním křídlem zazděna a mezi jednotlivými patry rozdělena novou stropní konstrukcí, aby vzniklé prostory byly nově využity jako mycí linka v úrovni 1. NP a dva sály v úrovni 2. a 3. NP. Mezi jižním a východním křídlem tak byla vytvořena nová obvodová šikmá stěna osazená dvoukřídlými vjezdovými vraty s kovovou konstrukcí a třemi rozměrnými kyvnými okny. Původní okna v nice v úrovni 1. NP byla zazděna, ve zbývajících patrech byla nahrazena výplní z profilového skla COPILIT a vstupními dvoukřídlými dveřmi s nadsvětlíkem jako přístup</w:t>
      </w:r>
      <w:r w:rsidR="009154C1" w:rsidRPr="00C65892">
        <w:t>y</w:t>
      </w:r>
      <w:r w:rsidRPr="00C65892">
        <w:t xml:space="preserve"> do sálů z centrální chodby. Ve východním křídle bylo zároveň vytvořeno nové sociální zázemí a tím došlo k vybourání nových stavebních otvorů pro osazení jednoduchých jednokřídlých oken ve všech třech podlažích. V roce 2017 došlo k dalšímu zásadnímu zásahu do celkového vzhledu fasády vnitřního dvora. V rohu jižního a západního křídla byly odstraněny stávající garáže a přístřešek a v roce 2019 byl na jejich místě přistavěn osobní venkovní hydraulický výtah. Ze třech původních okenních otvorů na chodbách vznikly výstupy a nástupy do kabiny výtahu.</w:t>
      </w:r>
      <w:r w:rsidR="001B40CD" w:rsidRPr="00C65892">
        <w:t xml:space="preserve"> </w:t>
      </w:r>
      <w:r w:rsidR="001B40CD" w:rsidRPr="00C65892">
        <w:rPr>
          <w:rFonts w:cs="Arial"/>
        </w:rPr>
        <w:t>V témže roce došlo k obnově plastických a zdobných průčelních fasád z ulic Americká, Goethova a Martinská bez vnějšího zateplení a výměny stávajících oken. V loňském roce došlo k redislokaci zaměstnanců Městského úřadu Nýřany, v objektu proběhly opravné a udržovací práce (výměna slaboproudých rozvodů, výměna podlah a výmalba kanceláří v 1. a 2.NP) a novým uživatelem se stalo Generální finanční ředitelství, Územní pracoviště Plzeň – jih.</w:t>
      </w:r>
    </w:p>
    <w:p w:rsidR="00301292" w:rsidRPr="00C65892" w:rsidRDefault="00301292" w:rsidP="00D46565">
      <w:pPr>
        <w:autoSpaceDE w:val="0"/>
        <w:autoSpaceDN w:val="0"/>
        <w:adjustRightInd w:val="0"/>
        <w:spacing w:before="120" w:after="0" w:line="276" w:lineRule="auto"/>
        <w:ind w:firstLine="709"/>
        <w:jc w:val="both"/>
        <w:rPr>
          <w:rFonts w:cs="Arial"/>
        </w:rPr>
      </w:pPr>
      <w:r w:rsidRPr="00C65892">
        <w:rPr>
          <w:rFonts w:cs="Arial"/>
        </w:rPr>
        <w:t>Administrativní budova o celkové kancelářské ploše přes 1.500 m</w:t>
      </w:r>
      <w:r w:rsidRPr="00C65892">
        <w:rPr>
          <w:rFonts w:cs="Arial"/>
          <w:vertAlign w:val="superscript"/>
        </w:rPr>
        <w:t>2</w:t>
      </w:r>
      <w:r w:rsidRPr="00C65892">
        <w:rPr>
          <w:rFonts w:cs="Arial"/>
        </w:rPr>
        <w:t xml:space="preserve"> je plně obsazena. Resident</w:t>
      </w:r>
      <w:r w:rsidR="009154C1" w:rsidRPr="00C65892">
        <w:rPr>
          <w:rFonts w:cs="Arial"/>
        </w:rPr>
        <w:t>y</w:t>
      </w:r>
      <w:r w:rsidRPr="00C65892">
        <w:rPr>
          <w:rFonts w:cs="Arial"/>
        </w:rPr>
        <w:t xml:space="preserve"> objektu jsou Generální finanční ředitelství, které působí v celém 1. a 2.NP</w:t>
      </w:r>
      <w:r w:rsidR="009154C1" w:rsidRPr="00C65892">
        <w:rPr>
          <w:rFonts w:cs="Arial"/>
        </w:rPr>
        <w:t>.</w:t>
      </w:r>
      <w:r w:rsidRPr="00C65892">
        <w:rPr>
          <w:rFonts w:cs="Arial"/>
        </w:rPr>
        <w:t xml:space="preserve"> Generální ředitelství cel a Správa uprchlických zařízení působí 3. NP. Veškeré činnosti a práce budou prováděny za plného provozu </w:t>
      </w:r>
      <w:r w:rsidR="00A437AE" w:rsidRPr="00C65892">
        <w:rPr>
          <w:rFonts w:cs="Arial"/>
        </w:rPr>
        <w:t xml:space="preserve">administrativní </w:t>
      </w:r>
      <w:r w:rsidRPr="00C65892">
        <w:rPr>
          <w:rFonts w:cs="Arial"/>
        </w:rPr>
        <w:t xml:space="preserve">budovy. </w:t>
      </w:r>
    </w:p>
    <w:p w:rsidR="0077163C" w:rsidRPr="00C65892" w:rsidRDefault="0077163C" w:rsidP="00D46565">
      <w:pPr>
        <w:autoSpaceDE w:val="0"/>
        <w:autoSpaceDN w:val="0"/>
        <w:adjustRightInd w:val="0"/>
        <w:spacing w:before="120" w:after="0" w:line="276" w:lineRule="auto"/>
        <w:jc w:val="both"/>
        <w:rPr>
          <w:rFonts w:cs="Arial"/>
        </w:rPr>
      </w:pPr>
    </w:p>
    <w:p w:rsidR="00D46565" w:rsidRDefault="00D46565" w:rsidP="00D46565">
      <w:pPr>
        <w:autoSpaceDE w:val="0"/>
        <w:autoSpaceDN w:val="0"/>
        <w:adjustRightInd w:val="0"/>
        <w:spacing w:before="120" w:after="0" w:line="276" w:lineRule="auto"/>
        <w:jc w:val="both"/>
        <w:rPr>
          <w:rFonts w:cs="Arial"/>
        </w:rPr>
      </w:pPr>
    </w:p>
    <w:p w:rsidR="001B40CD" w:rsidRPr="00C65892" w:rsidRDefault="001B40CD" w:rsidP="006D28F4">
      <w:pPr>
        <w:jc w:val="both"/>
        <w:rPr>
          <w:b/>
          <w:u w:val="single"/>
        </w:rPr>
      </w:pPr>
      <w:r w:rsidRPr="00C65892">
        <w:rPr>
          <w:rFonts w:cstheme="minorHAnsi"/>
          <w:b/>
          <w:u w:val="single"/>
        </w:rPr>
        <w:t>3. Soupis všech činností</w:t>
      </w:r>
      <w:r w:rsidR="006D28F4" w:rsidRPr="00C65892">
        <w:rPr>
          <w:rFonts w:cstheme="minorHAnsi"/>
          <w:b/>
          <w:u w:val="single"/>
        </w:rPr>
        <w:t xml:space="preserve">, </w:t>
      </w:r>
      <w:r w:rsidR="006D28F4" w:rsidRPr="00C65892">
        <w:rPr>
          <w:rFonts w:eastAsia="Calibri" w:cstheme="minorHAnsi"/>
          <w:b/>
          <w:u w:val="single"/>
        </w:rPr>
        <w:t>stavebních úprav</w:t>
      </w:r>
      <w:r w:rsidRPr="00C65892">
        <w:rPr>
          <w:rFonts w:cstheme="minorHAnsi"/>
          <w:b/>
          <w:u w:val="single"/>
        </w:rPr>
        <w:t xml:space="preserve"> a prací, které budou předmětem </w:t>
      </w:r>
      <w:r w:rsidR="008552D5" w:rsidRPr="00C65892">
        <w:rPr>
          <w:rFonts w:cstheme="minorHAnsi"/>
          <w:b/>
          <w:u w:val="single"/>
        </w:rPr>
        <w:t>projektové</w:t>
      </w:r>
      <w:r w:rsidR="008552D5" w:rsidRPr="00C65892">
        <w:rPr>
          <w:b/>
          <w:u w:val="single"/>
        </w:rPr>
        <w:t xml:space="preserve"> dokumentace </w:t>
      </w:r>
      <w:r w:rsidR="008552D5" w:rsidRPr="00C65892">
        <w:rPr>
          <w:rFonts w:cstheme="minorHAnsi"/>
          <w:b/>
          <w:u w:val="single"/>
        </w:rPr>
        <w:t>a současný stav objektu</w:t>
      </w:r>
    </w:p>
    <w:p w:rsidR="001B40CD" w:rsidRPr="00C65892" w:rsidRDefault="001B40CD" w:rsidP="008552D5">
      <w:pPr>
        <w:spacing w:after="0"/>
        <w:rPr>
          <w:rFonts w:cs="Arial"/>
        </w:rPr>
      </w:pPr>
      <w:r w:rsidRPr="00C65892">
        <w:rPr>
          <w:rFonts w:cs="Arial"/>
        </w:rPr>
        <w:t>a</w:t>
      </w:r>
      <w:r w:rsidR="008552D5" w:rsidRPr="00C65892">
        <w:rPr>
          <w:rFonts w:cs="Arial"/>
        </w:rPr>
        <w:t>)</w:t>
      </w:r>
      <w:r w:rsidRPr="00C65892">
        <w:rPr>
          <w:rFonts w:cs="Arial"/>
        </w:rPr>
        <w:t xml:space="preserve"> </w:t>
      </w:r>
      <w:r w:rsidR="008552D5" w:rsidRPr="00C65892">
        <w:rPr>
          <w:rFonts w:cs="Arial"/>
        </w:rPr>
        <w:t>R</w:t>
      </w:r>
      <w:r w:rsidRPr="00C65892">
        <w:rPr>
          <w:rFonts w:cs="Arial"/>
        </w:rPr>
        <w:t>ekonstrukce stávajícího osvětlení kancelářských a společných prostor</w:t>
      </w:r>
    </w:p>
    <w:p w:rsidR="008552D5" w:rsidRPr="00C65892" w:rsidRDefault="008552D5" w:rsidP="008552D5">
      <w:pPr>
        <w:spacing w:after="0" w:line="276" w:lineRule="auto"/>
        <w:ind w:firstLine="709"/>
        <w:jc w:val="both"/>
        <w:rPr>
          <w:rFonts w:cs="Arial"/>
        </w:rPr>
      </w:pPr>
      <w:bookmarkStart w:id="1" w:name="_Hlk161125968"/>
      <w:bookmarkStart w:id="2" w:name="_Hlk161125805"/>
      <w:r w:rsidRPr="00C65892">
        <w:rPr>
          <w:rFonts w:cstheme="minorHAnsi"/>
          <w:shd w:val="clear" w:color="auto" w:fill="FFFFFF"/>
        </w:rPr>
        <w:t xml:space="preserve">Rozvody elektrické energie jsou v dobrém stavu, pouze provoz stávajících zářivkových světel je neekonomický a hodnoty umělého osvětlení jsou již nedostatečné. </w:t>
      </w:r>
      <w:bookmarkEnd w:id="1"/>
    </w:p>
    <w:bookmarkEnd w:id="2"/>
    <w:p w:rsidR="001B40CD" w:rsidRPr="00C65892" w:rsidRDefault="008552D5" w:rsidP="008552D5">
      <w:pPr>
        <w:spacing w:before="160" w:after="0"/>
        <w:rPr>
          <w:rFonts w:cs="Arial"/>
        </w:rPr>
      </w:pPr>
      <w:r w:rsidRPr="00C65892">
        <w:rPr>
          <w:rFonts w:cs="Arial"/>
        </w:rPr>
        <w:t>b)</w:t>
      </w:r>
      <w:r w:rsidR="001B40CD" w:rsidRPr="00C65892">
        <w:rPr>
          <w:rFonts w:cs="Arial"/>
        </w:rPr>
        <w:t xml:space="preserve"> </w:t>
      </w:r>
      <w:r w:rsidRPr="00C65892">
        <w:rPr>
          <w:rFonts w:cs="Arial"/>
        </w:rPr>
        <w:t>O</w:t>
      </w:r>
      <w:r w:rsidR="001B40CD" w:rsidRPr="00C65892">
        <w:rPr>
          <w:rFonts w:cs="Arial"/>
        </w:rPr>
        <w:t>bnova dvorní fasády vč. zateplení</w:t>
      </w:r>
    </w:p>
    <w:p w:rsidR="006D28F4" w:rsidRPr="00C65892" w:rsidRDefault="008552D5" w:rsidP="00D46565">
      <w:pPr>
        <w:autoSpaceDE w:val="0"/>
        <w:autoSpaceDN w:val="0"/>
        <w:adjustRightInd w:val="0"/>
        <w:spacing w:after="0" w:line="276" w:lineRule="auto"/>
        <w:ind w:firstLine="709"/>
        <w:jc w:val="both"/>
        <w:rPr>
          <w:rFonts w:cs="Arial"/>
        </w:rPr>
      </w:pPr>
      <w:r w:rsidRPr="00C65892">
        <w:rPr>
          <w:rFonts w:cs="Arial"/>
        </w:rPr>
        <w:t xml:space="preserve">Omítka dvorní fasády byla v minulosti z důvodu bezpečnosti odstraněna až na režné zdivo </w:t>
      </w:r>
      <w:r w:rsidRPr="00C65892">
        <w:t>vyjma stropních říms mezi 1. a 2. nadzemním podlažím</w:t>
      </w:r>
      <w:r w:rsidRPr="00C65892">
        <w:rPr>
          <w:rFonts w:cs="Arial"/>
        </w:rPr>
        <w:t xml:space="preserve">. </w:t>
      </w:r>
      <w:bookmarkStart w:id="3" w:name="_Hlk157150240"/>
      <w:r w:rsidRPr="00C65892">
        <w:rPr>
          <w:rFonts w:cs="Arial"/>
        </w:rPr>
        <w:t xml:space="preserve">Chybějící vrchní krycí vrstva obvodových stěn dlouhodobě nechrání zdivo před povětrnostními vlivy, dochází k poškozování svislé obvodové </w:t>
      </w:r>
      <w:r w:rsidRPr="00C65892">
        <w:rPr>
          <w:rFonts w:cs="Arial"/>
        </w:rPr>
        <w:lastRenderedPageBreak/>
        <w:t>konstrukce a hrozí její degradace a následná ztráta únosnosti.</w:t>
      </w:r>
      <w:bookmarkEnd w:id="3"/>
      <w:r w:rsidRPr="00C65892">
        <w:rPr>
          <w:rFonts w:cs="Arial"/>
        </w:rPr>
        <w:t xml:space="preserve"> Budova není zateplena tudíž nesplňuje současné požadavky na energetickou náročnost budov stanovené zákonem č. 406/2006 Sb., o hospodaření energií.</w:t>
      </w:r>
      <w:r w:rsidR="006D28F4" w:rsidRPr="00C65892">
        <w:rPr>
          <w:rFonts w:cs="Arial"/>
        </w:rPr>
        <w:t xml:space="preserve"> </w:t>
      </w:r>
    </w:p>
    <w:p w:rsidR="001B40CD" w:rsidRPr="00C65892" w:rsidRDefault="008552D5" w:rsidP="008552D5">
      <w:pPr>
        <w:spacing w:before="160" w:after="0"/>
        <w:rPr>
          <w:rFonts w:cs="Arial"/>
        </w:rPr>
      </w:pPr>
      <w:r w:rsidRPr="00C65892">
        <w:rPr>
          <w:rFonts w:cs="Arial"/>
        </w:rPr>
        <w:t>c)</w:t>
      </w:r>
      <w:r w:rsidR="001B40CD" w:rsidRPr="00C65892">
        <w:rPr>
          <w:rFonts w:cs="Arial"/>
        </w:rPr>
        <w:t xml:space="preserve"> </w:t>
      </w:r>
      <w:r w:rsidRPr="00C65892">
        <w:rPr>
          <w:rFonts w:cs="Arial"/>
        </w:rPr>
        <w:t>V</w:t>
      </w:r>
      <w:r w:rsidR="001B40CD" w:rsidRPr="00C65892">
        <w:rPr>
          <w:rFonts w:cs="Arial"/>
        </w:rPr>
        <w:t xml:space="preserve">ýměna </w:t>
      </w:r>
      <w:r w:rsidRPr="00C65892">
        <w:rPr>
          <w:rFonts w:cs="Arial"/>
        </w:rPr>
        <w:t xml:space="preserve">zejména kancelářských oken </w:t>
      </w:r>
      <w:r w:rsidR="001B40CD" w:rsidRPr="00C65892">
        <w:rPr>
          <w:rFonts w:cs="Arial"/>
        </w:rPr>
        <w:t>a repase oken na hlavním schodišti</w:t>
      </w:r>
    </w:p>
    <w:p w:rsidR="008552D5" w:rsidRPr="00C65892" w:rsidRDefault="008552D5" w:rsidP="008552D5">
      <w:pPr>
        <w:spacing w:after="0"/>
        <w:rPr>
          <w:rFonts w:cs="Arial"/>
        </w:rPr>
      </w:pPr>
      <w:r w:rsidRPr="00C65892">
        <w:rPr>
          <w:rFonts w:cs="Arial"/>
        </w:rPr>
        <w:t>d) Výměna vrat a dveří</w:t>
      </w:r>
    </w:p>
    <w:p w:rsidR="008552D5" w:rsidRPr="00C65892" w:rsidRDefault="008552D5" w:rsidP="008552D5">
      <w:pPr>
        <w:spacing w:after="0"/>
        <w:ind w:firstLine="708"/>
        <w:jc w:val="both"/>
        <w:rPr>
          <w:rFonts w:cs="Arial"/>
        </w:rPr>
      </w:pPr>
      <w:bookmarkStart w:id="4" w:name="_Hlk157150313"/>
      <w:r w:rsidRPr="00C65892">
        <w:rPr>
          <w:rFonts w:cs="Arial"/>
        </w:rPr>
        <w:t xml:space="preserve">Okna a dveře </w:t>
      </w:r>
      <w:bookmarkEnd w:id="4"/>
      <w:r w:rsidRPr="00C65892">
        <w:rPr>
          <w:rFonts w:cs="Arial"/>
        </w:rPr>
        <w:t>přestávají plnit svoji funkci a jsou hlavními zdroji tepelných ztrát v objektu.</w:t>
      </w:r>
    </w:p>
    <w:p w:rsidR="001B40CD" w:rsidRPr="00C65892" w:rsidRDefault="008552D5" w:rsidP="008552D5">
      <w:pPr>
        <w:spacing w:before="160" w:after="0"/>
        <w:rPr>
          <w:rFonts w:cs="Arial"/>
        </w:rPr>
      </w:pPr>
      <w:bookmarkStart w:id="5" w:name="_Hlk172639219"/>
      <w:r w:rsidRPr="00C65892">
        <w:rPr>
          <w:rFonts w:cs="Arial"/>
        </w:rPr>
        <w:t>e) R</w:t>
      </w:r>
      <w:r w:rsidR="001B40CD" w:rsidRPr="00C65892">
        <w:rPr>
          <w:rFonts w:cs="Arial"/>
        </w:rPr>
        <w:t xml:space="preserve">ekonstrukce </w:t>
      </w:r>
      <w:r w:rsidR="00A068BE" w:rsidRPr="00C65892">
        <w:rPr>
          <w:rFonts w:cs="Arial"/>
        </w:rPr>
        <w:t>střešní krytiny</w:t>
      </w:r>
      <w:r w:rsidR="001B40CD" w:rsidRPr="00C65892">
        <w:rPr>
          <w:rFonts w:cs="Arial"/>
        </w:rPr>
        <w:t xml:space="preserve"> nad hlavním schodištěm</w:t>
      </w:r>
    </w:p>
    <w:p w:rsidR="008552D5" w:rsidRPr="00C65892" w:rsidRDefault="008552D5" w:rsidP="008552D5">
      <w:pPr>
        <w:autoSpaceDE w:val="0"/>
        <w:autoSpaceDN w:val="0"/>
        <w:adjustRightInd w:val="0"/>
        <w:spacing w:after="0" w:line="276" w:lineRule="auto"/>
        <w:ind w:firstLine="708"/>
        <w:jc w:val="both"/>
        <w:rPr>
          <w:rFonts w:cs="Arial"/>
        </w:rPr>
      </w:pPr>
      <w:bookmarkStart w:id="6" w:name="_Hlk157150380"/>
      <w:bookmarkEnd w:id="5"/>
      <w:r w:rsidRPr="00C65892">
        <w:rPr>
          <w:rFonts w:cs="Arial"/>
        </w:rPr>
        <w:t>Celkový stav střešní konstrukce</w:t>
      </w:r>
      <w:r w:rsidR="00C65892">
        <w:rPr>
          <w:rFonts w:cs="Arial"/>
        </w:rPr>
        <w:t xml:space="preserve"> celého objektu</w:t>
      </w:r>
      <w:r w:rsidRPr="00C65892">
        <w:rPr>
          <w:rFonts w:cs="Arial"/>
        </w:rPr>
        <w:t xml:space="preserve">, která je převážně šikmá (sedlová) a místy plochá, je dobrý. Pouze při vydatných deštích dochází místy (zejména v částech ploché střechy) k zatékání do stropní konstrukce a interiéru budovy. Proto dojde k rekonstrukci části střešní </w:t>
      </w:r>
      <w:r w:rsidR="00C65892">
        <w:rPr>
          <w:rFonts w:cs="Arial"/>
        </w:rPr>
        <w:t>krytiny</w:t>
      </w:r>
      <w:r w:rsidRPr="00C65892">
        <w:rPr>
          <w:rFonts w:cs="Arial"/>
        </w:rPr>
        <w:t xml:space="preserve"> nad hlavním schodištěm, kde dlouhodobě dochází k zatékání.</w:t>
      </w:r>
    </w:p>
    <w:bookmarkEnd w:id="6"/>
    <w:p w:rsidR="001B40CD" w:rsidRPr="00C65892" w:rsidRDefault="008552D5" w:rsidP="008552D5">
      <w:pPr>
        <w:spacing w:before="160" w:after="0"/>
        <w:rPr>
          <w:rFonts w:cs="Arial"/>
        </w:rPr>
      </w:pPr>
      <w:r w:rsidRPr="00C65892">
        <w:rPr>
          <w:rFonts w:cs="Arial"/>
        </w:rPr>
        <w:t>f) Ú</w:t>
      </w:r>
      <w:r w:rsidR="001B40CD" w:rsidRPr="00C65892">
        <w:rPr>
          <w:rFonts w:cs="Arial"/>
        </w:rPr>
        <w:t>prava stěn po odstraněných řadových garážích</w:t>
      </w:r>
    </w:p>
    <w:p w:rsidR="008552D5" w:rsidRPr="00C65892" w:rsidRDefault="008552D5" w:rsidP="008552D5">
      <w:pPr>
        <w:autoSpaceDE w:val="0"/>
        <w:autoSpaceDN w:val="0"/>
        <w:adjustRightInd w:val="0"/>
        <w:spacing w:after="0" w:line="276" w:lineRule="auto"/>
        <w:ind w:firstLine="708"/>
        <w:jc w:val="both"/>
        <w:rPr>
          <w:rFonts w:cs="Arial"/>
        </w:rPr>
      </w:pPr>
      <w:r w:rsidRPr="00C65892">
        <w:rPr>
          <w:rFonts w:cs="Arial"/>
        </w:rPr>
        <w:t>Ve vnitrobloku současně dojde k úpravě stěn po odstraněných řadových garážích, které jsou neomítnuté a neupravené po provedených bouracích prací a musí být dořešeny detaily, zejména nové oplechování</w:t>
      </w:r>
      <w:r w:rsidR="00C65892">
        <w:rPr>
          <w:rFonts w:cs="Arial"/>
        </w:rPr>
        <w:t xml:space="preserve"> a zastřešení</w:t>
      </w:r>
      <w:r w:rsidRPr="00C65892">
        <w:rPr>
          <w:rFonts w:cs="Arial"/>
        </w:rPr>
        <w:t xml:space="preserve"> opěrných zídek, které bylo prozatím provizorně vyřešeno, aby nedocházelo k zatékání do </w:t>
      </w:r>
      <w:r w:rsidR="00C65892">
        <w:rPr>
          <w:rFonts w:cs="Arial"/>
        </w:rPr>
        <w:t xml:space="preserve">vlastních stěn a </w:t>
      </w:r>
      <w:r w:rsidRPr="00C65892">
        <w:rPr>
          <w:rFonts w:cs="Arial"/>
        </w:rPr>
        <w:t>obvodových konstrukcí sousedního objektu.</w:t>
      </w:r>
    </w:p>
    <w:p w:rsidR="001B40CD" w:rsidRPr="00C65892" w:rsidRDefault="008552D5" w:rsidP="00B67DC7">
      <w:pPr>
        <w:spacing w:before="160" w:after="0"/>
        <w:jc w:val="both"/>
      </w:pPr>
      <w:r w:rsidRPr="00C65892">
        <w:t>g) V</w:t>
      </w:r>
      <w:r w:rsidR="001B40CD" w:rsidRPr="00C65892">
        <w:t>ýmalba průjezdu a schodišťového prostoru</w:t>
      </w:r>
      <w:r w:rsidR="00B67DC7" w:rsidRPr="00C65892">
        <w:t xml:space="preserve"> vč., výmalby schodišťových sloupů, nátěru zábradlí a boční</w:t>
      </w:r>
      <w:r w:rsidR="00C65892">
        <w:t>ch</w:t>
      </w:r>
      <w:r w:rsidR="00B67DC7" w:rsidRPr="00C65892">
        <w:t xml:space="preserve"> stran schodnic a schodišťových stupňů (v současnosti v nevhodném a památkově nepřípustném odstínu hnědé barvy)</w:t>
      </w:r>
    </w:p>
    <w:p w:rsidR="008552D5" w:rsidRPr="00C65892" w:rsidRDefault="008552D5" w:rsidP="008552D5">
      <w:pPr>
        <w:autoSpaceDE w:val="0"/>
        <w:autoSpaceDN w:val="0"/>
        <w:adjustRightInd w:val="0"/>
        <w:spacing w:after="0" w:line="276" w:lineRule="auto"/>
        <w:ind w:firstLine="708"/>
        <w:jc w:val="both"/>
        <w:rPr>
          <w:rFonts w:cs="Arial"/>
        </w:rPr>
      </w:pPr>
      <w:r w:rsidRPr="00C65892">
        <w:rPr>
          <w:rFonts w:cstheme="minorHAnsi"/>
          <w:bCs/>
        </w:rPr>
        <w:t xml:space="preserve">Stávající průjezd slouží jak pro vjezd do vnitřního dvora, tak zároveň jako hlavní vchod a vstup do budovy. Současný stav průjezdu a schodišťového prostoru je nereprezentativní a dlouhodobě neudržovaný. Pro bezpečný a důstojný pohyb zaměstnanců i návštěvníků budovy požadujeme jejich </w:t>
      </w:r>
      <w:r w:rsidR="00C65892">
        <w:rPr>
          <w:rFonts w:cstheme="minorHAnsi"/>
          <w:bCs/>
        </w:rPr>
        <w:t xml:space="preserve">vyspravení a </w:t>
      </w:r>
      <w:r w:rsidRPr="00C65892">
        <w:rPr>
          <w:rFonts w:cstheme="minorHAnsi"/>
          <w:bCs/>
        </w:rPr>
        <w:t>výmalbu.</w:t>
      </w:r>
    </w:p>
    <w:p w:rsidR="001B40CD" w:rsidRPr="00C65892" w:rsidRDefault="008552D5" w:rsidP="008552D5">
      <w:pPr>
        <w:spacing w:before="160" w:after="0"/>
      </w:pPr>
      <w:r w:rsidRPr="00C65892">
        <w:t>h) N</w:t>
      </w:r>
      <w:r w:rsidR="001B40CD" w:rsidRPr="00C65892">
        <w:t>ávrh nové vrátnice</w:t>
      </w:r>
    </w:p>
    <w:p w:rsidR="006D28F4" w:rsidRPr="00C65892" w:rsidRDefault="006D28F4" w:rsidP="006D28F4">
      <w:pPr>
        <w:spacing w:after="0"/>
        <w:ind w:firstLine="708"/>
        <w:jc w:val="both"/>
        <w:rPr>
          <w:rFonts w:cstheme="minorHAnsi"/>
        </w:rPr>
      </w:pPr>
      <w:r w:rsidRPr="00C65892">
        <w:rPr>
          <w:rFonts w:cstheme="minorHAnsi"/>
        </w:rPr>
        <w:t>Pro zajištění širšího profilu průjezdu objektem na odstavnou a parkovací plochu a z důvodu nereprezentativního vzhledu požadujeme odstranění stávající vrátnice a návrh vrátnice nové.</w:t>
      </w:r>
    </w:p>
    <w:p w:rsidR="001B40CD" w:rsidRPr="00C65892" w:rsidRDefault="008552D5" w:rsidP="006D28F4">
      <w:pPr>
        <w:spacing w:before="160" w:after="0"/>
      </w:pPr>
      <w:r w:rsidRPr="00C65892">
        <w:t>i) O</w:t>
      </w:r>
      <w:r w:rsidR="001B40CD" w:rsidRPr="00C65892">
        <w:t>kopání části nesoudržných a zvětralých omítek suterénních prostor</w:t>
      </w:r>
    </w:p>
    <w:p w:rsidR="00AC0E3F" w:rsidRPr="00C65892" w:rsidRDefault="006D28F4" w:rsidP="00D46565">
      <w:pPr>
        <w:spacing w:after="0"/>
        <w:ind w:firstLine="708"/>
        <w:jc w:val="both"/>
      </w:pPr>
      <w:r w:rsidRPr="00C65892">
        <w:t xml:space="preserve">Celý objekt je podsklepen, vzlínající vlhkost </w:t>
      </w:r>
      <w:r w:rsidR="00AC0E3F" w:rsidRPr="00C65892">
        <w:t xml:space="preserve">v základových a svislých nosných konstrukcí dlouhodobě poškozuje interiér suterénních prostor. Odlupující se a odpadávající omítka znehodnocuje prostory, které by jinak mohly být </w:t>
      </w:r>
      <w:r w:rsidR="00C65892">
        <w:t xml:space="preserve">pronajímány a </w:t>
      </w:r>
      <w:r w:rsidR="00AC0E3F" w:rsidRPr="00C65892">
        <w:t xml:space="preserve">využívány např. </w:t>
      </w:r>
      <w:r w:rsidR="00C65892">
        <w:t xml:space="preserve">jako </w:t>
      </w:r>
      <w:r w:rsidR="00AC0E3F" w:rsidRPr="00C65892">
        <w:t>spisovny nebo sklady.</w:t>
      </w:r>
    </w:p>
    <w:p w:rsidR="001B40CD" w:rsidRPr="00C65892" w:rsidRDefault="001B40CD" w:rsidP="00D46565">
      <w:pPr>
        <w:autoSpaceDE w:val="0"/>
        <w:autoSpaceDN w:val="0"/>
        <w:adjustRightInd w:val="0"/>
        <w:spacing w:after="0" w:line="276" w:lineRule="auto"/>
        <w:jc w:val="both"/>
        <w:rPr>
          <w:rFonts w:cstheme="minorHAnsi"/>
        </w:rPr>
      </w:pPr>
    </w:p>
    <w:p w:rsidR="00AC0E3F" w:rsidRPr="00C65892" w:rsidRDefault="00AC0E3F" w:rsidP="00D46565">
      <w:pPr>
        <w:autoSpaceDE w:val="0"/>
        <w:autoSpaceDN w:val="0"/>
        <w:adjustRightInd w:val="0"/>
        <w:spacing w:before="120" w:after="0" w:line="276" w:lineRule="auto"/>
        <w:jc w:val="both"/>
        <w:rPr>
          <w:rFonts w:cstheme="minorHAnsi"/>
        </w:rPr>
      </w:pPr>
    </w:p>
    <w:p w:rsidR="00C929EC" w:rsidRPr="00C65892" w:rsidRDefault="00C929EC" w:rsidP="00D46565">
      <w:pPr>
        <w:spacing w:after="120"/>
        <w:rPr>
          <w:rFonts w:eastAsia="Calibri" w:cstheme="minorHAnsi"/>
          <w:b/>
          <w:u w:val="single"/>
        </w:rPr>
      </w:pPr>
      <w:r w:rsidRPr="00C65892">
        <w:rPr>
          <w:rFonts w:eastAsia="Calibri" w:cstheme="minorHAnsi"/>
          <w:b/>
          <w:u w:val="single"/>
        </w:rPr>
        <w:t>4</w:t>
      </w:r>
      <w:r w:rsidR="00E316AA" w:rsidRPr="00C65892">
        <w:rPr>
          <w:rFonts w:eastAsia="Calibri" w:cstheme="minorHAnsi"/>
          <w:b/>
          <w:u w:val="single"/>
        </w:rPr>
        <w:t xml:space="preserve">. </w:t>
      </w:r>
      <w:r w:rsidRPr="00C65892">
        <w:rPr>
          <w:rFonts w:eastAsia="Calibri" w:cstheme="minorHAnsi"/>
          <w:b/>
          <w:u w:val="single"/>
        </w:rPr>
        <w:t>Rozsah všech činností, stavebních úprav a prací</w:t>
      </w:r>
    </w:p>
    <w:p w:rsidR="005656D1" w:rsidRPr="00C65892" w:rsidRDefault="005656D1" w:rsidP="00D46565">
      <w:pPr>
        <w:spacing w:after="120"/>
        <w:jc w:val="both"/>
        <w:rPr>
          <w:b/>
        </w:rPr>
      </w:pPr>
      <w:r w:rsidRPr="00C65892">
        <w:rPr>
          <w:b/>
        </w:rPr>
        <w:t xml:space="preserve">a) </w:t>
      </w:r>
      <w:r w:rsidRPr="00C65892">
        <w:rPr>
          <w:rFonts w:cs="Arial"/>
          <w:b/>
        </w:rPr>
        <w:t>Rekonstrukce stávajícího osvětlení kancelářských a společných prostor</w:t>
      </w:r>
    </w:p>
    <w:p w:rsidR="005656D1" w:rsidRPr="00C65892" w:rsidRDefault="005656D1" w:rsidP="00E6733B">
      <w:pPr>
        <w:spacing w:before="120" w:line="276" w:lineRule="auto"/>
        <w:ind w:firstLine="708"/>
        <w:jc w:val="both"/>
        <w:rPr>
          <w:rFonts w:cs="Arial"/>
        </w:rPr>
      </w:pPr>
      <w:r w:rsidRPr="00C65892">
        <w:rPr>
          <w:rFonts w:cs="Arial"/>
        </w:rPr>
        <w:t xml:space="preserve">Na </w:t>
      </w:r>
      <w:r w:rsidR="003F4A2D" w:rsidRPr="00C65892">
        <w:rPr>
          <w:rFonts w:cs="Arial"/>
        </w:rPr>
        <w:t xml:space="preserve">rekonstrukci stávajícího osvětlení kancelářských a společných prostor byla dne 13.2.2024 </w:t>
      </w:r>
      <w:r w:rsidR="00C65892" w:rsidRPr="00C65892">
        <w:rPr>
          <w:rFonts w:cs="Arial"/>
        </w:rPr>
        <w:t xml:space="preserve">firmou BOOBA s.r.o. </w:t>
      </w:r>
      <w:r w:rsidR="003F4A2D" w:rsidRPr="00C65892">
        <w:rPr>
          <w:rFonts w:cs="Arial"/>
        </w:rPr>
        <w:t xml:space="preserve">vypracována </w:t>
      </w:r>
      <w:r w:rsidRPr="00C65892">
        <w:rPr>
          <w:rFonts w:cs="Arial"/>
        </w:rPr>
        <w:t>Studie výměny svítidel</w:t>
      </w:r>
      <w:r w:rsidR="003F4A2D" w:rsidRPr="00C65892">
        <w:rPr>
          <w:rFonts w:cs="Arial"/>
        </w:rPr>
        <w:t xml:space="preserve">, viz Příloha </w:t>
      </w:r>
      <w:r w:rsidR="0009537B" w:rsidRPr="00C65892">
        <w:rPr>
          <w:rFonts w:cs="Arial"/>
        </w:rPr>
        <w:t>2</w:t>
      </w:r>
      <w:r w:rsidR="003F4A2D" w:rsidRPr="00C65892">
        <w:rPr>
          <w:rFonts w:cs="Arial"/>
        </w:rPr>
        <w:t>. Předmětem studie byl návrh výměny stávajících zářivkových svítidel za moderní LED svítidla. Navržená svítidla musí být LED provedení, s vysokou životností a splňovat normou dané hodnoty umělého osvětlení pro dané prostory (intenzita osvětlení, rovnoměrnost osvětlení a index oslnění). Zároveň</w:t>
      </w:r>
      <w:r w:rsidR="00301292" w:rsidRPr="00C65892">
        <w:rPr>
          <w:rFonts w:cs="Arial"/>
        </w:rPr>
        <w:t xml:space="preserve"> aby svítidla bylo možné zapojit bez nutnosti provádět rozsáhlé opravy stávající elektroinstalace a pro napojení svítidel byla použita stávající napájecí místa. Dojde tedy jen k výměně samotných svítidel, tzn. demontáži stávajících svítidel a montáži nových.</w:t>
      </w:r>
    </w:p>
    <w:p w:rsidR="00C929EC" w:rsidRPr="00767B54" w:rsidRDefault="00767B54" w:rsidP="00D46565">
      <w:pPr>
        <w:spacing w:after="120"/>
        <w:jc w:val="both"/>
        <w:rPr>
          <w:b/>
        </w:rPr>
      </w:pPr>
      <w:r w:rsidRPr="00767B54">
        <w:rPr>
          <w:b/>
        </w:rPr>
        <w:lastRenderedPageBreak/>
        <w:t xml:space="preserve">b) </w:t>
      </w:r>
      <w:r w:rsidR="00C929EC" w:rsidRPr="00767B54">
        <w:rPr>
          <w:b/>
        </w:rPr>
        <w:t>Obnova fasády</w:t>
      </w:r>
      <w:r w:rsidR="005656D1" w:rsidRPr="00767B54">
        <w:rPr>
          <w:b/>
        </w:rPr>
        <w:t xml:space="preserve"> ve dvorním traktu</w:t>
      </w:r>
      <w:r w:rsidR="00A437AE" w:rsidRPr="00767B54">
        <w:rPr>
          <w:b/>
        </w:rPr>
        <w:t xml:space="preserve"> vč. zateplení</w:t>
      </w:r>
    </w:p>
    <w:p w:rsidR="0082365F" w:rsidRPr="00C65892" w:rsidRDefault="000820B0" w:rsidP="002C4213">
      <w:pPr>
        <w:autoSpaceDE w:val="0"/>
        <w:autoSpaceDN w:val="0"/>
        <w:adjustRightInd w:val="0"/>
        <w:spacing w:after="0" w:line="276" w:lineRule="auto"/>
        <w:ind w:firstLine="709"/>
        <w:jc w:val="both"/>
        <w:rPr>
          <w:rFonts w:cs="Arial"/>
        </w:rPr>
      </w:pPr>
      <w:r w:rsidRPr="00C65892">
        <w:t xml:space="preserve">Návrh vhodného kontaktního zateplovacího systému (dále jen „KZS“) v celém vnitrobloku, aby splňoval předepsané předpisy a normy. </w:t>
      </w:r>
      <w:r w:rsidR="0082365F" w:rsidRPr="00C65892">
        <w:rPr>
          <w:rFonts w:cs="Arial"/>
        </w:rPr>
        <w:t xml:space="preserve">K záměru užití zateplovacího systému již </w:t>
      </w:r>
      <w:r w:rsidR="004248A0" w:rsidRPr="00C65892">
        <w:t>MMP OPP</w:t>
      </w:r>
      <w:r w:rsidR="0082365F" w:rsidRPr="00C65892">
        <w:rPr>
          <w:rFonts w:cs="Arial"/>
        </w:rPr>
        <w:t xml:space="preserve"> sdělil, že realizaci v zásadě nebrání. Je ale třeba jednoznačně koncepčně formulovat navržený materiál, jeho vlastnosti včetně prodyšnosti, rozměry hmoty přidané k průčelí, pojednání povrchu tenkovrstvých omítek na tomto systému a detaily úprav kolem stavebních otvorů</w:t>
      </w:r>
      <w:r w:rsidR="00D46565" w:rsidRPr="00C65892">
        <w:rPr>
          <w:rFonts w:cs="Arial"/>
        </w:rPr>
        <w:t xml:space="preserve">, </w:t>
      </w:r>
      <w:r w:rsidR="00D46565" w:rsidRPr="00C65892">
        <w:rPr>
          <w:rFonts w:cstheme="minorHAnsi"/>
        </w:rPr>
        <w:t>viz Stanovisko MMP OPP Spis. zn.: MMP/513208/23/02 ze dne 28.11.2023, příloha č. 8.</w:t>
      </w:r>
    </w:p>
    <w:p w:rsidR="00C929EC" w:rsidRPr="00C65892" w:rsidRDefault="00C929EC" w:rsidP="002C4213">
      <w:pPr>
        <w:autoSpaceDE w:val="0"/>
        <w:autoSpaceDN w:val="0"/>
        <w:adjustRightInd w:val="0"/>
        <w:spacing w:after="0" w:line="276" w:lineRule="auto"/>
        <w:ind w:firstLine="709"/>
        <w:jc w:val="both"/>
      </w:pPr>
      <w:r w:rsidRPr="00C65892">
        <w:t xml:space="preserve">Omítky budou provedeny nové při zachování svého původního členění. Jejich struktura a barevnost je patrná z dochovaných říms a na některých místech fasády. </w:t>
      </w:r>
      <w:r w:rsidRPr="00C65892">
        <w:rPr>
          <w:b/>
        </w:rPr>
        <w:t xml:space="preserve">Celkový návrh </w:t>
      </w:r>
      <w:r w:rsidR="000820B0" w:rsidRPr="00C65892">
        <w:rPr>
          <w:b/>
        </w:rPr>
        <w:t xml:space="preserve">KZS a strukturu omítek </w:t>
      </w:r>
      <w:r w:rsidRPr="00C65892">
        <w:rPr>
          <w:b/>
        </w:rPr>
        <w:t>je nutné konzultovat s</w:t>
      </w:r>
      <w:r w:rsidR="004248A0" w:rsidRPr="00C65892">
        <w:rPr>
          <w:b/>
        </w:rPr>
        <w:t> </w:t>
      </w:r>
      <w:r w:rsidRPr="00C65892">
        <w:rPr>
          <w:b/>
        </w:rPr>
        <w:t>MMP</w:t>
      </w:r>
      <w:r w:rsidR="004248A0" w:rsidRPr="00C65892">
        <w:rPr>
          <w:b/>
        </w:rPr>
        <w:t xml:space="preserve"> </w:t>
      </w:r>
      <w:r w:rsidRPr="00C65892">
        <w:rPr>
          <w:b/>
        </w:rPr>
        <w:t>OPP.</w:t>
      </w:r>
      <w:r w:rsidRPr="00C65892">
        <w:t xml:space="preserve"> Dále dojde k výměně stávajících dožilých klempířských prvků – všech okenních parapetů, </w:t>
      </w:r>
      <w:r w:rsidR="00E6733B" w:rsidRPr="00C65892">
        <w:t xml:space="preserve">okapových svodů, </w:t>
      </w:r>
      <w:r w:rsidRPr="00C65892">
        <w:t xml:space="preserve">oplechování </w:t>
      </w:r>
      <w:r w:rsidR="00637CF1" w:rsidRPr="00C65892">
        <w:t>stropních</w:t>
      </w:r>
      <w:r w:rsidRPr="00C65892">
        <w:t xml:space="preserve"> říms</w:t>
      </w:r>
      <w:r w:rsidR="00637CF1" w:rsidRPr="00C65892">
        <w:t xml:space="preserve"> a markýz apod</w:t>
      </w:r>
      <w:r w:rsidRPr="00C65892">
        <w:t>.</w:t>
      </w:r>
      <w:r w:rsidR="00045766" w:rsidRPr="00C65892">
        <w:t>,</w:t>
      </w:r>
      <w:r w:rsidR="00637CF1" w:rsidRPr="00C65892">
        <w:t xml:space="preserve"> </w:t>
      </w:r>
      <w:r w:rsidR="00045766" w:rsidRPr="00C65892">
        <w:t>k r</w:t>
      </w:r>
      <w:r w:rsidR="00637CF1" w:rsidRPr="00C65892">
        <w:t>epas</w:t>
      </w:r>
      <w:r w:rsidR="00045766" w:rsidRPr="00C65892">
        <w:t>i/replice</w:t>
      </w:r>
      <w:r w:rsidR="00637CF1" w:rsidRPr="00C65892">
        <w:t xml:space="preserve"> a doplnění kovaných mříží suterénních výplní otvorů. Zábradlí anglického dvorku vykazuje známky koroze. Bude nutná jeho repase a prodloužení (chybějící část po odstraněných řadových garáží).</w:t>
      </w:r>
    </w:p>
    <w:p w:rsidR="00C929EC" w:rsidRPr="00C65892" w:rsidRDefault="00C929EC" w:rsidP="00D46565">
      <w:pPr>
        <w:spacing w:after="0"/>
        <w:jc w:val="both"/>
      </w:pPr>
    </w:p>
    <w:p w:rsidR="00C929EC" w:rsidRDefault="00C929EC" w:rsidP="00C929EC">
      <w:pPr>
        <w:jc w:val="both"/>
      </w:pPr>
      <w:r w:rsidRPr="00C65892">
        <w:t>Orientační přehled ploch jednotlivých fasád</w:t>
      </w:r>
      <w:r w:rsidR="00AD0916" w:rsidRPr="00C65892">
        <w:t xml:space="preserve"> vychází z dochované PD s názvem Rekonstrukce fasády ONV Plzeň – sever z 9/1982, viz příloha č. 3</w:t>
      </w:r>
      <w:r w:rsidR="00C65892">
        <w:t>_Pohledy ze dvora A, B, C, D a zkosenou fasádu</w:t>
      </w:r>
      <w:r w:rsidRPr="00C65892">
        <w:t>:</w:t>
      </w:r>
    </w:p>
    <w:p w:rsidR="00C929EC" w:rsidRPr="00EB52A8" w:rsidRDefault="00C929EC" w:rsidP="00C929EC">
      <w:pPr>
        <w:tabs>
          <w:tab w:val="center" w:pos="2552"/>
          <w:tab w:val="center" w:pos="5387"/>
          <w:tab w:val="right" w:pos="9072"/>
        </w:tabs>
        <w:spacing w:after="0"/>
        <w:jc w:val="both"/>
        <w:rPr>
          <w:b/>
        </w:rPr>
      </w:pPr>
      <w:r w:rsidRPr="00EB52A8">
        <w:rPr>
          <w:b/>
        </w:rPr>
        <w:t>Pohled</w:t>
      </w:r>
      <w:r w:rsidRPr="00EB52A8">
        <w:rPr>
          <w:b/>
        </w:rPr>
        <w:tab/>
        <w:t>plocha fasády</w:t>
      </w:r>
      <w:r w:rsidRPr="00EB52A8">
        <w:rPr>
          <w:b/>
        </w:rPr>
        <w:tab/>
        <w:t>z toho</w:t>
      </w:r>
      <w:r w:rsidRPr="00EB52A8">
        <w:rPr>
          <w:b/>
        </w:rPr>
        <w:tab/>
        <w:t>celková plocha</w:t>
      </w:r>
    </w:p>
    <w:p w:rsidR="00C929EC" w:rsidRPr="00EB52A8" w:rsidRDefault="00C929EC" w:rsidP="00C929EC">
      <w:pPr>
        <w:tabs>
          <w:tab w:val="center" w:pos="2552"/>
          <w:tab w:val="center" w:pos="4678"/>
          <w:tab w:val="center" w:pos="6237"/>
          <w:tab w:val="right" w:pos="9072"/>
        </w:tabs>
        <w:spacing w:after="0"/>
        <w:jc w:val="both"/>
        <w:rPr>
          <w:b/>
          <w:u w:val="single"/>
        </w:rPr>
      </w:pPr>
      <w:r w:rsidRPr="00EB52A8">
        <w:rPr>
          <w:b/>
          <w:u w:val="single"/>
        </w:rPr>
        <w:tab/>
        <w:t>s otvory</w:t>
      </w:r>
      <w:r w:rsidRPr="00EB52A8">
        <w:rPr>
          <w:b/>
          <w:u w:val="single"/>
        </w:rPr>
        <w:tab/>
        <w:t>okna</w:t>
      </w:r>
      <w:r w:rsidRPr="00EB52A8">
        <w:rPr>
          <w:b/>
          <w:u w:val="single"/>
        </w:rPr>
        <w:tab/>
        <w:t>dveře</w:t>
      </w:r>
      <w:r w:rsidRPr="00EB52A8">
        <w:rPr>
          <w:b/>
          <w:u w:val="single"/>
        </w:rPr>
        <w:tab/>
        <w:t>fasády bez otvorů</w:t>
      </w:r>
    </w:p>
    <w:p w:rsidR="00C929EC" w:rsidRPr="00EB52A8" w:rsidRDefault="00C929EC" w:rsidP="00C929EC">
      <w:pPr>
        <w:tabs>
          <w:tab w:val="center" w:pos="2552"/>
          <w:tab w:val="center" w:pos="4678"/>
          <w:tab w:val="center" w:pos="6237"/>
          <w:tab w:val="right" w:pos="9072"/>
        </w:tabs>
        <w:spacing w:after="0"/>
        <w:jc w:val="both"/>
      </w:pPr>
      <w:r w:rsidRPr="00EB52A8">
        <w:t>A</w:t>
      </w:r>
      <w:r w:rsidRPr="00EB52A8">
        <w:tab/>
        <w:t>261,8 m</w:t>
      </w:r>
      <w:r w:rsidRPr="00EB52A8">
        <w:rPr>
          <w:vertAlign w:val="superscript"/>
        </w:rPr>
        <w:t>2</w:t>
      </w:r>
      <w:r w:rsidRPr="00EB52A8">
        <w:tab/>
        <w:t>35,6 m</w:t>
      </w:r>
      <w:r w:rsidRPr="00EB52A8">
        <w:rPr>
          <w:vertAlign w:val="superscript"/>
        </w:rPr>
        <w:t>2</w:t>
      </w:r>
      <w:r w:rsidRPr="00EB52A8">
        <w:tab/>
        <w:t>7,2 m</w:t>
      </w:r>
      <w:r w:rsidRPr="00EB52A8">
        <w:rPr>
          <w:vertAlign w:val="superscript"/>
        </w:rPr>
        <w:t>2</w:t>
      </w:r>
      <w:r w:rsidRPr="00EB52A8">
        <w:tab/>
        <w:t>219,0 m</w:t>
      </w:r>
      <w:r w:rsidRPr="00EB52A8">
        <w:rPr>
          <w:vertAlign w:val="superscript"/>
        </w:rPr>
        <w:t>2</w:t>
      </w:r>
    </w:p>
    <w:p w:rsidR="00C929EC" w:rsidRPr="00EB52A8" w:rsidRDefault="00C929EC" w:rsidP="00C929EC">
      <w:pPr>
        <w:tabs>
          <w:tab w:val="center" w:pos="2552"/>
          <w:tab w:val="center" w:pos="4678"/>
          <w:tab w:val="center" w:pos="6237"/>
          <w:tab w:val="right" w:pos="9072"/>
        </w:tabs>
        <w:spacing w:after="0"/>
        <w:jc w:val="both"/>
      </w:pPr>
      <w:r w:rsidRPr="00EB52A8">
        <w:t>B</w:t>
      </w:r>
      <w:r w:rsidRPr="00EB52A8">
        <w:tab/>
        <w:t>134,8 m</w:t>
      </w:r>
      <w:r w:rsidRPr="00EB52A8">
        <w:rPr>
          <w:vertAlign w:val="superscript"/>
        </w:rPr>
        <w:t>2</w:t>
      </w:r>
      <w:r w:rsidRPr="00EB52A8">
        <w:tab/>
        <w:t>27,3 m</w:t>
      </w:r>
      <w:r w:rsidRPr="00EB52A8">
        <w:rPr>
          <w:vertAlign w:val="superscript"/>
        </w:rPr>
        <w:t>2</w:t>
      </w:r>
      <w:r w:rsidRPr="00EB52A8">
        <w:tab/>
        <w:t>-</w:t>
      </w:r>
      <w:r w:rsidRPr="00EB52A8">
        <w:tab/>
        <w:t>107,5 m</w:t>
      </w:r>
      <w:r w:rsidRPr="00EB52A8">
        <w:rPr>
          <w:vertAlign w:val="superscript"/>
        </w:rPr>
        <w:t>2</w:t>
      </w:r>
    </w:p>
    <w:p w:rsidR="00C929EC" w:rsidRPr="00EB52A8" w:rsidRDefault="00C929EC" w:rsidP="00C929EC">
      <w:pPr>
        <w:tabs>
          <w:tab w:val="center" w:pos="2552"/>
          <w:tab w:val="center" w:pos="4678"/>
          <w:tab w:val="center" w:pos="6237"/>
          <w:tab w:val="right" w:pos="9072"/>
        </w:tabs>
        <w:spacing w:after="0"/>
        <w:jc w:val="both"/>
      </w:pPr>
      <w:r w:rsidRPr="00EB52A8">
        <w:t>C</w:t>
      </w:r>
      <w:r w:rsidRPr="00EB52A8">
        <w:tab/>
        <w:t>86, 9 m</w:t>
      </w:r>
      <w:r w:rsidRPr="00EB52A8">
        <w:rPr>
          <w:vertAlign w:val="superscript"/>
        </w:rPr>
        <w:t>2</w:t>
      </w:r>
      <w:r w:rsidRPr="00EB52A8">
        <w:tab/>
        <w:t>7,7 m</w:t>
      </w:r>
      <w:r w:rsidRPr="00EB52A8">
        <w:rPr>
          <w:vertAlign w:val="superscript"/>
        </w:rPr>
        <w:t>2</w:t>
      </w:r>
      <w:r w:rsidRPr="00EB52A8">
        <w:tab/>
        <w:t>-</w:t>
      </w:r>
      <w:r w:rsidRPr="00EB52A8">
        <w:tab/>
        <w:t>79,2 m</w:t>
      </w:r>
      <w:r w:rsidRPr="00EB52A8">
        <w:rPr>
          <w:vertAlign w:val="superscript"/>
        </w:rPr>
        <w:t>2</w:t>
      </w:r>
    </w:p>
    <w:p w:rsidR="00C929EC" w:rsidRPr="00EB52A8" w:rsidRDefault="00C929EC" w:rsidP="00C929EC">
      <w:pPr>
        <w:tabs>
          <w:tab w:val="center" w:pos="2552"/>
          <w:tab w:val="center" w:pos="4678"/>
          <w:tab w:val="center" w:pos="6237"/>
          <w:tab w:val="right" w:pos="9072"/>
        </w:tabs>
        <w:spacing w:after="0"/>
        <w:jc w:val="both"/>
      </w:pPr>
      <w:r w:rsidRPr="00EB52A8">
        <w:t>D</w:t>
      </w:r>
      <w:r w:rsidRPr="00EB52A8">
        <w:tab/>
        <w:t>268,3 m</w:t>
      </w:r>
      <w:r w:rsidRPr="00EB52A8">
        <w:rPr>
          <w:vertAlign w:val="superscript"/>
        </w:rPr>
        <w:t>2</w:t>
      </w:r>
      <w:r w:rsidRPr="00EB52A8">
        <w:tab/>
        <w:t>47,9 m</w:t>
      </w:r>
      <w:r w:rsidRPr="00EB52A8">
        <w:rPr>
          <w:vertAlign w:val="superscript"/>
        </w:rPr>
        <w:t>2</w:t>
      </w:r>
      <w:r w:rsidRPr="00EB52A8">
        <w:tab/>
        <w:t>3,65 m</w:t>
      </w:r>
      <w:r w:rsidRPr="00EB52A8">
        <w:rPr>
          <w:vertAlign w:val="superscript"/>
        </w:rPr>
        <w:t>2</w:t>
      </w:r>
      <w:r w:rsidRPr="00EB52A8">
        <w:tab/>
        <w:t>216,8m</w:t>
      </w:r>
      <w:r w:rsidRPr="00EB52A8">
        <w:rPr>
          <w:vertAlign w:val="superscript"/>
        </w:rPr>
        <w:t>2</w:t>
      </w:r>
    </w:p>
    <w:p w:rsidR="00C929EC" w:rsidRPr="00EB52A8" w:rsidRDefault="00C929EC" w:rsidP="00C929EC">
      <w:pPr>
        <w:tabs>
          <w:tab w:val="center" w:pos="2552"/>
          <w:tab w:val="center" w:pos="4678"/>
          <w:tab w:val="center" w:pos="6237"/>
          <w:tab w:val="right" w:pos="9072"/>
        </w:tabs>
        <w:spacing w:after="0"/>
        <w:jc w:val="both"/>
      </w:pPr>
      <w:r w:rsidRPr="00EB52A8">
        <w:t>zkosená fasáda</w:t>
      </w:r>
      <w:r w:rsidRPr="00EB52A8">
        <w:tab/>
        <w:t>61,0 m</w:t>
      </w:r>
      <w:r w:rsidRPr="00EB52A8">
        <w:rPr>
          <w:vertAlign w:val="superscript"/>
        </w:rPr>
        <w:t>2</w:t>
      </w:r>
      <w:r w:rsidRPr="00EB52A8">
        <w:tab/>
        <w:t>24,3 m</w:t>
      </w:r>
      <w:r w:rsidRPr="00EB52A8">
        <w:rPr>
          <w:vertAlign w:val="superscript"/>
        </w:rPr>
        <w:t>2</w:t>
      </w:r>
      <w:r w:rsidRPr="00EB52A8">
        <w:tab/>
        <w:t>7,29 m</w:t>
      </w:r>
      <w:r w:rsidRPr="00EB52A8">
        <w:rPr>
          <w:vertAlign w:val="superscript"/>
        </w:rPr>
        <w:t>2</w:t>
      </w:r>
      <w:r w:rsidRPr="00EB52A8">
        <w:tab/>
        <w:t>29,4 m</w:t>
      </w:r>
      <w:r w:rsidRPr="00EB52A8">
        <w:rPr>
          <w:vertAlign w:val="superscript"/>
        </w:rPr>
        <w:t>2</w:t>
      </w:r>
    </w:p>
    <w:p w:rsidR="00C929EC" w:rsidRPr="00EB52A8" w:rsidRDefault="00C929EC" w:rsidP="00C929EC">
      <w:pPr>
        <w:tabs>
          <w:tab w:val="center" w:pos="2552"/>
          <w:tab w:val="center" w:pos="4678"/>
          <w:tab w:val="center" w:pos="6237"/>
          <w:tab w:val="right" w:pos="9072"/>
        </w:tabs>
        <w:spacing w:after="0"/>
        <w:jc w:val="both"/>
      </w:pPr>
      <w:r w:rsidRPr="00EB52A8">
        <w:t>zdobné štíty</w:t>
      </w:r>
      <w:r w:rsidRPr="00EB52A8">
        <w:tab/>
        <w:t>cca 17,0 m</w:t>
      </w:r>
      <w:r w:rsidRPr="00EB52A8">
        <w:rPr>
          <w:vertAlign w:val="superscript"/>
        </w:rPr>
        <w:t>2</w:t>
      </w:r>
      <w:r w:rsidRPr="00EB52A8">
        <w:tab/>
        <w:t>-</w:t>
      </w:r>
      <w:r w:rsidRPr="00EB52A8">
        <w:tab/>
        <w:t>-</w:t>
      </w:r>
      <w:r w:rsidRPr="00EB52A8">
        <w:tab/>
        <w:t>17,0 m</w:t>
      </w:r>
      <w:r w:rsidRPr="00EB52A8">
        <w:rPr>
          <w:vertAlign w:val="superscript"/>
        </w:rPr>
        <w:t>2</w:t>
      </w:r>
    </w:p>
    <w:p w:rsidR="00C929EC" w:rsidRPr="00EB52A8" w:rsidRDefault="00C929EC" w:rsidP="00C929EC">
      <w:pPr>
        <w:tabs>
          <w:tab w:val="center" w:pos="2552"/>
          <w:tab w:val="center" w:pos="4678"/>
          <w:tab w:val="center" w:pos="6237"/>
          <w:tab w:val="right" w:pos="9072"/>
        </w:tabs>
        <w:spacing w:after="0"/>
        <w:ind w:left="284"/>
        <w:jc w:val="both"/>
        <w:rPr>
          <w:sz w:val="18"/>
          <w:szCs w:val="18"/>
        </w:rPr>
      </w:pPr>
      <w:r w:rsidRPr="00EB52A8">
        <w:rPr>
          <w:sz w:val="18"/>
          <w:szCs w:val="18"/>
        </w:rPr>
        <w:t>Pozn.: Větší část zdobných bočních štítů viditelná z hlavní ulice na Americké třídě byla již opravena. Jedná se o opravu zbylé části ze strany vnitřního dvora.</w:t>
      </w:r>
    </w:p>
    <w:p w:rsidR="00C929EC" w:rsidRPr="00EB52A8" w:rsidRDefault="00C929EC" w:rsidP="00C929EC">
      <w:pPr>
        <w:tabs>
          <w:tab w:val="center" w:pos="2552"/>
          <w:tab w:val="center" w:pos="4678"/>
          <w:tab w:val="center" w:pos="6237"/>
          <w:tab w:val="right" w:pos="9072"/>
        </w:tabs>
        <w:spacing w:after="0"/>
        <w:jc w:val="both"/>
      </w:pPr>
      <w:r w:rsidRPr="00EB52A8">
        <w:t>boční fasáda</w:t>
      </w:r>
      <w:r w:rsidRPr="00EB52A8">
        <w:tab/>
      </w:r>
      <w:r w:rsidR="00045766" w:rsidRPr="00EB52A8">
        <w:t>31,57</w:t>
      </w:r>
      <w:r w:rsidRPr="00EB52A8">
        <w:t xml:space="preserve"> m</w:t>
      </w:r>
      <w:r w:rsidRPr="00EB52A8">
        <w:rPr>
          <w:vertAlign w:val="superscript"/>
        </w:rPr>
        <w:t>2</w:t>
      </w:r>
      <w:r w:rsidRPr="00EB52A8">
        <w:tab/>
        <w:t>-</w:t>
      </w:r>
      <w:r w:rsidRPr="00EB52A8">
        <w:tab/>
        <w:t>-</w:t>
      </w:r>
      <w:r w:rsidRPr="00EB52A8">
        <w:tab/>
      </w:r>
      <w:r w:rsidR="00EB52A8" w:rsidRPr="00EB52A8">
        <w:t>31,57</w:t>
      </w:r>
      <w:r w:rsidRPr="00EB52A8">
        <w:t xml:space="preserve"> m</w:t>
      </w:r>
      <w:r w:rsidRPr="00EB52A8">
        <w:rPr>
          <w:vertAlign w:val="superscript"/>
        </w:rPr>
        <w:t>2</w:t>
      </w:r>
    </w:p>
    <w:p w:rsidR="00045766" w:rsidRPr="00EB52A8" w:rsidRDefault="00EB52A8" w:rsidP="00EB52A8">
      <w:pPr>
        <w:tabs>
          <w:tab w:val="center" w:pos="2552"/>
          <w:tab w:val="center" w:pos="4678"/>
          <w:tab w:val="center" w:pos="6237"/>
          <w:tab w:val="right" w:pos="9072"/>
        </w:tabs>
        <w:spacing w:after="0"/>
        <w:ind w:left="284"/>
        <w:jc w:val="both"/>
      </w:pPr>
      <w:r w:rsidRPr="00EB52A8">
        <w:rPr>
          <w:sz w:val="18"/>
          <w:szCs w:val="18"/>
        </w:rPr>
        <w:tab/>
      </w:r>
      <w:r w:rsidR="00C929EC" w:rsidRPr="00EB52A8">
        <w:rPr>
          <w:sz w:val="18"/>
          <w:szCs w:val="18"/>
        </w:rPr>
        <w:t>Pozn.: Oprava části boční fasády západního křídla sousedící s budovou v ul. Martinská č. 303/9</w:t>
      </w:r>
    </w:p>
    <w:p w:rsidR="00045766" w:rsidRPr="00EB52A8" w:rsidRDefault="00045766" w:rsidP="00045766">
      <w:pPr>
        <w:tabs>
          <w:tab w:val="center" w:pos="2552"/>
          <w:tab w:val="center" w:pos="4678"/>
          <w:tab w:val="center" w:pos="6237"/>
          <w:tab w:val="right" w:pos="9072"/>
        </w:tabs>
        <w:spacing w:after="0"/>
        <w:jc w:val="both"/>
      </w:pPr>
      <w:r w:rsidRPr="00EB52A8">
        <w:t>boční fasáda</w:t>
      </w:r>
      <w:r w:rsidRPr="00EB52A8">
        <w:tab/>
        <w:t>53,58 m</w:t>
      </w:r>
      <w:r w:rsidRPr="00EB52A8">
        <w:rPr>
          <w:vertAlign w:val="superscript"/>
        </w:rPr>
        <w:t>2</w:t>
      </w:r>
      <w:r w:rsidRPr="00EB52A8">
        <w:tab/>
        <w:t>-</w:t>
      </w:r>
      <w:r w:rsidRPr="00EB52A8">
        <w:tab/>
        <w:t>-</w:t>
      </w:r>
      <w:r w:rsidRPr="00EB52A8">
        <w:tab/>
      </w:r>
      <w:r w:rsidR="00EB52A8" w:rsidRPr="00EB52A8">
        <w:t>53,58</w:t>
      </w:r>
      <w:r w:rsidRPr="00EB52A8">
        <w:t xml:space="preserve"> m</w:t>
      </w:r>
      <w:r w:rsidRPr="00EB52A8">
        <w:rPr>
          <w:vertAlign w:val="superscript"/>
        </w:rPr>
        <w:t>2</w:t>
      </w:r>
    </w:p>
    <w:p w:rsidR="00045766" w:rsidRPr="00EB52A8" w:rsidRDefault="00045766" w:rsidP="00045766">
      <w:pPr>
        <w:tabs>
          <w:tab w:val="center" w:pos="2552"/>
          <w:tab w:val="center" w:pos="4678"/>
          <w:tab w:val="center" w:pos="6237"/>
          <w:tab w:val="right" w:pos="9072"/>
        </w:tabs>
        <w:ind w:left="284"/>
        <w:jc w:val="both"/>
        <w:rPr>
          <w:sz w:val="18"/>
          <w:szCs w:val="18"/>
        </w:rPr>
      </w:pPr>
      <w:r w:rsidRPr="00EB52A8">
        <w:rPr>
          <w:noProof/>
          <w:sz w:val="18"/>
          <w:szCs w:val="18"/>
        </w:rPr>
        <mc:AlternateContent>
          <mc:Choice Requires="wps">
            <w:drawing>
              <wp:anchor distT="0" distB="0" distL="114300" distR="114300" simplePos="0" relativeHeight="251661312" behindDoc="0" locked="0" layoutInCell="1" allowOverlap="1" wp14:anchorId="2C3A0909" wp14:editId="49795AF6">
                <wp:simplePos x="0" y="0"/>
                <wp:positionH relativeFrom="column">
                  <wp:posOffset>8255</wp:posOffset>
                </wp:positionH>
                <wp:positionV relativeFrom="paragraph">
                  <wp:posOffset>129540</wp:posOffset>
                </wp:positionV>
                <wp:extent cx="5867400" cy="31750"/>
                <wp:effectExtent l="0" t="0" r="19050" b="25400"/>
                <wp:wrapNone/>
                <wp:docPr id="2" name="Přímá spojnice 2"/>
                <wp:cNvGraphicFramePr/>
                <a:graphic xmlns:a="http://schemas.openxmlformats.org/drawingml/2006/main">
                  <a:graphicData uri="http://schemas.microsoft.com/office/word/2010/wordprocessingShape">
                    <wps:wsp>
                      <wps:cNvCnPr/>
                      <wps:spPr>
                        <a:xfrm flipV="1">
                          <a:off x="0" y="0"/>
                          <a:ext cx="58674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431A5" id="Přímá spojnice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10.2pt" to="462.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" strokecolor="black [3200]" strokeweight=".5pt">
                <v:stroke joinstyle="miter"/>
              </v:line>
            </w:pict>
          </mc:Fallback>
        </mc:AlternateContent>
      </w:r>
      <w:r w:rsidRPr="00EB52A8">
        <w:rPr>
          <w:sz w:val="18"/>
          <w:szCs w:val="18"/>
        </w:rPr>
        <w:t xml:space="preserve">Pozn.: Oprava části boční fasády </w:t>
      </w:r>
      <w:r w:rsidR="00EB52A8" w:rsidRPr="00EB52A8">
        <w:rPr>
          <w:sz w:val="18"/>
          <w:szCs w:val="18"/>
        </w:rPr>
        <w:t>východního</w:t>
      </w:r>
      <w:r w:rsidRPr="00EB52A8">
        <w:rPr>
          <w:sz w:val="18"/>
          <w:szCs w:val="18"/>
        </w:rPr>
        <w:t xml:space="preserve"> křídla sousedící s budovou v ul. </w:t>
      </w:r>
      <w:r w:rsidR="00EB52A8" w:rsidRPr="00EB52A8">
        <w:rPr>
          <w:sz w:val="18"/>
          <w:szCs w:val="18"/>
        </w:rPr>
        <w:t>Goethova 295/10</w:t>
      </w:r>
    </w:p>
    <w:p w:rsidR="00C929EC" w:rsidRPr="00EB52A8" w:rsidRDefault="00C929EC" w:rsidP="00D46565">
      <w:pPr>
        <w:tabs>
          <w:tab w:val="right" w:pos="9072"/>
        </w:tabs>
        <w:spacing w:after="0"/>
        <w:jc w:val="both"/>
        <w:rPr>
          <w:b/>
        </w:rPr>
      </w:pPr>
      <w:r w:rsidRPr="00EB52A8">
        <w:rPr>
          <w:b/>
        </w:rPr>
        <w:t xml:space="preserve">celková </w:t>
      </w:r>
      <w:r w:rsidR="00045766" w:rsidRPr="00EB52A8">
        <w:rPr>
          <w:b/>
        </w:rPr>
        <w:t xml:space="preserve">orientační </w:t>
      </w:r>
      <w:r w:rsidRPr="00EB52A8">
        <w:rPr>
          <w:b/>
        </w:rPr>
        <w:t>plocha všech fasád ve vnitrobloku</w:t>
      </w:r>
      <w:r w:rsidRPr="00EB52A8">
        <w:rPr>
          <w:b/>
        </w:rPr>
        <w:tab/>
        <w:t>7</w:t>
      </w:r>
      <w:r w:rsidR="00045766" w:rsidRPr="00EB52A8">
        <w:rPr>
          <w:b/>
        </w:rPr>
        <w:t>54</w:t>
      </w:r>
      <w:r w:rsidRPr="00EB52A8">
        <w:rPr>
          <w:b/>
        </w:rPr>
        <w:t>,</w:t>
      </w:r>
      <w:r w:rsidR="00045766" w:rsidRPr="00EB52A8">
        <w:rPr>
          <w:b/>
        </w:rPr>
        <w:t>05</w:t>
      </w:r>
      <w:r w:rsidRPr="00EB52A8">
        <w:rPr>
          <w:b/>
        </w:rPr>
        <w:t xml:space="preserve"> m</w:t>
      </w:r>
      <w:r w:rsidRPr="00EB52A8">
        <w:rPr>
          <w:b/>
          <w:vertAlign w:val="superscript"/>
        </w:rPr>
        <w:t>2</w:t>
      </w:r>
    </w:p>
    <w:p w:rsidR="00C929EC" w:rsidRDefault="00C929EC" w:rsidP="00D46565">
      <w:pPr>
        <w:spacing w:after="120"/>
        <w:jc w:val="both"/>
      </w:pPr>
    </w:p>
    <w:p w:rsidR="00704D9B" w:rsidRDefault="00704D9B" w:rsidP="00D46565">
      <w:pPr>
        <w:spacing w:after="120"/>
        <w:jc w:val="both"/>
      </w:pPr>
    </w:p>
    <w:p w:rsidR="00C929EC" w:rsidRPr="0009537B" w:rsidRDefault="00EB52A8" w:rsidP="00D46565">
      <w:pPr>
        <w:spacing w:after="120"/>
        <w:jc w:val="both"/>
        <w:rPr>
          <w:b/>
        </w:rPr>
      </w:pPr>
      <w:r w:rsidRPr="0009537B">
        <w:rPr>
          <w:b/>
        </w:rPr>
        <w:t xml:space="preserve">c) </w:t>
      </w:r>
      <w:r w:rsidR="00C929EC" w:rsidRPr="0009537B">
        <w:rPr>
          <w:b/>
        </w:rPr>
        <w:t xml:space="preserve">Výměna </w:t>
      </w:r>
      <w:r w:rsidR="0009537B" w:rsidRPr="0009537B">
        <w:rPr>
          <w:rFonts w:cs="Arial"/>
          <w:b/>
        </w:rPr>
        <w:t xml:space="preserve">zejména kancelářských oken </w:t>
      </w:r>
      <w:r w:rsidR="000F5BCF" w:rsidRPr="0009537B">
        <w:rPr>
          <w:b/>
        </w:rPr>
        <w:t xml:space="preserve">a repase </w:t>
      </w:r>
      <w:r w:rsidR="00591DDA" w:rsidRPr="0009537B">
        <w:rPr>
          <w:b/>
        </w:rPr>
        <w:t>oken na hlavním schodišti</w:t>
      </w:r>
    </w:p>
    <w:p w:rsidR="00C929EC" w:rsidRDefault="00C929EC" w:rsidP="00C929EC">
      <w:pPr>
        <w:spacing w:after="0"/>
        <w:ind w:firstLine="708"/>
        <w:jc w:val="both"/>
        <w:rPr>
          <w:b/>
          <w:u w:val="single"/>
        </w:rPr>
      </w:pPr>
      <w:r>
        <w:t xml:space="preserve">Všechna kancelářská dřevěná dvojitá okna vč. zbylých tří dvojitých oken na chodbě západního křídla budou vyměněna za jednoduchá dřevěná okna (z </w:t>
      </w:r>
      <w:proofErr w:type="spellStart"/>
      <w:r>
        <w:t>europrofilů</w:t>
      </w:r>
      <w:proofErr w:type="spellEnd"/>
      <w:r>
        <w:t>) s izolačním dvojsklem při zachování dřevěné materiálové podstaty, původních rozměrů jednotlivých otvorů, pohledově přiznaného členění včetně jednoduchých římsových profilů na vodorovných dělících poutcích a </w:t>
      </w:r>
      <w:r w:rsidRPr="00A3233B">
        <w:t>s okapnicemi na křídlech. Vnitřní parapety je možné provést z modifikovaných překližek.</w:t>
      </w:r>
      <w:r w:rsidR="000820B0">
        <w:t xml:space="preserve"> </w:t>
      </w:r>
      <w:r w:rsidR="000820B0" w:rsidRPr="000820B0">
        <w:rPr>
          <w:b/>
          <w:u w:val="single"/>
        </w:rPr>
        <w:t>Celkový návrh je nutné konzultovat s „MMP OPP“.</w:t>
      </w:r>
    </w:p>
    <w:p w:rsidR="000820B0" w:rsidRPr="00A3233B" w:rsidRDefault="000820B0" w:rsidP="00704D9B">
      <w:pPr>
        <w:spacing w:after="0"/>
        <w:ind w:firstLine="708"/>
        <w:jc w:val="both"/>
      </w:pPr>
      <w:r>
        <w:t xml:space="preserve">Stávající dřevěná dvojitá okna na hlavním schodišti jsou z památkového hlediska nenahraditelná zejména svojí profilací křídel, kováním, členěním prosklených ploch a v neposlední řadě zdobnými skleněnými tabulemi, proto </w:t>
      </w:r>
      <w:r w:rsidR="00704D9B">
        <w:t xml:space="preserve">je nutné z památkového hlediska provést jejich odbornou repasi. </w:t>
      </w:r>
    </w:p>
    <w:p w:rsidR="00C929EC" w:rsidRPr="00B53D42" w:rsidRDefault="00C929EC" w:rsidP="00C929EC">
      <w:pPr>
        <w:spacing w:after="0"/>
        <w:ind w:firstLine="708"/>
        <w:jc w:val="both"/>
      </w:pPr>
      <w:r w:rsidRPr="00A3233B">
        <w:lastRenderedPageBreak/>
        <w:t xml:space="preserve">Okna na sociálních zázemích (WC ženy v jižní části) byla již v minulosti vyměněna za nová dřevěná jednoduchá okna s izolačním dvojsklem s vnitřní plastovou parapetní deskou, stejně tak nově osazená okna na sociálních zázemích (WC muži ve východním křídle) stejného provedení. Tato okna jsou z exteriéru provedena ve světlejší hnědé barvě, z interiéru v barvě bílé a zůstanou stávající. Z památkového hlediska je možné pokračovat v této barevné úpravě pro všechna výše uvedená okna </w:t>
      </w:r>
      <w:r w:rsidRPr="00B53D42">
        <w:t>určená k výměně, a to dle doporučení MMP</w:t>
      </w:r>
      <w:r w:rsidR="000820B0">
        <w:t xml:space="preserve"> OPP </w:t>
      </w:r>
      <w:r w:rsidRPr="00B53D42">
        <w:t>takto: na straně vnější středně hnědá (např. RAL 8007), na straně vnitřní okna bílá (např. RAL 9003).</w:t>
      </w:r>
    </w:p>
    <w:p w:rsidR="00C929EC" w:rsidRDefault="00C929EC" w:rsidP="00C929EC">
      <w:pPr>
        <w:ind w:firstLine="708"/>
        <w:jc w:val="both"/>
      </w:pPr>
      <w:r>
        <w:t>Předmětem plnění veřejné zakázky bude i návrh úpravy trojice nových rozměrných oken ve zkosení dvora. MMP OOP zajímá možnost budoucí úpravy dodatečným členěním příčlemi.</w:t>
      </w:r>
    </w:p>
    <w:p w:rsidR="00C929EC" w:rsidRDefault="00C929EC" w:rsidP="00C929EC">
      <w:pPr>
        <w:spacing w:after="0"/>
        <w:jc w:val="both"/>
      </w:pPr>
    </w:p>
    <w:p w:rsidR="00C929EC" w:rsidRDefault="00C929EC" w:rsidP="00C929EC">
      <w:pPr>
        <w:jc w:val="both"/>
      </w:pPr>
      <w:r>
        <w:t xml:space="preserve">Orientační přehled velikostí a počtu oken </w:t>
      </w:r>
      <w:r w:rsidR="00704D9B">
        <w:t>dvorních fasád</w:t>
      </w:r>
      <w:r w:rsidR="0009537B">
        <w:t xml:space="preserve"> vychází z dochované PD s názvem </w:t>
      </w:r>
      <w:r w:rsidR="0009537B" w:rsidRPr="00C65892">
        <w:t>Rekonstrukce fasády ONV Plzeň – sever z 9/1982, viz příloha č. 3</w:t>
      </w:r>
      <w:r w:rsidR="00C65892" w:rsidRPr="00C65892">
        <w:t>_Pohledy ze dvora A, B, C, D a zkosenou</w:t>
      </w:r>
      <w:r w:rsidR="00C65892">
        <w:t xml:space="preserve"> fasádu</w:t>
      </w:r>
      <w:r>
        <w:t>:</w:t>
      </w:r>
    </w:p>
    <w:p w:rsidR="00C929EC" w:rsidRPr="00AA0105" w:rsidRDefault="00C929EC" w:rsidP="00C929EC">
      <w:pPr>
        <w:tabs>
          <w:tab w:val="center" w:pos="1418"/>
          <w:tab w:val="center" w:pos="2835"/>
          <w:tab w:val="center" w:pos="4536"/>
          <w:tab w:val="center" w:pos="5954"/>
          <w:tab w:val="center" w:pos="7371"/>
          <w:tab w:val="right" w:pos="9072"/>
        </w:tabs>
        <w:spacing w:after="0"/>
        <w:jc w:val="both"/>
        <w:rPr>
          <w:b/>
        </w:rPr>
      </w:pPr>
      <w:proofErr w:type="spellStart"/>
      <w:r w:rsidRPr="00AA0105">
        <w:rPr>
          <w:b/>
        </w:rPr>
        <w:t>ozn</w:t>
      </w:r>
      <w:proofErr w:type="spellEnd"/>
      <w:r w:rsidRPr="00AA0105">
        <w:rPr>
          <w:b/>
        </w:rPr>
        <w:t>.</w:t>
      </w:r>
      <w:r w:rsidRPr="00AA0105">
        <w:rPr>
          <w:b/>
        </w:rPr>
        <w:tab/>
        <w:t>popis</w:t>
      </w:r>
      <w:r w:rsidRPr="00AA0105">
        <w:rPr>
          <w:b/>
        </w:rPr>
        <w:tab/>
        <w:t>venkovní</w:t>
      </w:r>
      <w:r w:rsidRPr="00AA0105">
        <w:rPr>
          <w:b/>
        </w:rPr>
        <w:tab/>
        <w:t>umístění</w:t>
      </w:r>
      <w:r w:rsidRPr="00AA0105">
        <w:rPr>
          <w:b/>
        </w:rPr>
        <w:tab/>
        <w:t>celkem</w:t>
      </w:r>
      <w:r w:rsidRPr="00AA0105">
        <w:rPr>
          <w:b/>
        </w:rPr>
        <w:tab/>
        <w:t>celková</w:t>
      </w:r>
      <w:r w:rsidRPr="00AA0105">
        <w:rPr>
          <w:b/>
        </w:rPr>
        <w:tab/>
        <w:t>výměna</w:t>
      </w:r>
    </w:p>
    <w:p w:rsidR="00C929EC" w:rsidRPr="00AA0105"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jc w:val="both"/>
        <w:rPr>
          <w:b/>
          <w:u w:val="thick"/>
        </w:rPr>
      </w:pPr>
      <w:r w:rsidRPr="00AA0105">
        <w:rPr>
          <w:b/>
          <w:u w:val="thick"/>
        </w:rPr>
        <w:tab/>
      </w:r>
      <w:r w:rsidRPr="00AA0105">
        <w:rPr>
          <w:b/>
          <w:u w:val="thick"/>
        </w:rPr>
        <w:tab/>
        <w:t>rozměr</w:t>
      </w:r>
      <w:r>
        <w:rPr>
          <w:b/>
          <w:u w:val="thick"/>
        </w:rPr>
        <w:t xml:space="preserve"> [cm]</w:t>
      </w:r>
      <w:r w:rsidRPr="00AA0105">
        <w:rPr>
          <w:b/>
          <w:u w:val="thick"/>
        </w:rPr>
        <w:tab/>
        <w:t>A</w:t>
      </w:r>
      <w:r w:rsidRPr="00AA0105">
        <w:rPr>
          <w:b/>
          <w:u w:val="thick"/>
        </w:rPr>
        <w:tab/>
        <w:t>B</w:t>
      </w:r>
      <w:r w:rsidRPr="00AA0105">
        <w:rPr>
          <w:b/>
          <w:u w:val="thick"/>
        </w:rPr>
        <w:tab/>
        <w:t>C</w:t>
      </w:r>
      <w:r w:rsidRPr="00AA0105">
        <w:rPr>
          <w:b/>
          <w:u w:val="thick"/>
        </w:rPr>
        <w:tab/>
        <w:t>D</w:t>
      </w:r>
      <w:r w:rsidRPr="00AA0105">
        <w:rPr>
          <w:b/>
          <w:u w:val="thick"/>
        </w:rPr>
        <w:tab/>
      </w:r>
      <w:r>
        <w:rPr>
          <w:b/>
          <w:u w:val="thick"/>
        </w:rPr>
        <w:t>[</w:t>
      </w:r>
      <w:r w:rsidRPr="00AA0105">
        <w:rPr>
          <w:b/>
          <w:u w:val="thick"/>
        </w:rPr>
        <w:t>ks</w:t>
      </w:r>
      <w:r>
        <w:rPr>
          <w:b/>
          <w:u w:val="thick"/>
        </w:rPr>
        <w:t>]</w:t>
      </w:r>
      <w:r w:rsidRPr="00AA0105">
        <w:rPr>
          <w:b/>
          <w:u w:val="thick"/>
        </w:rPr>
        <w:tab/>
        <w:t>plocha</w:t>
      </w:r>
      <w:r w:rsidRPr="00AA0105">
        <w:rPr>
          <w:b/>
          <w:u w:val="thick"/>
        </w:rPr>
        <w:tab/>
        <w:t>ANO/NE</w:t>
      </w:r>
    </w:p>
    <w:p w:rsidR="00C929EC" w:rsidRPr="00742C20"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t>11</w:t>
      </w:r>
      <w:r w:rsidRPr="00742C20">
        <w:tab/>
      </w:r>
      <w:r>
        <w:t>okno dvojité</w:t>
      </w:r>
      <w:r w:rsidRPr="00742C20">
        <w:tab/>
      </w:r>
      <w:r>
        <w:t>100/245</w:t>
      </w:r>
      <w:r w:rsidRPr="00742C20">
        <w:tab/>
      </w:r>
      <w:r>
        <w:t>-</w:t>
      </w:r>
      <w:r w:rsidRPr="00742C20">
        <w:tab/>
      </w:r>
      <w:r>
        <w:t>-</w:t>
      </w:r>
      <w:r w:rsidRPr="00742C20">
        <w:tab/>
      </w:r>
      <w:r>
        <w:t>-</w:t>
      </w:r>
      <w:r w:rsidRPr="00742C20">
        <w:tab/>
      </w:r>
      <w:r>
        <w:t>6</w:t>
      </w:r>
      <w:r w:rsidRPr="00742C20">
        <w:tab/>
      </w:r>
      <w:r>
        <w:t>6</w:t>
      </w:r>
      <w:r w:rsidRPr="00742C20">
        <w:tab/>
      </w:r>
      <w:r>
        <w:t>14,70 m</w:t>
      </w:r>
      <w:r w:rsidRPr="00AA0105">
        <w:rPr>
          <w:vertAlign w:val="superscript"/>
        </w:rPr>
        <w:t>2</w:t>
      </w:r>
      <w:r w:rsidRPr="00742C20">
        <w:tab/>
      </w:r>
      <w:r>
        <w:t>ANO</w:t>
      </w:r>
    </w:p>
    <w:p w:rsidR="00C929EC" w:rsidRPr="00742C20" w:rsidRDefault="00C929EC" w:rsidP="00C929EC">
      <w:pPr>
        <w:tabs>
          <w:tab w:val="center" w:pos="1418"/>
          <w:tab w:val="center" w:pos="2835"/>
          <w:tab w:val="right" w:pos="9072"/>
        </w:tabs>
        <w:jc w:val="both"/>
        <w:rPr>
          <w:u w:val="single"/>
        </w:rPr>
      </w:pPr>
      <w:r w:rsidRPr="00742C20">
        <w:rPr>
          <w:u w:val="single"/>
        </w:rPr>
        <w:tab/>
        <w:t>dvoukřídlé</w:t>
      </w:r>
      <w:r w:rsidRPr="00742C20">
        <w:rPr>
          <w:u w:val="single"/>
        </w:rPr>
        <w:tab/>
      </w:r>
      <w:r>
        <w:rPr>
          <w:u w:val="single"/>
        </w:rPr>
        <w:t>A=2,45 m</w:t>
      </w:r>
      <w:r w:rsidRPr="00AA0105">
        <w:rPr>
          <w:u w:val="single"/>
          <w:vertAlign w:val="superscript"/>
        </w:rPr>
        <w:t>2</w:t>
      </w:r>
      <w:r w:rsidRPr="00742C20">
        <w:rPr>
          <w:u w:val="single"/>
        </w:rPr>
        <w:tab/>
      </w:r>
    </w:p>
    <w:p w:rsidR="00C929EC" w:rsidRPr="007D42F8"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7D42F8">
        <w:t>12</w:t>
      </w:r>
      <w:r w:rsidRPr="007D42F8">
        <w:tab/>
        <w:t>okno jednoduché</w:t>
      </w:r>
      <w:r w:rsidRPr="007D42F8">
        <w:tab/>
        <w:t>100/195</w:t>
      </w:r>
      <w:r w:rsidRPr="007D42F8">
        <w:tab/>
        <w:t>-</w:t>
      </w:r>
      <w:r w:rsidRPr="007D42F8">
        <w:tab/>
        <w:t>-</w:t>
      </w:r>
      <w:r w:rsidRPr="007D42F8">
        <w:tab/>
        <w:t>-</w:t>
      </w:r>
      <w:r w:rsidRPr="007D42F8">
        <w:tab/>
        <w:t>3</w:t>
      </w:r>
      <w:r w:rsidRPr="007D42F8">
        <w:tab/>
        <w:t>3</w:t>
      </w:r>
      <w:r w:rsidRPr="007D42F8">
        <w:tab/>
        <w:t>5,85 m</w:t>
      </w:r>
      <w:r w:rsidRPr="007D42F8">
        <w:rPr>
          <w:vertAlign w:val="superscript"/>
        </w:rPr>
        <w:t>2</w:t>
      </w:r>
      <w:r w:rsidRPr="007D42F8">
        <w:tab/>
        <w:t>ANO*</w:t>
      </w:r>
    </w:p>
    <w:p w:rsidR="00C929EC" w:rsidRPr="007D42F8" w:rsidRDefault="00C929EC" w:rsidP="00C929EC">
      <w:pPr>
        <w:tabs>
          <w:tab w:val="center" w:pos="1418"/>
          <w:tab w:val="center" w:pos="2835"/>
          <w:tab w:val="right" w:pos="9072"/>
        </w:tabs>
        <w:jc w:val="both"/>
        <w:rPr>
          <w:u w:val="single"/>
        </w:rPr>
      </w:pPr>
      <w:r w:rsidRPr="007D42F8">
        <w:rPr>
          <w:u w:val="single"/>
        </w:rPr>
        <w:tab/>
        <w:t>jednokřídlé</w:t>
      </w:r>
      <w:r w:rsidRPr="007D42F8">
        <w:rPr>
          <w:u w:val="single"/>
        </w:rPr>
        <w:tab/>
        <w:t>A=1,95 m</w:t>
      </w:r>
      <w:r w:rsidRPr="007D42F8">
        <w:rPr>
          <w:u w:val="single"/>
          <w:vertAlign w:val="superscript"/>
        </w:rPr>
        <w:t>2</w:t>
      </w:r>
      <w:r w:rsidRPr="007D42F8">
        <w:rPr>
          <w:u w:val="single"/>
        </w:rPr>
        <w:tab/>
      </w:r>
    </w:p>
    <w:p w:rsidR="00C929EC" w:rsidRPr="00742C20"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t>13</w:t>
      </w:r>
      <w:r w:rsidRPr="00742C20">
        <w:tab/>
      </w:r>
      <w:r>
        <w:t>okno dvojité</w:t>
      </w:r>
      <w:r w:rsidRPr="00742C20">
        <w:tab/>
      </w:r>
      <w:r>
        <w:t>200/235</w:t>
      </w:r>
      <w:r w:rsidRPr="00742C20">
        <w:tab/>
      </w:r>
      <w:r>
        <w:t>-</w:t>
      </w:r>
      <w:r w:rsidRPr="00742C20">
        <w:tab/>
      </w:r>
      <w:r>
        <w:t>-</w:t>
      </w:r>
      <w:r w:rsidRPr="00742C20">
        <w:tab/>
      </w:r>
      <w:r>
        <w:t>-</w:t>
      </w:r>
      <w:r w:rsidRPr="00742C20">
        <w:tab/>
      </w:r>
      <w:r>
        <w:t>1</w:t>
      </w:r>
      <w:r w:rsidRPr="00742C20">
        <w:tab/>
      </w:r>
      <w:r>
        <w:t>1</w:t>
      </w:r>
      <w:r w:rsidRPr="00742C20">
        <w:tab/>
      </w:r>
      <w:r>
        <w:t>4,70 m</w:t>
      </w:r>
      <w:r w:rsidRPr="00AA0105">
        <w:rPr>
          <w:vertAlign w:val="superscript"/>
        </w:rPr>
        <w:t>2</w:t>
      </w:r>
      <w:r w:rsidRPr="00742C20">
        <w:tab/>
      </w:r>
      <w:r w:rsidR="006F69AD">
        <w:t>ANO</w:t>
      </w:r>
    </w:p>
    <w:p w:rsidR="00C929EC" w:rsidRDefault="00C929EC" w:rsidP="00C929EC">
      <w:pPr>
        <w:tabs>
          <w:tab w:val="center" w:pos="1418"/>
          <w:tab w:val="center" w:pos="2835"/>
          <w:tab w:val="right" w:pos="9072"/>
        </w:tabs>
        <w:jc w:val="both"/>
        <w:rPr>
          <w:u w:val="single"/>
        </w:rPr>
      </w:pPr>
      <w:r w:rsidRPr="00742C20">
        <w:rPr>
          <w:u w:val="single"/>
        </w:rPr>
        <w:tab/>
      </w:r>
      <w:r>
        <w:rPr>
          <w:u w:val="single"/>
        </w:rPr>
        <w:t>troj</w:t>
      </w:r>
      <w:r w:rsidRPr="00742C20">
        <w:rPr>
          <w:u w:val="single"/>
        </w:rPr>
        <w:t>křídlé</w:t>
      </w:r>
      <w:r w:rsidRPr="00742C20">
        <w:rPr>
          <w:u w:val="single"/>
        </w:rPr>
        <w:tab/>
      </w:r>
      <w:r>
        <w:rPr>
          <w:u w:val="single"/>
        </w:rPr>
        <w:t>A=4,70 m</w:t>
      </w:r>
      <w:r w:rsidRPr="00AA0105">
        <w:rPr>
          <w:u w:val="single"/>
          <w:vertAlign w:val="superscript"/>
        </w:rPr>
        <w:t>2</w:t>
      </w:r>
      <w:r w:rsidRPr="00742C20">
        <w:rPr>
          <w:u w:val="single"/>
        </w:rPr>
        <w:tab/>
      </w:r>
      <w:r w:rsidRPr="00C21094">
        <w:rPr>
          <w:b/>
          <w:u w:val="single"/>
        </w:rPr>
        <w:t>repase</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14</w:t>
      </w:r>
      <w:r w:rsidRPr="006F40F1">
        <w:tab/>
        <w:t>okno dvojité</w:t>
      </w:r>
      <w:r w:rsidRPr="006F40F1">
        <w:tab/>
        <w:t>200/200</w:t>
      </w:r>
      <w:r w:rsidRPr="006F40F1">
        <w:tab/>
        <w:t>-</w:t>
      </w:r>
      <w:r w:rsidRPr="006F40F1">
        <w:tab/>
        <w:t>-</w:t>
      </w:r>
      <w:r w:rsidRPr="006F40F1">
        <w:tab/>
        <w:t>-</w:t>
      </w:r>
      <w:r w:rsidRPr="006F40F1">
        <w:tab/>
        <w:t>2</w:t>
      </w:r>
      <w:r w:rsidRPr="006F40F1">
        <w:tab/>
        <w:t>2</w:t>
      </w:r>
      <w:r w:rsidRPr="006F40F1">
        <w:tab/>
        <w:t>8,00 m</w:t>
      </w:r>
      <w:r w:rsidRPr="006F40F1">
        <w:rPr>
          <w:vertAlign w:val="superscript"/>
        </w:rPr>
        <w:t>2</w:t>
      </w:r>
      <w:r w:rsidRPr="006F40F1">
        <w:tab/>
      </w:r>
      <w:r w:rsidR="006F69AD">
        <w:t>ANO</w:t>
      </w:r>
    </w:p>
    <w:p w:rsidR="00C929EC" w:rsidRPr="006F40F1" w:rsidRDefault="00C929EC" w:rsidP="00C929EC">
      <w:pPr>
        <w:tabs>
          <w:tab w:val="center" w:pos="1418"/>
          <w:tab w:val="center" w:pos="2835"/>
          <w:tab w:val="right" w:pos="9072"/>
        </w:tabs>
        <w:jc w:val="both"/>
        <w:rPr>
          <w:u w:val="single"/>
        </w:rPr>
      </w:pPr>
      <w:r w:rsidRPr="006F40F1">
        <w:rPr>
          <w:u w:val="single"/>
        </w:rPr>
        <w:tab/>
        <w:t>trojkřídlé</w:t>
      </w:r>
      <w:r w:rsidRPr="006F40F1">
        <w:rPr>
          <w:u w:val="single"/>
        </w:rPr>
        <w:tab/>
        <w:t>A=4,00 m</w:t>
      </w:r>
      <w:r w:rsidRPr="006F40F1">
        <w:rPr>
          <w:u w:val="single"/>
          <w:vertAlign w:val="superscript"/>
        </w:rPr>
        <w:t>2</w:t>
      </w:r>
      <w:r w:rsidRPr="006F40F1">
        <w:rPr>
          <w:u w:val="single"/>
        </w:rPr>
        <w:tab/>
      </w:r>
      <w:r w:rsidRPr="00C21094">
        <w:rPr>
          <w:b/>
          <w:u w:val="single"/>
        </w:rPr>
        <w:t>repase</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15</w:t>
      </w:r>
      <w:r w:rsidRPr="006F40F1">
        <w:tab/>
        <w:t>o. jednoduché</w:t>
      </w:r>
      <w:r w:rsidRPr="006F40F1">
        <w:tab/>
        <w:t>77/125</w:t>
      </w:r>
      <w:r w:rsidRPr="006F40F1">
        <w:tab/>
        <w:t>-</w:t>
      </w:r>
      <w:r w:rsidRPr="006F40F1">
        <w:tab/>
        <w:t>-</w:t>
      </w:r>
      <w:r w:rsidRPr="006F40F1">
        <w:tab/>
      </w:r>
      <w:proofErr w:type="gramStart"/>
      <w:r w:rsidRPr="006F40F1">
        <w:t>1</w:t>
      </w:r>
      <w:r w:rsidRPr="006F40F1">
        <w:tab/>
        <w:t>-</w:t>
      </w:r>
      <w:r w:rsidRPr="006F40F1">
        <w:tab/>
        <w:t>1</w:t>
      </w:r>
      <w:proofErr w:type="gramEnd"/>
      <w:r w:rsidRPr="006F40F1">
        <w:tab/>
        <w:t>0,96 m</w:t>
      </w:r>
      <w:r w:rsidRPr="006F40F1">
        <w:rPr>
          <w:vertAlign w:val="superscript"/>
        </w:rPr>
        <w:t>2</w:t>
      </w:r>
      <w:r w:rsidRPr="006F40F1">
        <w:tab/>
        <w:t>NE</w:t>
      </w:r>
    </w:p>
    <w:p w:rsidR="00C929EC" w:rsidRPr="006F40F1" w:rsidRDefault="00C929EC" w:rsidP="00C929EC">
      <w:pPr>
        <w:tabs>
          <w:tab w:val="center" w:pos="1418"/>
          <w:tab w:val="center" w:pos="2835"/>
          <w:tab w:val="right" w:pos="9072"/>
        </w:tabs>
        <w:jc w:val="both"/>
        <w:rPr>
          <w:u w:val="single"/>
        </w:rPr>
      </w:pPr>
      <w:r w:rsidRPr="006F40F1">
        <w:rPr>
          <w:u w:val="single"/>
        </w:rPr>
        <w:tab/>
        <w:t>jednokřídlé</w:t>
      </w:r>
      <w:r w:rsidRPr="006F40F1">
        <w:rPr>
          <w:u w:val="single"/>
        </w:rPr>
        <w:tab/>
        <w:t>A=0,96 m</w:t>
      </w:r>
      <w:r w:rsidRPr="006F40F1">
        <w:rPr>
          <w:u w:val="single"/>
          <w:vertAlign w:val="superscript"/>
        </w:rPr>
        <w:t>2</w:t>
      </w:r>
      <w:r w:rsidRPr="006F40F1">
        <w:rPr>
          <w:u w:val="single"/>
        </w:rPr>
        <w:tab/>
      </w:r>
      <w:r>
        <w:rPr>
          <w:u w:val="single"/>
        </w:rPr>
        <w:t>již vyměněné</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16</w:t>
      </w:r>
      <w:r w:rsidRPr="006F40F1">
        <w:tab/>
        <w:t>o. jednoduché</w:t>
      </w:r>
      <w:r w:rsidRPr="006F40F1">
        <w:tab/>
        <w:t>100/125</w:t>
      </w:r>
      <w:r w:rsidRPr="006F40F1">
        <w:tab/>
        <w:t>-</w:t>
      </w:r>
      <w:r w:rsidRPr="006F40F1">
        <w:tab/>
        <w:t>-</w:t>
      </w:r>
      <w:r w:rsidRPr="006F40F1">
        <w:tab/>
      </w:r>
      <w:proofErr w:type="gramStart"/>
      <w:r w:rsidRPr="006F40F1">
        <w:t>1</w:t>
      </w:r>
      <w:r w:rsidRPr="006F40F1">
        <w:tab/>
        <w:t>-</w:t>
      </w:r>
      <w:r w:rsidRPr="006F40F1">
        <w:tab/>
        <w:t>1</w:t>
      </w:r>
      <w:proofErr w:type="gramEnd"/>
      <w:r w:rsidRPr="006F40F1">
        <w:tab/>
        <w:t>1,25 m</w:t>
      </w:r>
      <w:r w:rsidRPr="006F40F1">
        <w:rPr>
          <w:vertAlign w:val="superscript"/>
        </w:rPr>
        <w:t>2</w:t>
      </w:r>
      <w:r w:rsidRPr="006F40F1">
        <w:tab/>
        <w:t>NE</w:t>
      </w:r>
    </w:p>
    <w:p w:rsidR="00C929EC" w:rsidRPr="006F40F1" w:rsidRDefault="00C929EC" w:rsidP="00C929EC">
      <w:pPr>
        <w:tabs>
          <w:tab w:val="center" w:pos="1418"/>
          <w:tab w:val="center" w:pos="2835"/>
          <w:tab w:val="right" w:pos="9072"/>
        </w:tabs>
        <w:jc w:val="both"/>
        <w:rPr>
          <w:u w:val="single"/>
        </w:rPr>
      </w:pPr>
      <w:r w:rsidRPr="006F40F1">
        <w:rPr>
          <w:u w:val="single"/>
        </w:rPr>
        <w:tab/>
        <w:t>jednokřídlé</w:t>
      </w:r>
      <w:r w:rsidRPr="006F40F1">
        <w:rPr>
          <w:u w:val="single"/>
        </w:rPr>
        <w:tab/>
        <w:t>A=1,25 m</w:t>
      </w:r>
      <w:r w:rsidRPr="006F40F1">
        <w:rPr>
          <w:u w:val="single"/>
          <w:vertAlign w:val="superscript"/>
        </w:rPr>
        <w:t>2</w:t>
      </w:r>
      <w:r w:rsidRPr="006F40F1">
        <w:rPr>
          <w:u w:val="single"/>
        </w:rPr>
        <w:tab/>
      </w:r>
      <w:r>
        <w:rPr>
          <w:u w:val="single"/>
        </w:rPr>
        <w:t>již vyměněné</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17</w:t>
      </w:r>
      <w:r w:rsidRPr="006F40F1">
        <w:tab/>
        <w:t>o. jednoduché</w:t>
      </w:r>
      <w:r w:rsidRPr="006F40F1">
        <w:tab/>
        <w:t>100/215</w:t>
      </w:r>
      <w:r w:rsidRPr="006F40F1">
        <w:tab/>
        <w:t>-</w:t>
      </w:r>
      <w:r w:rsidRPr="006F40F1">
        <w:tab/>
        <w:t>-</w:t>
      </w:r>
      <w:r w:rsidRPr="006F40F1">
        <w:tab/>
      </w:r>
      <w:proofErr w:type="gramStart"/>
      <w:r w:rsidRPr="006F40F1">
        <w:t>2</w:t>
      </w:r>
      <w:r w:rsidRPr="006F40F1">
        <w:tab/>
        <w:t>-</w:t>
      </w:r>
      <w:r w:rsidRPr="006F40F1">
        <w:tab/>
        <w:t>2</w:t>
      </w:r>
      <w:proofErr w:type="gramEnd"/>
      <w:r w:rsidRPr="006F40F1">
        <w:tab/>
      </w:r>
      <w:r>
        <w:t>4</w:t>
      </w:r>
      <w:r w:rsidRPr="006F40F1">
        <w:t>,30 m</w:t>
      </w:r>
      <w:r w:rsidRPr="006F40F1">
        <w:rPr>
          <w:vertAlign w:val="superscript"/>
        </w:rPr>
        <w:t>2</w:t>
      </w:r>
      <w:r w:rsidRPr="006F40F1">
        <w:tab/>
        <w:t>NE</w:t>
      </w:r>
    </w:p>
    <w:p w:rsidR="00C929EC" w:rsidRPr="006F40F1" w:rsidRDefault="00C929EC" w:rsidP="00C929EC">
      <w:pPr>
        <w:tabs>
          <w:tab w:val="center" w:pos="1418"/>
          <w:tab w:val="center" w:pos="2835"/>
          <w:tab w:val="right" w:pos="9072"/>
        </w:tabs>
        <w:jc w:val="both"/>
        <w:rPr>
          <w:u w:val="single"/>
        </w:rPr>
      </w:pPr>
      <w:r w:rsidRPr="006F40F1">
        <w:rPr>
          <w:u w:val="single"/>
        </w:rPr>
        <w:tab/>
        <w:t>jednokřídlé</w:t>
      </w:r>
      <w:r w:rsidRPr="006F40F1">
        <w:rPr>
          <w:u w:val="single"/>
        </w:rPr>
        <w:tab/>
        <w:t>A=2,15 m</w:t>
      </w:r>
      <w:r w:rsidRPr="006F40F1">
        <w:rPr>
          <w:u w:val="single"/>
          <w:vertAlign w:val="superscript"/>
        </w:rPr>
        <w:t>2</w:t>
      </w:r>
      <w:r w:rsidRPr="006F40F1">
        <w:rPr>
          <w:u w:val="single"/>
        </w:rPr>
        <w:tab/>
      </w:r>
      <w:r>
        <w:rPr>
          <w:u w:val="single"/>
        </w:rPr>
        <w:t>již vyměněná</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19</w:t>
      </w:r>
      <w:r w:rsidRPr="006F40F1">
        <w:tab/>
        <w:t>o. jednoduché</w:t>
      </w:r>
      <w:r w:rsidRPr="006F40F1">
        <w:tab/>
        <w:t>75/215</w:t>
      </w:r>
      <w:r w:rsidRPr="006F40F1">
        <w:tab/>
        <w:t>-</w:t>
      </w:r>
      <w:r w:rsidRPr="006F40F1">
        <w:tab/>
        <w:t>-</w:t>
      </w:r>
      <w:r w:rsidRPr="006F40F1">
        <w:tab/>
      </w:r>
      <w:proofErr w:type="gramStart"/>
      <w:r w:rsidRPr="006F40F1">
        <w:t>2</w:t>
      </w:r>
      <w:r w:rsidRPr="006F40F1">
        <w:tab/>
        <w:t>-</w:t>
      </w:r>
      <w:r w:rsidRPr="006F40F1">
        <w:tab/>
        <w:t>2</w:t>
      </w:r>
      <w:proofErr w:type="gramEnd"/>
      <w:r w:rsidRPr="006F40F1">
        <w:tab/>
        <w:t>3,23 m</w:t>
      </w:r>
      <w:r w:rsidRPr="006F40F1">
        <w:rPr>
          <w:vertAlign w:val="superscript"/>
        </w:rPr>
        <w:t>2</w:t>
      </w:r>
      <w:r w:rsidRPr="006F40F1">
        <w:tab/>
        <w:t>NE</w:t>
      </w:r>
    </w:p>
    <w:p w:rsidR="00C929EC" w:rsidRPr="006F40F1" w:rsidRDefault="00C929EC" w:rsidP="00C929EC">
      <w:pPr>
        <w:tabs>
          <w:tab w:val="center" w:pos="1418"/>
          <w:tab w:val="center" w:pos="2835"/>
          <w:tab w:val="right" w:pos="9072"/>
        </w:tabs>
        <w:jc w:val="both"/>
        <w:rPr>
          <w:u w:val="single"/>
        </w:rPr>
      </w:pPr>
      <w:r w:rsidRPr="006F40F1">
        <w:rPr>
          <w:u w:val="single"/>
        </w:rPr>
        <w:tab/>
        <w:t>jednokřídlé</w:t>
      </w:r>
      <w:r w:rsidRPr="006F40F1">
        <w:rPr>
          <w:u w:val="single"/>
        </w:rPr>
        <w:tab/>
        <w:t>A=1,61 m</w:t>
      </w:r>
      <w:r w:rsidRPr="006F40F1">
        <w:rPr>
          <w:u w:val="single"/>
          <w:vertAlign w:val="superscript"/>
        </w:rPr>
        <w:t>2</w:t>
      </w:r>
      <w:r w:rsidRPr="006F40F1">
        <w:rPr>
          <w:u w:val="single"/>
        </w:rPr>
        <w:tab/>
      </w:r>
      <w:r>
        <w:rPr>
          <w:u w:val="single"/>
        </w:rPr>
        <w:t>již vyměněná</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20</w:t>
      </w:r>
      <w:r w:rsidRPr="006F40F1">
        <w:tab/>
        <w:t>o</w:t>
      </w:r>
      <w:r>
        <w:t>kno</w:t>
      </w:r>
      <w:r w:rsidRPr="006F40F1">
        <w:t xml:space="preserve"> dvojité</w:t>
      </w:r>
      <w:r w:rsidRPr="006F40F1">
        <w:tab/>
        <w:t>115/280</w:t>
      </w:r>
      <w:r w:rsidRPr="006F40F1">
        <w:tab/>
        <w:t>2</w:t>
      </w:r>
      <w:r w:rsidRPr="006F40F1">
        <w:tab/>
        <w:t>-</w:t>
      </w:r>
      <w:r w:rsidRPr="006F40F1">
        <w:tab/>
        <w:t>-</w:t>
      </w:r>
      <w:r w:rsidRPr="006F40F1">
        <w:tab/>
        <w:t>-</w:t>
      </w:r>
      <w:r w:rsidRPr="006F40F1">
        <w:tab/>
        <w:t>2</w:t>
      </w:r>
      <w:r w:rsidRPr="006F40F1">
        <w:tab/>
        <w:t>6,44 m</w:t>
      </w:r>
      <w:r w:rsidRPr="006F40F1">
        <w:rPr>
          <w:vertAlign w:val="superscript"/>
        </w:rPr>
        <w:t>2</w:t>
      </w:r>
      <w:r w:rsidRPr="006F40F1">
        <w:tab/>
      </w:r>
      <w:r w:rsidR="006F69AD">
        <w:t>ANO</w:t>
      </w:r>
    </w:p>
    <w:p w:rsidR="00C929EC" w:rsidRPr="006F40F1" w:rsidRDefault="00C929EC" w:rsidP="00C929EC">
      <w:pPr>
        <w:tabs>
          <w:tab w:val="center" w:pos="1418"/>
          <w:tab w:val="center" w:pos="2835"/>
          <w:tab w:val="right" w:pos="9072"/>
        </w:tabs>
        <w:jc w:val="both"/>
        <w:rPr>
          <w:u w:val="single"/>
        </w:rPr>
      </w:pPr>
      <w:r w:rsidRPr="006F40F1">
        <w:rPr>
          <w:u w:val="single"/>
        </w:rPr>
        <w:tab/>
        <w:t>dvoukřídlé</w:t>
      </w:r>
      <w:r w:rsidRPr="006F40F1">
        <w:rPr>
          <w:u w:val="single"/>
        </w:rPr>
        <w:tab/>
        <w:t>A=3,22 m</w:t>
      </w:r>
      <w:r w:rsidRPr="006F40F1">
        <w:rPr>
          <w:u w:val="single"/>
          <w:vertAlign w:val="superscript"/>
        </w:rPr>
        <w:t>2</w:t>
      </w:r>
      <w:r w:rsidRPr="006F40F1">
        <w:rPr>
          <w:u w:val="single"/>
        </w:rPr>
        <w:tab/>
      </w:r>
      <w:r w:rsidRPr="00C21094">
        <w:rPr>
          <w:b/>
          <w:u w:val="single"/>
        </w:rPr>
        <w:t>repase</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21</w:t>
      </w:r>
      <w:r w:rsidRPr="006F40F1">
        <w:tab/>
        <w:t>o</w:t>
      </w:r>
      <w:r>
        <w:t>kno</w:t>
      </w:r>
      <w:r w:rsidRPr="006F40F1">
        <w:t xml:space="preserve"> dvojité</w:t>
      </w:r>
      <w:r w:rsidRPr="006F40F1">
        <w:tab/>
        <w:t>230/280</w:t>
      </w:r>
      <w:r w:rsidRPr="006F40F1">
        <w:tab/>
        <w:t>1</w:t>
      </w:r>
      <w:r w:rsidRPr="006F40F1">
        <w:tab/>
        <w:t>-</w:t>
      </w:r>
      <w:r w:rsidRPr="006F40F1">
        <w:tab/>
        <w:t>-</w:t>
      </w:r>
      <w:r w:rsidRPr="006F40F1">
        <w:tab/>
        <w:t>-</w:t>
      </w:r>
      <w:r w:rsidRPr="006F40F1">
        <w:tab/>
        <w:t>1</w:t>
      </w:r>
      <w:r w:rsidRPr="006F40F1">
        <w:tab/>
        <w:t>6,44 m</w:t>
      </w:r>
      <w:r w:rsidRPr="006F40F1">
        <w:rPr>
          <w:vertAlign w:val="superscript"/>
        </w:rPr>
        <w:t>2</w:t>
      </w:r>
      <w:r w:rsidRPr="006F40F1">
        <w:tab/>
      </w:r>
      <w:r w:rsidR="006F69AD">
        <w:t>ANO</w:t>
      </w:r>
    </w:p>
    <w:p w:rsidR="00C929EC" w:rsidRPr="006F40F1" w:rsidRDefault="00C929EC" w:rsidP="00C929EC">
      <w:pPr>
        <w:tabs>
          <w:tab w:val="center" w:pos="1418"/>
          <w:tab w:val="center" w:pos="2835"/>
          <w:tab w:val="right" w:pos="9072"/>
        </w:tabs>
        <w:jc w:val="both"/>
        <w:rPr>
          <w:u w:val="single"/>
        </w:rPr>
      </w:pPr>
      <w:r w:rsidRPr="006F40F1">
        <w:rPr>
          <w:u w:val="single"/>
        </w:rPr>
        <w:tab/>
        <w:t>trojkřídlé</w:t>
      </w:r>
      <w:r w:rsidRPr="006F40F1">
        <w:rPr>
          <w:u w:val="single"/>
        </w:rPr>
        <w:tab/>
        <w:t>A=6,44 m</w:t>
      </w:r>
      <w:r w:rsidRPr="006F40F1">
        <w:rPr>
          <w:u w:val="single"/>
          <w:vertAlign w:val="superscript"/>
        </w:rPr>
        <w:t>2</w:t>
      </w:r>
      <w:r w:rsidRPr="006F40F1">
        <w:rPr>
          <w:u w:val="single"/>
        </w:rPr>
        <w:tab/>
      </w:r>
      <w:r w:rsidRPr="00C21094">
        <w:rPr>
          <w:b/>
          <w:u w:val="single"/>
        </w:rPr>
        <w:t>repase</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22</w:t>
      </w:r>
      <w:r w:rsidRPr="006F40F1">
        <w:tab/>
        <w:t>o</w:t>
      </w:r>
      <w:r>
        <w:t>kno</w:t>
      </w:r>
      <w:r w:rsidRPr="006F40F1">
        <w:t xml:space="preserve"> dvojité</w:t>
      </w:r>
      <w:r w:rsidRPr="006F40F1">
        <w:tab/>
        <w:t>220/270</w:t>
      </w:r>
      <w:r w:rsidRPr="006F40F1">
        <w:tab/>
        <w:t>1</w:t>
      </w:r>
      <w:r w:rsidRPr="006F40F1">
        <w:tab/>
        <w:t>-</w:t>
      </w:r>
      <w:r w:rsidRPr="006F40F1">
        <w:tab/>
        <w:t>-</w:t>
      </w:r>
      <w:r w:rsidRPr="006F40F1">
        <w:tab/>
        <w:t>-</w:t>
      </w:r>
      <w:r w:rsidRPr="006F40F1">
        <w:tab/>
        <w:t>1</w:t>
      </w:r>
      <w:r w:rsidRPr="006F40F1">
        <w:tab/>
        <w:t>5,94 m</w:t>
      </w:r>
      <w:r w:rsidRPr="006F40F1">
        <w:rPr>
          <w:vertAlign w:val="superscript"/>
        </w:rPr>
        <w:t>2</w:t>
      </w:r>
      <w:r w:rsidRPr="006F40F1">
        <w:tab/>
      </w:r>
      <w:r w:rsidR="006F69AD">
        <w:t>ANO</w:t>
      </w:r>
    </w:p>
    <w:p w:rsidR="00C929EC" w:rsidRPr="006F40F1" w:rsidRDefault="00C929EC" w:rsidP="00C929EC">
      <w:pPr>
        <w:tabs>
          <w:tab w:val="center" w:pos="1418"/>
          <w:tab w:val="center" w:pos="2835"/>
          <w:tab w:val="right" w:pos="9072"/>
        </w:tabs>
        <w:jc w:val="both"/>
        <w:rPr>
          <w:u w:val="single"/>
        </w:rPr>
      </w:pPr>
      <w:r w:rsidRPr="006F40F1">
        <w:rPr>
          <w:u w:val="single"/>
        </w:rPr>
        <w:tab/>
        <w:t>trojkřídlé</w:t>
      </w:r>
      <w:r w:rsidRPr="006F40F1">
        <w:rPr>
          <w:u w:val="single"/>
        </w:rPr>
        <w:tab/>
        <w:t>A=5,94 m</w:t>
      </w:r>
      <w:r w:rsidRPr="006F40F1">
        <w:rPr>
          <w:u w:val="single"/>
          <w:vertAlign w:val="superscript"/>
        </w:rPr>
        <w:t>2</w:t>
      </w:r>
      <w:r w:rsidRPr="006F40F1">
        <w:rPr>
          <w:u w:val="single"/>
        </w:rPr>
        <w:tab/>
      </w:r>
      <w:r w:rsidRPr="00C21094">
        <w:rPr>
          <w:b/>
          <w:u w:val="single"/>
        </w:rPr>
        <w:t>repase</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23</w:t>
      </w:r>
      <w:r w:rsidRPr="006F40F1">
        <w:tab/>
        <w:t>o</w:t>
      </w:r>
      <w:r>
        <w:t>kno</w:t>
      </w:r>
      <w:r w:rsidRPr="006F40F1">
        <w:t xml:space="preserve"> dvojité</w:t>
      </w:r>
      <w:r w:rsidRPr="006F40F1">
        <w:tab/>
        <w:t>100/255</w:t>
      </w:r>
      <w:r w:rsidRPr="006F40F1">
        <w:tab/>
        <w:t>2</w:t>
      </w:r>
      <w:r w:rsidRPr="006F40F1">
        <w:tab/>
        <w:t>-</w:t>
      </w:r>
      <w:r w:rsidRPr="006F40F1">
        <w:tab/>
        <w:t>-</w:t>
      </w:r>
      <w:r w:rsidRPr="006F40F1">
        <w:tab/>
        <w:t>-</w:t>
      </w:r>
      <w:r w:rsidRPr="006F40F1">
        <w:tab/>
        <w:t>2</w:t>
      </w:r>
      <w:r w:rsidRPr="006F40F1">
        <w:tab/>
        <w:t>5,10 m</w:t>
      </w:r>
      <w:r w:rsidRPr="006F40F1">
        <w:rPr>
          <w:vertAlign w:val="superscript"/>
        </w:rPr>
        <w:t>2</w:t>
      </w:r>
      <w:r w:rsidRPr="006F40F1">
        <w:tab/>
      </w:r>
      <w:r w:rsidR="006F69AD">
        <w:t>ANO</w:t>
      </w:r>
    </w:p>
    <w:p w:rsidR="00C929EC" w:rsidRPr="006F40F1" w:rsidRDefault="00C929EC" w:rsidP="00C929EC">
      <w:pPr>
        <w:tabs>
          <w:tab w:val="center" w:pos="1418"/>
          <w:tab w:val="center" w:pos="2835"/>
          <w:tab w:val="right" w:pos="9072"/>
        </w:tabs>
        <w:jc w:val="both"/>
        <w:rPr>
          <w:u w:val="single"/>
        </w:rPr>
      </w:pPr>
      <w:r w:rsidRPr="006F40F1">
        <w:rPr>
          <w:u w:val="single"/>
        </w:rPr>
        <w:tab/>
        <w:t>dvoukřídlé</w:t>
      </w:r>
      <w:r w:rsidRPr="006F40F1">
        <w:rPr>
          <w:u w:val="single"/>
        </w:rPr>
        <w:tab/>
        <w:t>A=2,55 m</w:t>
      </w:r>
      <w:r w:rsidRPr="006F40F1">
        <w:rPr>
          <w:u w:val="single"/>
          <w:vertAlign w:val="superscript"/>
        </w:rPr>
        <w:t>2</w:t>
      </w:r>
      <w:r w:rsidRPr="006F40F1">
        <w:rPr>
          <w:u w:val="single"/>
        </w:rPr>
        <w:tab/>
      </w:r>
      <w:r w:rsidRPr="00C21094">
        <w:rPr>
          <w:b/>
          <w:u w:val="single"/>
        </w:rPr>
        <w:t>repase</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24</w:t>
      </w:r>
      <w:r w:rsidRPr="006F40F1">
        <w:tab/>
        <w:t>o</w:t>
      </w:r>
      <w:r>
        <w:t>kno</w:t>
      </w:r>
      <w:r w:rsidRPr="006F40F1">
        <w:t xml:space="preserve"> dvojité</w:t>
      </w:r>
      <w:r w:rsidRPr="006F40F1">
        <w:tab/>
        <w:t>100/290</w:t>
      </w:r>
      <w:r w:rsidRPr="006F40F1">
        <w:tab/>
        <w:t>1</w:t>
      </w:r>
      <w:r w:rsidRPr="006F40F1">
        <w:tab/>
        <w:t>-</w:t>
      </w:r>
      <w:r w:rsidRPr="006F40F1">
        <w:tab/>
        <w:t>-</w:t>
      </w:r>
      <w:r w:rsidRPr="006F40F1">
        <w:tab/>
        <w:t>-</w:t>
      </w:r>
      <w:r w:rsidRPr="006F40F1">
        <w:tab/>
        <w:t>1</w:t>
      </w:r>
      <w:r w:rsidRPr="006F40F1">
        <w:tab/>
        <w:t>2,90 m</w:t>
      </w:r>
      <w:r w:rsidRPr="006F40F1">
        <w:rPr>
          <w:vertAlign w:val="superscript"/>
        </w:rPr>
        <w:t>2</w:t>
      </w:r>
      <w:r w:rsidRPr="006F40F1">
        <w:tab/>
      </w:r>
      <w:r w:rsidR="006F69AD">
        <w:t>ANO</w:t>
      </w:r>
    </w:p>
    <w:p w:rsidR="00C929EC" w:rsidRPr="00742C20" w:rsidRDefault="00C929EC" w:rsidP="00C929EC">
      <w:pPr>
        <w:tabs>
          <w:tab w:val="center" w:pos="1418"/>
          <w:tab w:val="center" w:pos="2835"/>
          <w:tab w:val="right" w:pos="9072"/>
        </w:tabs>
        <w:jc w:val="both"/>
        <w:rPr>
          <w:u w:val="single"/>
        </w:rPr>
      </w:pPr>
      <w:r w:rsidRPr="006F40F1">
        <w:rPr>
          <w:u w:val="single"/>
        </w:rPr>
        <w:lastRenderedPageBreak/>
        <w:tab/>
        <w:t>dvoukřídlé</w:t>
      </w:r>
      <w:r w:rsidRPr="006F40F1">
        <w:rPr>
          <w:u w:val="single"/>
        </w:rPr>
        <w:tab/>
        <w:t>A=2,90 m</w:t>
      </w:r>
      <w:r w:rsidRPr="006F40F1">
        <w:rPr>
          <w:u w:val="single"/>
          <w:vertAlign w:val="superscript"/>
        </w:rPr>
        <w:t>2</w:t>
      </w:r>
      <w:r w:rsidRPr="00742C20">
        <w:rPr>
          <w:u w:val="single"/>
        </w:rPr>
        <w:tab/>
      </w:r>
      <w:r w:rsidRPr="00C21094">
        <w:rPr>
          <w:b/>
          <w:u w:val="single"/>
        </w:rPr>
        <w:t>repase</w:t>
      </w:r>
    </w:p>
    <w:p w:rsidR="00C929EC" w:rsidRPr="006F40F1"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6F40F1">
        <w:t>2</w:t>
      </w:r>
      <w:r>
        <w:t>5</w:t>
      </w:r>
      <w:r w:rsidRPr="006F40F1">
        <w:tab/>
      </w:r>
      <w:r>
        <w:t>bez</w:t>
      </w:r>
      <w:r w:rsidRPr="006F40F1">
        <w:tab/>
      </w:r>
      <w:r>
        <w:t>90</w:t>
      </w:r>
      <w:r w:rsidRPr="006F40F1">
        <w:t>/</w:t>
      </w:r>
      <w:proofErr w:type="gramStart"/>
      <w:r>
        <w:t>45</w:t>
      </w:r>
      <w:r w:rsidRPr="006F40F1">
        <w:tab/>
      </w:r>
      <w:r>
        <w:t>-</w:t>
      </w:r>
      <w:r w:rsidRPr="006F40F1">
        <w:tab/>
      </w:r>
      <w:r>
        <w:t>2</w:t>
      </w:r>
      <w:proofErr w:type="gramEnd"/>
      <w:r w:rsidRPr="006F40F1">
        <w:tab/>
        <w:t>-</w:t>
      </w:r>
      <w:r w:rsidRPr="006F40F1">
        <w:tab/>
        <w:t>-</w:t>
      </w:r>
      <w:r w:rsidRPr="006F40F1">
        <w:tab/>
      </w:r>
      <w:r>
        <w:t>2</w:t>
      </w:r>
      <w:r w:rsidRPr="006F40F1">
        <w:tab/>
      </w:r>
      <w:r>
        <w:t>0,82</w:t>
      </w:r>
      <w:r w:rsidRPr="006F40F1">
        <w:t xml:space="preserve"> m</w:t>
      </w:r>
      <w:r w:rsidRPr="006F40F1">
        <w:rPr>
          <w:vertAlign w:val="superscript"/>
        </w:rPr>
        <w:t>2</w:t>
      </w:r>
      <w:r w:rsidRPr="006F40F1">
        <w:tab/>
      </w:r>
      <w:r>
        <w:t>ANO</w:t>
      </w:r>
    </w:p>
    <w:p w:rsidR="00C929EC" w:rsidRPr="007D42F8" w:rsidRDefault="00C929EC" w:rsidP="00C929EC">
      <w:pPr>
        <w:tabs>
          <w:tab w:val="center" w:pos="1418"/>
          <w:tab w:val="center" w:pos="2835"/>
          <w:tab w:val="right" w:pos="9072"/>
        </w:tabs>
        <w:jc w:val="both"/>
        <w:rPr>
          <w:u w:val="single"/>
        </w:rPr>
      </w:pPr>
      <w:r w:rsidRPr="007D42F8">
        <w:rPr>
          <w:u w:val="single"/>
        </w:rPr>
        <w:tab/>
        <w:t>výplně</w:t>
      </w:r>
      <w:r w:rsidRPr="007D42F8">
        <w:rPr>
          <w:u w:val="single"/>
        </w:rPr>
        <w:tab/>
        <w:t>A=0,41 m</w:t>
      </w:r>
      <w:r w:rsidRPr="007D42F8">
        <w:rPr>
          <w:u w:val="single"/>
          <w:vertAlign w:val="superscript"/>
        </w:rPr>
        <w:t>2</w:t>
      </w:r>
      <w:r w:rsidRPr="007D42F8">
        <w:rPr>
          <w:u w:val="single"/>
        </w:rPr>
        <w:tab/>
      </w:r>
    </w:p>
    <w:p w:rsidR="00C929EC" w:rsidRPr="007D42F8"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7D42F8">
        <w:t>33</w:t>
      </w:r>
      <w:r w:rsidRPr="007D42F8">
        <w:tab/>
        <w:t>okno dvojité</w:t>
      </w:r>
      <w:r w:rsidRPr="007D42F8">
        <w:tab/>
        <w:t>120/245</w:t>
      </w:r>
      <w:r w:rsidRPr="007D42F8">
        <w:tab/>
        <w:t>3</w:t>
      </w:r>
      <w:r w:rsidRPr="007D42F8">
        <w:tab/>
      </w:r>
      <w:proofErr w:type="gramStart"/>
      <w:r w:rsidRPr="007D42F8">
        <w:t>9</w:t>
      </w:r>
      <w:r w:rsidRPr="007D42F8">
        <w:tab/>
        <w:t>-</w:t>
      </w:r>
      <w:r w:rsidRPr="007D42F8">
        <w:tab/>
        <w:t>6</w:t>
      </w:r>
      <w:proofErr w:type="gramEnd"/>
      <w:r w:rsidRPr="007D42F8">
        <w:tab/>
        <w:t>18</w:t>
      </w:r>
      <w:r w:rsidRPr="007D42F8">
        <w:tab/>
        <w:t>52,92 m</w:t>
      </w:r>
      <w:r w:rsidRPr="007D42F8">
        <w:rPr>
          <w:vertAlign w:val="superscript"/>
        </w:rPr>
        <w:t>2</w:t>
      </w:r>
      <w:r w:rsidRPr="007D42F8">
        <w:tab/>
      </w:r>
      <w:r>
        <w:t>ANO</w:t>
      </w:r>
    </w:p>
    <w:p w:rsidR="00C929EC" w:rsidRPr="00C67D3F" w:rsidRDefault="00C929EC" w:rsidP="00C929EC">
      <w:pPr>
        <w:tabs>
          <w:tab w:val="center" w:pos="1418"/>
          <w:tab w:val="center" w:pos="2835"/>
          <w:tab w:val="right" w:pos="9072"/>
        </w:tabs>
        <w:jc w:val="both"/>
        <w:rPr>
          <w:u w:val="single"/>
        </w:rPr>
      </w:pPr>
      <w:r w:rsidRPr="00C67D3F">
        <w:rPr>
          <w:u w:val="single"/>
        </w:rPr>
        <w:tab/>
        <w:t>dvoukřídlé</w:t>
      </w:r>
      <w:r w:rsidRPr="00C67D3F">
        <w:rPr>
          <w:u w:val="single"/>
        </w:rPr>
        <w:tab/>
        <w:t>A=2,94 m</w:t>
      </w:r>
      <w:r w:rsidRPr="00C67D3F">
        <w:rPr>
          <w:u w:val="single"/>
          <w:vertAlign w:val="superscript"/>
        </w:rPr>
        <w:t>2</w:t>
      </w:r>
      <w:r w:rsidRPr="00C67D3F">
        <w:rPr>
          <w:u w:val="single"/>
        </w:rPr>
        <w:tab/>
      </w:r>
    </w:p>
    <w:p w:rsidR="00C929EC" w:rsidRPr="00C67D3F" w:rsidRDefault="00C929EC" w:rsidP="00C929EC">
      <w:pPr>
        <w:tabs>
          <w:tab w:val="center" w:pos="1418"/>
          <w:tab w:val="center" w:pos="2835"/>
          <w:tab w:val="center" w:pos="4111"/>
          <w:tab w:val="center" w:pos="4395"/>
          <w:tab w:val="center" w:pos="4678"/>
          <w:tab w:val="center" w:pos="4962"/>
          <w:tab w:val="center" w:pos="5954"/>
          <w:tab w:val="center" w:pos="7371"/>
          <w:tab w:val="right" w:pos="9072"/>
        </w:tabs>
        <w:spacing w:after="0"/>
        <w:jc w:val="both"/>
      </w:pPr>
      <w:r w:rsidRPr="00C67D3F">
        <w:t>1</w:t>
      </w:r>
      <w:r w:rsidRPr="00C67D3F">
        <w:tab/>
        <w:t xml:space="preserve">okno </w:t>
      </w:r>
      <w:r>
        <w:t>jednoduché</w:t>
      </w:r>
      <w:r w:rsidRPr="00C67D3F">
        <w:tab/>
        <w:t>60/160</w:t>
      </w:r>
      <w:r w:rsidRPr="00C67D3F">
        <w:tab/>
        <w:t>-</w:t>
      </w:r>
      <w:r w:rsidRPr="00C67D3F">
        <w:tab/>
        <w:t>-</w:t>
      </w:r>
      <w:r w:rsidRPr="00C67D3F">
        <w:tab/>
        <w:t>-</w:t>
      </w:r>
      <w:r w:rsidRPr="00C67D3F">
        <w:tab/>
        <w:t>3</w:t>
      </w:r>
      <w:r w:rsidRPr="00C67D3F">
        <w:tab/>
        <w:t>3</w:t>
      </w:r>
      <w:r w:rsidRPr="00C67D3F">
        <w:tab/>
        <w:t>2,88 m</w:t>
      </w:r>
      <w:r w:rsidRPr="00C67D3F">
        <w:rPr>
          <w:vertAlign w:val="superscript"/>
        </w:rPr>
        <w:t>2</w:t>
      </w:r>
      <w:r w:rsidRPr="00C67D3F">
        <w:tab/>
        <w:t>NE</w:t>
      </w:r>
    </w:p>
    <w:p w:rsidR="00C929EC" w:rsidRPr="00C67D3F" w:rsidRDefault="00C929EC" w:rsidP="00C929EC">
      <w:pPr>
        <w:tabs>
          <w:tab w:val="center" w:pos="1418"/>
          <w:tab w:val="center" w:pos="2835"/>
          <w:tab w:val="right" w:pos="9072"/>
        </w:tabs>
        <w:jc w:val="both"/>
        <w:rPr>
          <w:u w:val="single"/>
        </w:rPr>
      </w:pPr>
      <w:r w:rsidRPr="00C67D3F">
        <w:rPr>
          <w:u w:val="single"/>
        </w:rPr>
        <w:tab/>
        <w:t>jednokřídlé</w:t>
      </w:r>
      <w:r w:rsidRPr="00C67D3F">
        <w:rPr>
          <w:u w:val="single"/>
        </w:rPr>
        <w:tab/>
        <w:t>A=0,96 m</w:t>
      </w:r>
      <w:r w:rsidRPr="00C67D3F">
        <w:rPr>
          <w:u w:val="single"/>
          <w:vertAlign w:val="superscript"/>
        </w:rPr>
        <w:t>2</w:t>
      </w:r>
      <w:r w:rsidRPr="00C67D3F">
        <w:rPr>
          <w:u w:val="single"/>
        </w:rPr>
        <w:tab/>
        <w:t>již vyměněná</w:t>
      </w:r>
    </w:p>
    <w:p w:rsidR="00C929EC" w:rsidRPr="00C67D3F" w:rsidRDefault="00C929EC" w:rsidP="00C929EC">
      <w:pPr>
        <w:tabs>
          <w:tab w:val="center" w:pos="1418"/>
          <w:tab w:val="center" w:pos="2835"/>
          <w:tab w:val="center" w:pos="4536"/>
          <w:tab w:val="center" w:pos="5954"/>
          <w:tab w:val="center" w:pos="7371"/>
          <w:tab w:val="right" w:pos="9072"/>
        </w:tabs>
        <w:spacing w:after="0"/>
        <w:jc w:val="both"/>
      </w:pPr>
      <w:r w:rsidRPr="00C67D3F">
        <w:t>2</w:t>
      </w:r>
      <w:r w:rsidRPr="00C67D3F">
        <w:tab/>
        <w:t xml:space="preserve">okno </w:t>
      </w:r>
      <w:r>
        <w:t>jednoduché</w:t>
      </w:r>
      <w:r w:rsidRPr="00C67D3F">
        <w:tab/>
        <w:t>270/180</w:t>
      </w:r>
      <w:r w:rsidRPr="00C67D3F">
        <w:tab/>
        <w:t>zkosená fasáda</w:t>
      </w:r>
      <w:r w:rsidRPr="00C67D3F">
        <w:tab/>
        <w:t>1</w:t>
      </w:r>
      <w:r w:rsidRPr="00C67D3F">
        <w:tab/>
        <w:t>4,86 m</w:t>
      </w:r>
      <w:r w:rsidRPr="00C67D3F">
        <w:rPr>
          <w:vertAlign w:val="superscript"/>
        </w:rPr>
        <w:t>2</w:t>
      </w:r>
      <w:r w:rsidRPr="00C67D3F">
        <w:tab/>
        <w:t>NE</w:t>
      </w:r>
    </w:p>
    <w:p w:rsidR="00C929EC" w:rsidRPr="00C67D3F" w:rsidRDefault="00C929EC" w:rsidP="00C929EC">
      <w:pPr>
        <w:tabs>
          <w:tab w:val="center" w:pos="1418"/>
          <w:tab w:val="center" w:pos="2835"/>
          <w:tab w:val="right" w:pos="9072"/>
        </w:tabs>
        <w:jc w:val="both"/>
        <w:rPr>
          <w:u w:val="single"/>
        </w:rPr>
      </w:pPr>
      <w:r w:rsidRPr="00C67D3F">
        <w:rPr>
          <w:u w:val="single"/>
        </w:rPr>
        <w:tab/>
        <w:t>kyvné</w:t>
      </w:r>
      <w:r w:rsidRPr="00C67D3F">
        <w:rPr>
          <w:u w:val="single"/>
        </w:rPr>
        <w:tab/>
        <w:t>A=4,86 m</w:t>
      </w:r>
      <w:r w:rsidRPr="00C67D3F">
        <w:rPr>
          <w:u w:val="single"/>
          <w:vertAlign w:val="superscript"/>
        </w:rPr>
        <w:t>2</w:t>
      </w:r>
      <w:r w:rsidRPr="00C67D3F">
        <w:rPr>
          <w:u w:val="single"/>
        </w:rPr>
        <w:tab/>
        <w:t>již vyměněné</w:t>
      </w:r>
    </w:p>
    <w:p w:rsidR="00C929EC" w:rsidRPr="00C67D3F" w:rsidRDefault="00C929EC" w:rsidP="00C929EC">
      <w:pPr>
        <w:tabs>
          <w:tab w:val="center" w:pos="1418"/>
          <w:tab w:val="center" w:pos="2835"/>
          <w:tab w:val="center" w:pos="4536"/>
          <w:tab w:val="center" w:pos="5954"/>
          <w:tab w:val="center" w:pos="7371"/>
          <w:tab w:val="right" w:pos="9072"/>
        </w:tabs>
        <w:spacing w:after="0"/>
        <w:jc w:val="both"/>
      </w:pPr>
      <w:r w:rsidRPr="00C67D3F">
        <w:t>3</w:t>
      </w:r>
      <w:r w:rsidRPr="00C67D3F">
        <w:tab/>
        <w:t xml:space="preserve">okno </w:t>
      </w:r>
      <w:r>
        <w:t>jednoduché</w:t>
      </w:r>
      <w:r w:rsidRPr="00C67D3F">
        <w:tab/>
        <w:t>270/360</w:t>
      </w:r>
      <w:r w:rsidRPr="00C67D3F">
        <w:tab/>
        <w:t>zkosená fasáda</w:t>
      </w:r>
      <w:r w:rsidRPr="00C67D3F">
        <w:tab/>
        <w:t>2</w:t>
      </w:r>
      <w:r w:rsidRPr="00C67D3F">
        <w:tab/>
        <w:t>19,44 m</w:t>
      </w:r>
      <w:r w:rsidRPr="00C67D3F">
        <w:rPr>
          <w:vertAlign w:val="superscript"/>
        </w:rPr>
        <w:t>2</w:t>
      </w:r>
      <w:r w:rsidRPr="00C67D3F">
        <w:tab/>
        <w:t>NE</w:t>
      </w:r>
    </w:p>
    <w:p w:rsidR="00C929EC" w:rsidRPr="00C67D3F" w:rsidRDefault="00C929EC" w:rsidP="00C929EC">
      <w:pPr>
        <w:tabs>
          <w:tab w:val="center" w:pos="1418"/>
          <w:tab w:val="center" w:pos="2835"/>
          <w:tab w:val="right" w:pos="9072"/>
        </w:tabs>
        <w:jc w:val="both"/>
        <w:rPr>
          <w:u w:val="single"/>
        </w:rPr>
      </w:pPr>
      <w:r w:rsidRPr="00C67D3F">
        <w:rPr>
          <w:u w:val="single"/>
        </w:rPr>
        <w:tab/>
        <w:t>kyvné</w:t>
      </w:r>
      <w:r w:rsidRPr="00C67D3F">
        <w:rPr>
          <w:u w:val="single"/>
        </w:rPr>
        <w:tab/>
        <w:t>A=9,72 m</w:t>
      </w:r>
      <w:r w:rsidRPr="00C67D3F">
        <w:rPr>
          <w:u w:val="single"/>
          <w:vertAlign w:val="superscript"/>
        </w:rPr>
        <w:t>2</w:t>
      </w:r>
      <w:r w:rsidRPr="00C67D3F">
        <w:rPr>
          <w:u w:val="single"/>
        </w:rPr>
        <w:tab/>
        <w:t>již vyměněná</w:t>
      </w:r>
    </w:p>
    <w:p w:rsidR="00C929EC" w:rsidRPr="00C67D3F" w:rsidRDefault="00C929EC" w:rsidP="00C929EC">
      <w:pPr>
        <w:tabs>
          <w:tab w:val="center" w:pos="7230"/>
        </w:tabs>
        <w:jc w:val="both"/>
        <w:rPr>
          <w:b/>
        </w:rPr>
      </w:pPr>
      <w:r w:rsidRPr="00C67D3F">
        <w:rPr>
          <w:b/>
        </w:rPr>
        <w:t xml:space="preserve">celková </w:t>
      </w:r>
      <w:r w:rsidR="006F69AD" w:rsidRPr="00EB52A8">
        <w:rPr>
          <w:b/>
        </w:rPr>
        <w:t xml:space="preserve">orientační </w:t>
      </w:r>
      <w:r w:rsidRPr="00C67D3F">
        <w:rPr>
          <w:b/>
        </w:rPr>
        <w:t>plocha všech oken v řešených fasádách</w:t>
      </w:r>
      <w:proofErr w:type="gramStart"/>
      <w:r w:rsidRPr="00C67D3F">
        <w:rPr>
          <w:b/>
        </w:rPr>
        <w:tab/>
        <w:t xml:space="preserve">  14</w:t>
      </w:r>
      <w:r>
        <w:rPr>
          <w:b/>
        </w:rPr>
        <w:t>4</w:t>
      </w:r>
      <w:proofErr w:type="gramEnd"/>
      <w:r w:rsidRPr="00C67D3F">
        <w:rPr>
          <w:b/>
        </w:rPr>
        <w:t>,88 m</w:t>
      </w:r>
      <w:r w:rsidRPr="00C67D3F">
        <w:rPr>
          <w:b/>
          <w:vertAlign w:val="superscript"/>
        </w:rPr>
        <w:t>2</w:t>
      </w:r>
    </w:p>
    <w:p w:rsidR="00C929EC" w:rsidRPr="00C21094" w:rsidRDefault="00C929EC" w:rsidP="00C929EC">
      <w:pPr>
        <w:tabs>
          <w:tab w:val="left" w:pos="2835"/>
        </w:tabs>
        <w:spacing w:after="0"/>
        <w:jc w:val="both"/>
        <w:rPr>
          <w:u w:val="single"/>
        </w:rPr>
      </w:pPr>
      <w:r w:rsidRPr="00C21094">
        <w:rPr>
          <w:u w:val="single"/>
        </w:rPr>
        <w:tab/>
      </w:r>
    </w:p>
    <w:p w:rsidR="00C929EC" w:rsidRPr="00704D9B" w:rsidRDefault="00C929EC" w:rsidP="00C929EC">
      <w:pPr>
        <w:jc w:val="both"/>
        <w:rPr>
          <w:sz w:val="18"/>
          <w:szCs w:val="18"/>
        </w:rPr>
      </w:pPr>
      <w:r w:rsidRPr="006A5719">
        <w:t xml:space="preserve">* </w:t>
      </w:r>
      <w:r w:rsidRPr="00704D9B">
        <w:rPr>
          <w:sz w:val="18"/>
          <w:szCs w:val="18"/>
        </w:rPr>
        <w:t>Původní dvě dvojitá dvoukřídlá okna v anglickém dvorku byla již v minulosti vyměněna za jednoduchá jednokřídlá okna vč. jednoho okna obdobných parametrů osazeného do nově vybouraného otvoru. Všechna tři okna v anglickém dvorku jsou v úrovni kamenného soklu.</w:t>
      </w:r>
    </w:p>
    <w:p w:rsidR="00C929EC" w:rsidRDefault="00C929EC" w:rsidP="00C929EC">
      <w:pPr>
        <w:jc w:val="both"/>
      </w:pPr>
    </w:p>
    <w:p w:rsidR="00C929EC" w:rsidRDefault="00C929EC" w:rsidP="00C929EC">
      <w:pPr>
        <w:jc w:val="both"/>
      </w:pPr>
    </w:p>
    <w:p w:rsidR="00704D9B" w:rsidRPr="00EB52A8" w:rsidRDefault="006F69AD" w:rsidP="00704D9B">
      <w:pPr>
        <w:jc w:val="both"/>
        <w:rPr>
          <w:b/>
        </w:rPr>
      </w:pPr>
      <w:r>
        <w:rPr>
          <w:b/>
        </w:rPr>
        <w:t>d</w:t>
      </w:r>
      <w:r w:rsidR="00704D9B" w:rsidRPr="00EB52A8">
        <w:rPr>
          <w:b/>
        </w:rPr>
        <w:t xml:space="preserve">) Výměna </w:t>
      </w:r>
      <w:r>
        <w:rPr>
          <w:b/>
        </w:rPr>
        <w:t xml:space="preserve">vrat a </w:t>
      </w:r>
      <w:r w:rsidR="00704D9B">
        <w:rPr>
          <w:b/>
        </w:rPr>
        <w:t>dveří</w:t>
      </w:r>
    </w:p>
    <w:p w:rsidR="00C929EC" w:rsidRDefault="006F69AD" w:rsidP="006F69AD">
      <w:pPr>
        <w:spacing w:after="0"/>
        <w:ind w:firstLine="708"/>
        <w:jc w:val="both"/>
      </w:pPr>
      <w:r>
        <w:t>J</w:t>
      </w:r>
      <w:r w:rsidR="00C929EC">
        <w:t xml:space="preserve">edná </w:t>
      </w:r>
      <w:r>
        <w:t xml:space="preserve">se </w:t>
      </w:r>
      <w:r w:rsidR="00C929EC">
        <w:t>o výměnu částečně prosklených dvoukřídlých vrat z průjezdu s kovovou konstrukcí (</w:t>
      </w:r>
      <w:proofErr w:type="spellStart"/>
      <w:r w:rsidR="00C929EC">
        <w:t>ozn</w:t>
      </w:r>
      <w:proofErr w:type="spellEnd"/>
      <w:r w:rsidR="00C929EC">
        <w:t>. 203)</w:t>
      </w:r>
      <w:r w:rsidR="002F30F7">
        <w:t>,</w:t>
      </w:r>
      <w:r w:rsidR="00C929EC">
        <w:t xml:space="preserve"> vstupních částečně prosklených dvoukřídlých dřevěných dveří (</w:t>
      </w:r>
      <w:proofErr w:type="spellStart"/>
      <w:r w:rsidR="00C929EC">
        <w:t>ozn</w:t>
      </w:r>
      <w:proofErr w:type="spellEnd"/>
      <w:r w:rsidR="00C929EC">
        <w:t>. 204) pod </w:t>
      </w:r>
      <w:r w:rsidR="00212DAC">
        <w:t xml:space="preserve">vedlejším </w:t>
      </w:r>
      <w:r w:rsidR="00C929EC">
        <w:t>schodištěm, u kterých je potřeba počítat s tvarovou replikou dřevěných výplní</w:t>
      </w:r>
      <w:r w:rsidR="002F30F7">
        <w:t xml:space="preserve"> a</w:t>
      </w:r>
      <w:r>
        <w:t xml:space="preserve"> vrat do mycího boxu (</w:t>
      </w:r>
      <w:proofErr w:type="spellStart"/>
      <w:r>
        <w:t>ozn</w:t>
      </w:r>
      <w:proofErr w:type="spellEnd"/>
      <w:r>
        <w:t>. 205), který je v současnosti využíván jako garáž pro tři vozidla. Vrata mají kovovou konstrukci a plechový plášť.</w:t>
      </w:r>
    </w:p>
    <w:p w:rsidR="00C929EC" w:rsidRDefault="00C929EC" w:rsidP="00C929EC">
      <w:pPr>
        <w:spacing w:after="0"/>
        <w:jc w:val="both"/>
      </w:pPr>
    </w:p>
    <w:p w:rsidR="00C929EC" w:rsidRPr="00C67D3F" w:rsidRDefault="00C929EC" w:rsidP="00C929EC">
      <w:pPr>
        <w:jc w:val="both"/>
      </w:pPr>
      <w:r>
        <w:t>Orientační p</w:t>
      </w:r>
      <w:r w:rsidRPr="00C67D3F">
        <w:t xml:space="preserve">řehled velikostí a počtu </w:t>
      </w:r>
      <w:r w:rsidR="00212DAC">
        <w:t xml:space="preserve">vrat a </w:t>
      </w:r>
      <w:r w:rsidRPr="00C67D3F">
        <w:t>dveří</w:t>
      </w:r>
      <w:r w:rsidR="006F69AD">
        <w:t xml:space="preserve"> </w:t>
      </w:r>
      <w:r w:rsidRPr="00C67D3F">
        <w:t>ve fasádě</w:t>
      </w:r>
      <w:r w:rsidR="0009537B">
        <w:t xml:space="preserve"> vychází z dochované PD s názvem </w:t>
      </w:r>
      <w:r w:rsidR="0009537B" w:rsidRPr="00C65892">
        <w:t>Rekonstrukce fasády ONV Plzeň – sever z 9/1982, viz příloha č. 3</w:t>
      </w:r>
      <w:r w:rsidR="00C65892" w:rsidRPr="00C65892">
        <w:t>_Pohledy ze dvora A, B, C, D a zkosenou</w:t>
      </w:r>
      <w:r w:rsidR="00C65892">
        <w:t xml:space="preserve"> fasádu</w:t>
      </w:r>
      <w:r w:rsidRPr="00C67D3F">
        <w:t>:</w:t>
      </w:r>
    </w:p>
    <w:p w:rsidR="00C929EC" w:rsidRPr="00C67D3F" w:rsidRDefault="00C929EC" w:rsidP="00C929EC">
      <w:pPr>
        <w:tabs>
          <w:tab w:val="center" w:pos="1418"/>
          <w:tab w:val="center" w:pos="2977"/>
          <w:tab w:val="center" w:pos="4536"/>
          <w:tab w:val="center" w:pos="5954"/>
          <w:tab w:val="center" w:pos="7371"/>
          <w:tab w:val="right" w:pos="9072"/>
        </w:tabs>
        <w:spacing w:after="0"/>
        <w:jc w:val="both"/>
        <w:rPr>
          <w:b/>
        </w:rPr>
      </w:pPr>
      <w:proofErr w:type="spellStart"/>
      <w:r w:rsidRPr="00C67D3F">
        <w:rPr>
          <w:b/>
        </w:rPr>
        <w:t>ozn</w:t>
      </w:r>
      <w:proofErr w:type="spellEnd"/>
      <w:r w:rsidRPr="00C67D3F">
        <w:rPr>
          <w:b/>
        </w:rPr>
        <w:t>.</w:t>
      </w:r>
      <w:r w:rsidRPr="00C67D3F">
        <w:rPr>
          <w:b/>
        </w:rPr>
        <w:tab/>
        <w:t>popis</w:t>
      </w:r>
      <w:r w:rsidRPr="00C67D3F">
        <w:rPr>
          <w:b/>
        </w:rPr>
        <w:tab/>
        <w:t>venkovní</w:t>
      </w:r>
      <w:r w:rsidRPr="00C67D3F">
        <w:rPr>
          <w:b/>
        </w:rPr>
        <w:tab/>
        <w:t>umístění</w:t>
      </w:r>
      <w:r w:rsidRPr="00C67D3F">
        <w:rPr>
          <w:b/>
        </w:rPr>
        <w:tab/>
        <w:t>celkem</w:t>
      </w:r>
      <w:r w:rsidRPr="00C67D3F">
        <w:rPr>
          <w:b/>
        </w:rPr>
        <w:tab/>
        <w:t>celková</w:t>
      </w:r>
      <w:r w:rsidRPr="00C67D3F">
        <w:rPr>
          <w:b/>
        </w:rPr>
        <w:tab/>
        <w:t>výměna</w:t>
      </w:r>
    </w:p>
    <w:p w:rsidR="00C929EC" w:rsidRPr="00C67D3F" w:rsidRDefault="00C929EC" w:rsidP="00C929EC">
      <w:pPr>
        <w:tabs>
          <w:tab w:val="center" w:pos="1418"/>
          <w:tab w:val="center" w:pos="2977"/>
          <w:tab w:val="center" w:pos="4111"/>
          <w:tab w:val="center" w:pos="4395"/>
          <w:tab w:val="center" w:pos="4678"/>
          <w:tab w:val="center" w:pos="4962"/>
          <w:tab w:val="center" w:pos="5954"/>
          <w:tab w:val="center" w:pos="7371"/>
          <w:tab w:val="right" w:pos="9072"/>
        </w:tabs>
        <w:jc w:val="both"/>
        <w:rPr>
          <w:b/>
          <w:u w:val="thick"/>
        </w:rPr>
      </w:pPr>
      <w:r w:rsidRPr="00C67D3F">
        <w:rPr>
          <w:b/>
          <w:u w:val="thick"/>
        </w:rPr>
        <w:tab/>
      </w:r>
      <w:r w:rsidRPr="00C67D3F">
        <w:rPr>
          <w:b/>
          <w:u w:val="thick"/>
        </w:rPr>
        <w:tab/>
        <w:t>rozměr [cm]</w:t>
      </w:r>
      <w:r w:rsidRPr="00C67D3F">
        <w:rPr>
          <w:b/>
          <w:u w:val="thick"/>
        </w:rPr>
        <w:tab/>
        <w:t>A</w:t>
      </w:r>
      <w:r w:rsidRPr="00C67D3F">
        <w:rPr>
          <w:b/>
          <w:u w:val="thick"/>
        </w:rPr>
        <w:tab/>
        <w:t>B</w:t>
      </w:r>
      <w:r w:rsidRPr="00C67D3F">
        <w:rPr>
          <w:b/>
          <w:u w:val="thick"/>
        </w:rPr>
        <w:tab/>
        <w:t>C</w:t>
      </w:r>
      <w:r w:rsidRPr="00C67D3F">
        <w:rPr>
          <w:b/>
          <w:u w:val="thick"/>
        </w:rPr>
        <w:tab/>
        <w:t>D</w:t>
      </w:r>
      <w:r w:rsidRPr="00C67D3F">
        <w:rPr>
          <w:b/>
          <w:u w:val="thick"/>
        </w:rPr>
        <w:tab/>
        <w:t>[ks]</w:t>
      </w:r>
      <w:r w:rsidRPr="00C67D3F">
        <w:rPr>
          <w:b/>
          <w:u w:val="thick"/>
        </w:rPr>
        <w:tab/>
        <w:t>plocha</w:t>
      </w:r>
      <w:r w:rsidRPr="00C67D3F">
        <w:rPr>
          <w:b/>
          <w:u w:val="thick"/>
        </w:rPr>
        <w:tab/>
        <w:t>ANO/NE</w:t>
      </w:r>
    </w:p>
    <w:p w:rsidR="00C929EC" w:rsidRPr="00C67D3F" w:rsidRDefault="00C929EC" w:rsidP="00C929EC">
      <w:pPr>
        <w:tabs>
          <w:tab w:val="center" w:pos="1418"/>
          <w:tab w:val="center" w:pos="2977"/>
          <w:tab w:val="center" w:pos="4111"/>
          <w:tab w:val="center" w:pos="4395"/>
          <w:tab w:val="center" w:pos="4678"/>
          <w:tab w:val="center" w:pos="4962"/>
          <w:tab w:val="center" w:pos="5954"/>
          <w:tab w:val="center" w:pos="7371"/>
          <w:tab w:val="right" w:pos="9072"/>
        </w:tabs>
        <w:spacing w:after="0"/>
        <w:jc w:val="both"/>
      </w:pPr>
      <w:r w:rsidRPr="00C67D3F">
        <w:t>203</w:t>
      </w:r>
      <w:r w:rsidRPr="00C67D3F">
        <w:tab/>
        <w:t>vchodové dveře</w:t>
      </w:r>
      <w:r w:rsidRPr="00C67D3F">
        <w:tab/>
        <w:t>215/278</w:t>
      </w:r>
      <w:r w:rsidRPr="00C67D3F">
        <w:tab/>
        <w:t>1</w:t>
      </w:r>
      <w:r w:rsidRPr="00C67D3F">
        <w:tab/>
        <w:t>-</w:t>
      </w:r>
      <w:r w:rsidRPr="00C67D3F">
        <w:tab/>
        <w:t>-</w:t>
      </w:r>
      <w:r w:rsidRPr="00C67D3F">
        <w:tab/>
        <w:t>-</w:t>
      </w:r>
      <w:r w:rsidRPr="00C67D3F">
        <w:tab/>
        <w:t>1</w:t>
      </w:r>
      <w:r w:rsidRPr="00C67D3F">
        <w:tab/>
        <w:t>5,74 m</w:t>
      </w:r>
      <w:r w:rsidRPr="00C67D3F">
        <w:rPr>
          <w:vertAlign w:val="superscript"/>
        </w:rPr>
        <w:t>2</w:t>
      </w:r>
      <w:r w:rsidRPr="00C67D3F">
        <w:tab/>
        <w:t>ANO</w:t>
      </w:r>
    </w:p>
    <w:p w:rsidR="00C929EC" w:rsidRPr="00C67D3F" w:rsidRDefault="00C929EC" w:rsidP="00C929EC">
      <w:pPr>
        <w:tabs>
          <w:tab w:val="center" w:pos="1418"/>
          <w:tab w:val="center" w:pos="2977"/>
          <w:tab w:val="right" w:pos="9072"/>
        </w:tabs>
        <w:spacing w:after="0"/>
        <w:jc w:val="both"/>
      </w:pPr>
      <w:r w:rsidRPr="00C67D3F">
        <w:tab/>
        <w:t>dvoukřídlé s pevným</w:t>
      </w:r>
      <w:r w:rsidRPr="00C67D3F">
        <w:tab/>
        <w:t>A=5,74 m</w:t>
      </w:r>
      <w:r w:rsidRPr="00C67D3F">
        <w:rPr>
          <w:vertAlign w:val="superscript"/>
        </w:rPr>
        <w:t>2</w:t>
      </w:r>
      <w:r w:rsidRPr="00C67D3F">
        <w:tab/>
      </w:r>
    </w:p>
    <w:p w:rsidR="00C929EC" w:rsidRPr="00C67D3F" w:rsidRDefault="00C929EC" w:rsidP="00C929EC">
      <w:pPr>
        <w:tabs>
          <w:tab w:val="center" w:pos="1418"/>
          <w:tab w:val="center" w:pos="2977"/>
          <w:tab w:val="right" w:pos="9072"/>
        </w:tabs>
        <w:spacing w:after="0"/>
        <w:jc w:val="both"/>
        <w:rPr>
          <w:u w:val="single"/>
        </w:rPr>
      </w:pPr>
      <w:r w:rsidRPr="00C67D3F">
        <w:rPr>
          <w:u w:val="single"/>
        </w:rPr>
        <w:tab/>
        <w:t>nadsvětlíkem</w:t>
      </w:r>
      <w:r w:rsidRPr="00C67D3F">
        <w:rPr>
          <w:u w:val="single"/>
        </w:rPr>
        <w:tab/>
      </w:r>
      <w:r w:rsidRPr="00C67D3F">
        <w:rPr>
          <w:u w:val="single"/>
        </w:rPr>
        <w:tab/>
      </w:r>
    </w:p>
    <w:p w:rsidR="00C929EC" w:rsidRPr="00C67D3F" w:rsidRDefault="00C929EC" w:rsidP="00C929EC">
      <w:pPr>
        <w:tabs>
          <w:tab w:val="center" w:pos="1418"/>
          <w:tab w:val="center" w:pos="2977"/>
          <w:tab w:val="center" w:pos="4111"/>
          <w:tab w:val="center" w:pos="4395"/>
          <w:tab w:val="center" w:pos="4678"/>
          <w:tab w:val="center" w:pos="4962"/>
          <w:tab w:val="center" w:pos="5954"/>
          <w:tab w:val="center" w:pos="7371"/>
          <w:tab w:val="right" w:pos="9072"/>
        </w:tabs>
        <w:spacing w:after="0"/>
        <w:jc w:val="both"/>
      </w:pPr>
      <w:r w:rsidRPr="00C67D3F">
        <w:t>204</w:t>
      </w:r>
      <w:r w:rsidRPr="00C67D3F">
        <w:tab/>
        <w:t>vstupní dveře</w:t>
      </w:r>
      <w:r w:rsidRPr="00C67D3F">
        <w:tab/>
        <w:t>135/270</w:t>
      </w:r>
      <w:r w:rsidRPr="00C67D3F">
        <w:tab/>
        <w:t>-</w:t>
      </w:r>
      <w:r w:rsidRPr="00C67D3F">
        <w:tab/>
        <w:t>-</w:t>
      </w:r>
      <w:r w:rsidRPr="00C67D3F">
        <w:tab/>
        <w:t>-</w:t>
      </w:r>
      <w:r w:rsidRPr="00C67D3F">
        <w:tab/>
        <w:t>1</w:t>
      </w:r>
      <w:r w:rsidRPr="00C67D3F">
        <w:tab/>
        <w:t>1</w:t>
      </w:r>
      <w:r w:rsidRPr="00C67D3F">
        <w:tab/>
        <w:t>3,65 m</w:t>
      </w:r>
      <w:r w:rsidRPr="00C67D3F">
        <w:rPr>
          <w:vertAlign w:val="superscript"/>
        </w:rPr>
        <w:t>2</w:t>
      </w:r>
      <w:r w:rsidRPr="00C67D3F">
        <w:tab/>
        <w:t>ANO</w:t>
      </w:r>
    </w:p>
    <w:p w:rsidR="00C929EC" w:rsidRPr="00F41FED" w:rsidRDefault="00C929EC" w:rsidP="00C929EC">
      <w:pPr>
        <w:tabs>
          <w:tab w:val="center" w:pos="1418"/>
          <w:tab w:val="center" w:pos="2977"/>
          <w:tab w:val="right" w:pos="9072"/>
        </w:tabs>
        <w:spacing w:after="0"/>
        <w:jc w:val="both"/>
        <w:rPr>
          <w:u w:val="single"/>
        </w:rPr>
      </w:pPr>
      <w:r w:rsidRPr="00F41FED">
        <w:rPr>
          <w:u w:val="single"/>
        </w:rPr>
        <w:tab/>
        <w:t>dřevěné dvoukřídlé</w:t>
      </w:r>
      <w:r w:rsidRPr="00F41FED">
        <w:rPr>
          <w:u w:val="single"/>
        </w:rPr>
        <w:tab/>
        <w:t>A=3,65 m</w:t>
      </w:r>
      <w:r w:rsidRPr="00F41FED">
        <w:rPr>
          <w:u w:val="single"/>
          <w:vertAlign w:val="superscript"/>
        </w:rPr>
        <w:t>2</w:t>
      </w:r>
      <w:r w:rsidRPr="00F41FED">
        <w:rPr>
          <w:u w:val="single"/>
        </w:rPr>
        <w:tab/>
      </w:r>
    </w:p>
    <w:p w:rsidR="00C929EC" w:rsidRPr="00C67D3F" w:rsidRDefault="00C929EC" w:rsidP="00C929EC">
      <w:pPr>
        <w:tabs>
          <w:tab w:val="center" w:pos="1418"/>
          <w:tab w:val="center" w:pos="2977"/>
          <w:tab w:val="center" w:pos="4536"/>
          <w:tab w:val="center" w:pos="5954"/>
          <w:tab w:val="center" w:pos="7371"/>
          <w:tab w:val="right" w:pos="9072"/>
        </w:tabs>
        <w:spacing w:after="0"/>
        <w:jc w:val="both"/>
      </w:pPr>
      <w:r w:rsidRPr="00C67D3F">
        <w:t>205</w:t>
      </w:r>
      <w:r w:rsidRPr="00C67D3F">
        <w:tab/>
        <w:t>ocelová vrata</w:t>
      </w:r>
      <w:r w:rsidRPr="00C67D3F">
        <w:tab/>
        <w:t>270/270</w:t>
      </w:r>
      <w:r w:rsidRPr="00C67D3F">
        <w:tab/>
        <w:t>zkosená fasáda</w:t>
      </w:r>
      <w:r w:rsidRPr="00C67D3F">
        <w:tab/>
        <w:t>1</w:t>
      </w:r>
      <w:r w:rsidRPr="00C67D3F">
        <w:tab/>
        <w:t>7,29 m</w:t>
      </w:r>
      <w:r w:rsidRPr="00C67D3F">
        <w:rPr>
          <w:vertAlign w:val="superscript"/>
        </w:rPr>
        <w:t>2</w:t>
      </w:r>
      <w:r w:rsidRPr="00C67D3F">
        <w:tab/>
        <w:t>ANO</w:t>
      </w:r>
    </w:p>
    <w:p w:rsidR="00C929EC" w:rsidRPr="00C67D3F" w:rsidRDefault="00C929EC" w:rsidP="00C929EC">
      <w:pPr>
        <w:tabs>
          <w:tab w:val="center" w:pos="1418"/>
          <w:tab w:val="center" w:pos="2977"/>
          <w:tab w:val="right" w:pos="9072"/>
        </w:tabs>
        <w:spacing w:after="0"/>
        <w:jc w:val="both"/>
        <w:rPr>
          <w:u w:val="single"/>
        </w:rPr>
      </w:pPr>
      <w:r w:rsidRPr="00C67D3F">
        <w:rPr>
          <w:u w:val="single"/>
        </w:rPr>
        <w:tab/>
        <w:t>dvoukřídlá</w:t>
      </w:r>
      <w:r w:rsidRPr="00C67D3F">
        <w:rPr>
          <w:u w:val="single"/>
        </w:rPr>
        <w:tab/>
        <w:t>A=7,29 m</w:t>
      </w:r>
      <w:r w:rsidRPr="00C67D3F">
        <w:rPr>
          <w:u w:val="single"/>
          <w:vertAlign w:val="superscript"/>
        </w:rPr>
        <w:t>2</w:t>
      </w:r>
      <w:r w:rsidRPr="00C67D3F">
        <w:rPr>
          <w:u w:val="single"/>
        </w:rPr>
        <w:tab/>
      </w:r>
    </w:p>
    <w:p w:rsidR="00C929EC" w:rsidRPr="00C67D3F" w:rsidRDefault="00C929EC" w:rsidP="00C929EC">
      <w:pPr>
        <w:tabs>
          <w:tab w:val="center" w:pos="1418"/>
          <w:tab w:val="center" w:pos="2977"/>
          <w:tab w:val="center" w:pos="4111"/>
          <w:tab w:val="center" w:pos="4395"/>
          <w:tab w:val="center" w:pos="4678"/>
          <w:tab w:val="center" w:pos="4962"/>
          <w:tab w:val="center" w:pos="5954"/>
          <w:tab w:val="center" w:pos="7371"/>
          <w:tab w:val="right" w:pos="9072"/>
        </w:tabs>
        <w:spacing w:after="0"/>
        <w:jc w:val="both"/>
      </w:pPr>
      <w:r w:rsidRPr="00C67D3F">
        <w:t>201</w:t>
      </w:r>
      <w:r w:rsidRPr="00C67D3F">
        <w:tab/>
        <w:t>ocelové dveře</w:t>
      </w:r>
      <w:r w:rsidRPr="00C67D3F">
        <w:tab/>
        <w:t>80/180</w:t>
      </w:r>
      <w:r w:rsidRPr="00C67D3F">
        <w:tab/>
        <w:t>1</w:t>
      </w:r>
      <w:r w:rsidRPr="00C67D3F">
        <w:tab/>
        <w:t>-</w:t>
      </w:r>
      <w:r w:rsidRPr="00C67D3F">
        <w:tab/>
        <w:t>-</w:t>
      </w:r>
      <w:r w:rsidRPr="00C67D3F">
        <w:tab/>
        <w:t>-</w:t>
      </w:r>
      <w:r w:rsidRPr="00C67D3F">
        <w:tab/>
        <w:t>1</w:t>
      </w:r>
      <w:r w:rsidRPr="00C67D3F">
        <w:tab/>
        <w:t>1,44 m</w:t>
      </w:r>
      <w:r w:rsidRPr="00C67D3F">
        <w:rPr>
          <w:vertAlign w:val="superscript"/>
        </w:rPr>
        <w:t>2</w:t>
      </w:r>
      <w:r w:rsidRPr="00C67D3F">
        <w:tab/>
        <w:t>ANO</w:t>
      </w:r>
    </w:p>
    <w:p w:rsidR="006F69AD" w:rsidRPr="00C67D3F" w:rsidRDefault="00C929EC" w:rsidP="00C929EC">
      <w:pPr>
        <w:tabs>
          <w:tab w:val="center" w:pos="1418"/>
          <w:tab w:val="center" w:pos="2977"/>
          <w:tab w:val="right" w:pos="9072"/>
        </w:tabs>
        <w:jc w:val="both"/>
        <w:rPr>
          <w:u w:val="single"/>
        </w:rPr>
      </w:pPr>
      <w:r w:rsidRPr="00C67D3F">
        <w:rPr>
          <w:u w:val="single"/>
        </w:rPr>
        <w:tab/>
        <w:t>jednokřídlé</w:t>
      </w:r>
      <w:r w:rsidR="006F69AD">
        <w:rPr>
          <w:u w:val="single"/>
        </w:rPr>
        <w:t xml:space="preserve"> (z půdy)</w:t>
      </w:r>
      <w:r w:rsidRPr="00C67D3F">
        <w:rPr>
          <w:u w:val="single"/>
        </w:rPr>
        <w:tab/>
        <w:t>A=1,44 m</w:t>
      </w:r>
      <w:r w:rsidRPr="00C67D3F">
        <w:rPr>
          <w:u w:val="single"/>
          <w:vertAlign w:val="superscript"/>
        </w:rPr>
        <w:t>2</w:t>
      </w:r>
      <w:r w:rsidRPr="00C67D3F">
        <w:rPr>
          <w:u w:val="single"/>
        </w:rPr>
        <w:tab/>
      </w:r>
    </w:p>
    <w:p w:rsidR="00C929EC" w:rsidRPr="00C67D3F" w:rsidRDefault="00C929EC" w:rsidP="00C929EC">
      <w:pPr>
        <w:tabs>
          <w:tab w:val="center" w:pos="7371"/>
        </w:tabs>
        <w:jc w:val="both"/>
        <w:rPr>
          <w:b/>
        </w:rPr>
      </w:pPr>
      <w:r w:rsidRPr="00C67D3F">
        <w:rPr>
          <w:b/>
        </w:rPr>
        <w:t xml:space="preserve">celková </w:t>
      </w:r>
      <w:r w:rsidR="006F69AD" w:rsidRPr="00EB52A8">
        <w:rPr>
          <w:b/>
        </w:rPr>
        <w:t xml:space="preserve">orientační </w:t>
      </w:r>
      <w:r w:rsidRPr="00C67D3F">
        <w:rPr>
          <w:b/>
        </w:rPr>
        <w:t>plocha všech dveří v řešených fasádách</w:t>
      </w:r>
      <w:r w:rsidRPr="00C67D3F">
        <w:rPr>
          <w:b/>
        </w:rPr>
        <w:tab/>
        <w:t>18,12 m</w:t>
      </w:r>
      <w:r w:rsidRPr="00C67D3F">
        <w:rPr>
          <w:b/>
          <w:vertAlign w:val="superscript"/>
        </w:rPr>
        <w:t>2</w:t>
      </w:r>
    </w:p>
    <w:p w:rsidR="00591DDA" w:rsidRPr="00212DAC" w:rsidRDefault="00591DDA" w:rsidP="00D46565">
      <w:pPr>
        <w:spacing w:after="120"/>
        <w:rPr>
          <w:rFonts w:cs="Arial"/>
          <w:b/>
        </w:rPr>
      </w:pPr>
      <w:r w:rsidRPr="00212DAC">
        <w:rPr>
          <w:rFonts w:cs="Arial"/>
          <w:b/>
        </w:rPr>
        <w:lastRenderedPageBreak/>
        <w:t xml:space="preserve">e) Rekonstrukce </w:t>
      </w:r>
      <w:r w:rsidR="00A068BE" w:rsidRPr="00212DAC">
        <w:rPr>
          <w:rFonts w:cs="Arial"/>
          <w:b/>
        </w:rPr>
        <w:t>střešní krytiny</w:t>
      </w:r>
      <w:bookmarkStart w:id="7" w:name="_Hlk172704676"/>
      <w:r w:rsidRPr="00212DAC">
        <w:rPr>
          <w:rFonts w:cs="Arial"/>
          <w:b/>
        </w:rPr>
        <w:t xml:space="preserve"> nad hlavním schodištěm</w:t>
      </w:r>
      <w:bookmarkEnd w:id="7"/>
    </w:p>
    <w:p w:rsidR="00C929EC" w:rsidRPr="00212DAC" w:rsidRDefault="00591DDA" w:rsidP="00D46565">
      <w:pPr>
        <w:spacing w:after="120"/>
        <w:ind w:firstLine="708"/>
        <w:jc w:val="both"/>
      </w:pPr>
      <w:r w:rsidRPr="00212DAC">
        <w:t xml:space="preserve">Vzhledem k tomu, že </w:t>
      </w:r>
      <w:r w:rsidR="001B40CD" w:rsidRPr="00212DAC">
        <w:t xml:space="preserve">plochá </w:t>
      </w:r>
      <w:r w:rsidRPr="00212DAC">
        <w:t>střecha nad hlavním schodištěm (půdorysná plocha střechy je 10,00</w:t>
      </w:r>
      <w:r w:rsidR="0082365F" w:rsidRPr="00212DAC">
        <w:t>*</w:t>
      </w:r>
      <w:r w:rsidRPr="00212DAC">
        <w:t>5,70=57,00 m</w:t>
      </w:r>
      <w:r w:rsidRPr="00212DAC">
        <w:rPr>
          <w:vertAlign w:val="superscript"/>
        </w:rPr>
        <w:t>2</w:t>
      </w:r>
      <w:r w:rsidR="00212DAC">
        <w:t xml:space="preserve">) </w:t>
      </w:r>
      <w:r w:rsidRPr="00212DAC">
        <w:t>byla již v minulosti několikrát opravována a v období vydatných dešťů do ní stále místy zatéká, je oprava střechy zahrnuta do této akce. Požadujeme odstranění stávající falcované krytiny, prověření stavu stávající izolace proti vodě</w:t>
      </w:r>
      <w:r w:rsidR="0082365F" w:rsidRPr="00212DAC">
        <w:t>, popř. její úplná výměna</w:t>
      </w:r>
      <w:r w:rsidRPr="00212DAC">
        <w:t xml:space="preserve"> </w:t>
      </w:r>
      <w:r w:rsidR="0082365F" w:rsidRPr="00212DAC">
        <w:t>a pokládka nové krytiny</w:t>
      </w:r>
      <w:r w:rsidR="001B40CD" w:rsidRPr="00212DAC">
        <w:t xml:space="preserve"> z falcovaného plechu</w:t>
      </w:r>
      <w:r w:rsidR="00212DAC">
        <w:t xml:space="preserve">, </w:t>
      </w:r>
      <w:r w:rsidR="00212DAC" w:rsidRPr="00212DAC">
        <w:t>viz příloha č. 4_Střešní konstrukce nad hlavním schodištěm</w:t>
      </w:r>
      <w:r w:rsidR="00212DAC">
        <w:t>.</w:t>
      </w:r>
    </w:p>
    <w:p w:rsidR="00591DDA" w:rsidRPr="00212DAC" w:rsidRDefault="00591DDA" w:rsidP="00D46565">
      <w:pPr>
        <w:spacing w:after="120"/>
        <w:jc w:val="both"/>
      </w:pPr>
    </w:p>
    <w:p w:rsidR="00591DDA" w:rsidRPr="00212DAC" w:rsidRDefault="00591DDA" w:rsidP="00D46565">
      <w:pPr>
        <w:spacing w:after="120"/>
        <w:rPr>
          <w:rFonts w:cs="Arial"/>
          <w:b/>
        </w:rPr>
      </w:pPr>
      <w:r w:rsidRPr="00212DAC">
        <w:rPr>
          <w:rFonts w:cs="Arial"/>
          <w:b/>
        </w:rPr>
        <w:t>f) Úprava stěn po odstraněných řadových garážích</w:t>
      </w:r>
    </w:p>
    <w:p w:rsidR="008D0AF3" w:rsidRPr="00212DAC" w:rsidRDefault="0082365F" w:rsidP="00D46565">
      <w:pPr>
        <w:spacing w:after="120"/>
        <w:ind w:firstLine="708"/>
        <w:jc w:val="both"/>
        <w:rPr>
          <w:rFonts w:cs="Arial"/>
        </w:rPr>
      </w:pPr>
      <w:bookmarkStart w:id="8" w:name="_Hlk172802306"/>
      <w:r w:rsidRPr="00212DAC">
        <w:rPr>
          <w:rFonts w:cs="Arial"/>
        </w:rPr>
        <w:t>Na podzim loňského roku došlo ve vnitřní části dvora k odstranění řadových garáží. Opěrné zídky a stěny sousedních objektů jsou po odkrytí neomítnuté a neupravené.</w:t>
      </w:r>
      <w:r w:rsidR="00392B08" w:rsidRPr="00212DAC">
        <w:rPr>
          <w:rFonts w:cs="Arial"/>
        </w:rPr>
        <w:t xml:space="preserve"> </w:t>
      </w:r>
      <w:r w:rsidR="008D0AF3" w:rsidRPr="00212DAC">
        <w:rPr>
          <w:rFonts w:cs="Arial"/>
        </w:rPr>
        <w:t>Stěnu sousedního objektu (</w:t>
      </w:r>
      <w:proofErr w:type="spellStart"/>
      <w:r w:rsidR="008D0AF3" w:rsidRPr="00212DAC">
        <w:rPr>
          <w:rFonts w:cs="Arial"/>
        </w:rPr>
        <w:t>ozn</w:t>
      </w:r>
      <w:proofErr w:type="spellEnd"/>
      <w:r w:rsidR="008D0AF3" w:rsidRPr="00212DAC">
        <w:rPr>
          <w:rFonts w:cs="Arial"/>
        </w:rPr>
        <w:t>. A) vyzděnou z pórobetonových tvárnic (délka cca 12 m, výška 4 m) požadujeme opatřit novou vnější štukovou omítkou vč. nátěru.</w:t>
      </w:r>
      <w:r w:rsidR="00392B08" w:rsidRPr="00212DAC">
        <w:rPr>
          <w:rFonts w:cs="Arial"/>
        </w:rPr>
        <w:t xml:space="preserve"> </w:t>
      </w:r>
      <w:r w:rsidR="008D0AF3" w:rsidRPr="00212DAC">
        <w:rPr>
          <w:rFonts w:cs="Arial"/>
        </w:rPr>
        <w:t>U opěrné zídky (</w:t>
      </w:r>
      <w:proofErr w:type="spellStart"/>
      <w:r w:rsidR="008D0AF3" w:rsidRPr="00212DAC">
        <w:rPr>
          <w:rFonts w:cs="Arial"/>
        </w:rPr>
        <w:t>ozn</w:t>
      </w:r>
      <w:proofErr w:type="spellEnd"/>
      <w:r w:rsidR="008D0AF3" w:rsidRPr="00212DAC">
        <w:rPr>
          <w:rFonts w:cs="Arial"/>
        </w:rPr>
        <w:t xml:space="preserve">. </w:t>
      </w:r>
      <w:proofErr w:type="gramStart"/>
      <w:r w:rsidR="008D0AF3" w:rsidRPr="00212DAC">
        <w:rPr>
          <w:rFonts w:cs="Arial"/>
        </w:rPr>
        <w:t>B</w:t>
      </w:r>
      <w:r w:rsidR="00964DC2" w:rsidRPr="00212DAC">
        <w:rPr>
          <w:rFonts w:cs="Arial"/>
        </w:rPr>
        <w:t xml:space="preserve"> - </w:t>
      </w:r>
      <w:r w:rsidR="008D0AF3" w:rsidRPr="00212DAC">
        <w:rPr>
          <w:rFonts w:cs="Arial"/>
        </w:rPr>
        <w:t>délka</w:t>
      </w:r>
      <w:proofErr w:type="gramEnd"/>
      <w:r w:rsidR="008D0AF3" w:rsidRPr="00212DAC">
        <w:rPr>
          <w:rFonts w:cs="Arial"/>
        </w:rPr>
        <w:t xml:space="preserve"> cca 6 m, výška 2 m</w:t>
      </w:r>
      <w:r w:rsidR="00964DC2" w:rsidRPr="00212DAC">
        <w:rPr>
          <w:rFonts w:cs="Arial"/>
        </w:rPr>
        <w:t xml:space="preserve"> a </w:t>
      </w:r>
      <w:proofErr w:type="spellStart"/>
      <w:r w:rsidR="00964DC2" w:rsidRPr="00212DAC">
        <w:rPr>
          <w:rFonts w:cs="Arial"/>
        </w:rPr>
        <w:t>ozn</w:t>
      </w:r>
      <w:proofErr w:type="spellEnd"/>
      <w:r w:rsidR="00964DC2" w:rsidRPr="00212DAC">
        <w:rPr>
          <w:rFonts w:cs="Arial"/>
        </w:rPr>
        <w:t xml:space="preserve">. </w:t>
      </w:r>
      <w:proofErr w:type="gramStart"/>
      <w:r w:rsidR="00964DC2" w:rsidRPr="00212DAC">
        <w:rPr>
          <w:rFonts w:cs="Arial"/>
        </w:rPr>
        <w:t>C - délka</w:t>
      </w:r>
      <w:proofErr w:type="gramEnd"/>
      <w:r w:rsidR="00964DC2" w:rsidRPr="00212DAC">
        <w:rPr>
          <w:rFonts w:cs="Arial"/>
        </w:rPr>
        <w:t xml:space="preserve"> cca 7 m, výška 2,6 m</w:t>
      </w:r>
      <w:r w:rsidR="008D0AF3" w:rsidRPr="00212DAC">
        <w:rPr>
          <w:rFonts w:cs="Arial"/>
        </w:rPr>
        <w:t>) požadujeme nesoudržné části odstranit, zednicky/kamenicky vyspravit a opatřit novou vnější štukovou omítkou vč. nátěru.</w:t>
      </w:r>
      <w:r w:rsidR="00392B08" w:rsidRPr="00212DAC">
        <w:rPr>
          <w:rFonts w:cs="Arial"/>
        </w:rPr>
        <w:t xml:space="preserve"> </w:t>
      </w:r>
      <w:r w:rsidR="008D0AF3" w:rsidRPr="00212DAC">
        <w:rPr>
          <w:rFonts w:cs="Arial"/>
        </w:rPr>
        <w:t>Opěrn</w:t>
      </w:r>
      <w:r w:rsidR="00964DC2" w:rsidRPr="00212DAC">
        <w:rPr>
          <w:rFonts w:cs="Arial"/>
        </w:rPr>
        <w:t>á</w:t>
      </w:r>
      <w:r w:rsidR="008D0AF3" w:rsidRPr="00212DAC">
        <w:rPr>
          <w:rFonts w:cs="Arial"/>
        </w:rPr>
        <w:t xml:space="preserve"> zídk</w:t>
      </w:r>
      <w:r w:rsidR="00964DC2" w:rsidRPr="00212DAC">
        <w:rPr>
          <w:rFonts w:cs="Arial"/>
        </w:rPr>
        <w:t>a</w:t>
      </w:r>
      <w:r w:rsidR="008D0AF3" w:rsidRPr="00212DAC">
        <w:rPr>
          <w:rFonts w:cs="Arial"/>
        </w:rPr>
        <w:t xml:space="preserve"> (</w:t>
      </w:r>
      <w:proofErr w:type="spellStart"/>
      <w:r w:rsidR="008D0AF3" w:rsidRPr="00212DAC">
        <w:rPr>
          <w:rFonts w:cs="Arial"/>
        </w:rPr>
        <w:t>ozn</w:t>
      </w:r>
      <w:proofErr w:type="spellEnd"/>
      <w:r w:rsidR="008D0AF3" w:rsidRPr="00212DAC">
        <w:rPr>
          <w:rFonts w:cs="Arial"/>
        </w:rPr>
        <w:t xml:space="preserve">. D) </w:t>
      </w:r>
      <w:r w:rsidR="00964DC2" w:rsidRPr="00212DAC">
        <w:rPr>
          <w:rFonts w:cs="Arial"/>
        </w:rPr>
        <w:t xml:space="preserve">nebyla odstraněním garáží dotčena, přesto v rámci sjednocení všech povrchů dvorních zdí a stěn </w:t>
      </w:r>
      <w:r w:rsidR="008D0AF3" w:rsidRPr="00212DAC">
        <w:rPr>
          <w:rFonts w:cs="Arial"/>
        </w:rPr>
        <w:t>požadujeme</w:t>
      </w:r>
      <w:r w:rsidR="00964DC2" w:rsidRPr="00212DAC">
        <w:rPr>
          <w:rFonts w:cs="Arial"/>
        </w:rPr>
        <w:t xml:space="preserve"> i tuto zídku</w:t>
      </w:r>
      <w:r w:rsidR="008D0AF3" w:rsidRPr="00212DAC">
        <w:rPr>
          <w:rFonts w:cs="Arial"/>
        </w:rPr>
        <w:t xml:space="preserve"> opatřit novou vnější štukovou omítkou vč. nátěru.</w:t>
      </w:r>
      <w:r w:rsidR="00392B08" w:rsidRPr="00212DAC">
        <w:rPr>
          <w:rFonts w:cs="Arial"/>
        </w:rPr>
        <w:t xml:space="preserve"> </w:t>
      </w:r>
      <w:r w:rsidR="008D0AF3" w:rsidRPr="00212DAC">
        <w:rPr>
          <w:rFonts w:cs="Arial"/>
        </w:rPr>
        <w:t xml:space="preserve">U opěrných zídek C a D </w:t>
      </w:r>
      <w:r w:rsidR="00392B08" w:rsidRPr="00212DAC">
        <w:rPr>
          <w:rFonts w:cs="Arial"/>
        </w:rPr>
        <w:t xml:space="preserve">ještě </w:t>
      </w:r>
      <w:r w:rsidR="008D0AF3" w:rsidRPr="00212DAC">
        <w:rPr>
          <w:rFonts w:cs="Arial"/>
        </w:rPr>
        <w:t xml:space="preserve">požadujeme </w:t>
      </w:r>
      <w:r w:rsidR="00964DC2" w:rsidRPr="00212DAC">
        <w:rPr>
          <w:rFonts w:cs="Arial"/>
        </w:rPr>
        <w:t>výměnu a doplnění stříšky z pálených střešních tašek vč. úpravy oplechování zídky B po celé její délce.</w:t>
      </w:r>
      <w:r w:rsidR="00392B08" w:rsidRPr="00212DAC">
        <w:rPr>
          <w:rFonts w:cs="Arial"/>
        </w:rPr>
        <w:t xml:space="preserve"> </w:t>
      </w:r>
      <w:r w:rsidR="00392B08" w:rsidRPr="00212DAC">
        <w:rPr>
          <w:rFonts w:cstheme="minorHAnsi"/>
          <w:bCs/>
        </w:rPr>
        <w:t>Rozsah úpravy stěn po odstraněných garáží je uveden v příloze č. 5</w:t>
      </w:r>
      <w:r w:rsidR="00212DAC" w:rsidRPr="00212DAC">
        <w:rPr>
          <w:rFonts w:cstheme="minorHAnsi"/>
          <w:bCs/>
        </w:rPr>
        <w:t xml:space="preserve">_Situace </w:t>
      </w:r>
      <w:proofErr w:type="spellStart"/>
      <w:r w:rsidR="00212DAC" w:rsidRPr="00212DAC">
        <w:rPr>
          <w:rFonts w:cstheme="minorHAnsi"/>
          <w:bCs/>
        </w:rPr>
        <w:t>dvora</w:t>
      </w:r>
      <w:r w:rsidR="00212DAC">
        <w:rPr>
          <w:rFonts w:cstheme="minorHAnsi"/>
          <w:bCs/>
        </w:rPr>
        <w:t>_</w:t>
      </w:r>
      <w:r w:rsidR="00212DAC" w:rsidRPr="00212DAC">
        <w:rPr>
          <w:rFonts w:cstheme="minorHAnsi"/>
          <w:bCs/>
        </w:rPr>
        <w:t>oprava</w:t>
      </w:r>
      <w:proofErr w:type="spellEnd"/>
      <w:r w:rsidR="00212DAC" w:rsidRPr="00212DAC">
        <w:rPr>
          <w:rFonts w:cstheme="minorHAnsi"/>
          <w:bCs/>
        </w:rPr>
        <w:t xml:space="preserve"> dvorních zdí</w:t>
      </w:r>
      <w:r w:rsidR="00392B08" w:rsidRPr="00212DAC">
        <w:rPr>
          <w:rFonts w:cstheme="minorHAnsi"/>
          <w:bCs/>
        </w:rPr>
        <w:t>.</w:t>
      </w:r>
    </w:p>
    <w:bookmarkEnd w:id="8"/>
    <w:p w:rsidR="00591DDA" w:rsidRDefault="00591DDA" w:rsidP="00D46565">
      <w:pPr>
        <w:spacing w:after="120"/>
        <w:rPr>
          <w:rFonts w:cs="Arial"/>
        </w:rPr>
      </w:pPr>
    </w:p>
    <w:p w:rsidR="00591DDA" w:rsidRPr="00591DDA" w:rsidRDefault="00591DDA" w:rsidP="00D46565">
      <w:pPr>
        <w:spacing w:after="120"/>
        <w:rPr>
          <w:b/>
        </w:rPr>
      </w:pPr>
      <w:r w:rsidRPr="00B67DC7">
        <w:rPr>
          <w:b/>
        </w:rPr>
        <w:t>g) Výmalba průjezdu a schodišťového prostoru</w:t>
      </w:r>
      <w:r w:rsidR="002C7989" w:rsidRPr="00B67DC7">
        <w:rPr>
          <w:b/>
        </w:rPr>
        <w:t xml:space="preserve"> vč., výmalby schodišťových sloupů, nátěru zábradlí a boční strany schodnic a schodišťových stupňů (v současnosti v nevhodné</w:t>
      </w:r>
      <w:r w:rsidR="00B67DC7" w:rsidRPr="00B67DC7">
        <w:rPr>
          <w:b/>
        </w:rPr>
        <w:t>m</w:t>
      </w:r>
      <w:r w:rsidR="002C7989" w:rsidRPr="00B67DC7">
        <w:rPr>
          <w:b/>
        </w:rPr>
        <w:t xml:space="preserve"> a památkově nepřípustné</w:t>
      </w:r>
      <w:r w:rsidR="00B67DC7" w:rsidRPr="00B67DC7">
        <w:rPr>
          <w:b/>
        </w:rPr>
        <w:t>m</w:t>
      </w:r>
      <w:r w:rsidR="002C7989" w:rsidRPr="00B67DC7">
        <w:rPr>
          <w:b/>
        </w:rPr>
        <w:t xml:space="preserve"> odstínu hnědé barvy)</w:t>
      </w:r>
    </w:p>
    <w:p w:rsidR="00435DBC" w:rsidRPr="00212DAC" w:rsidRDefault="00435DBC" w:rsidP="00D46565">
      <w:pPr>
        <w:spacing w:after="120"/>
        <w:ind w:firstLine="708"/>
        <w:jc w:val="both"/>
        <w:rPr>
          <w:rFonts w:cstheme="minorHAnsi"/>
          <w:bCs/>
        </w:rPr>
      </w:pPr>
      <w:r w:rsidRPr="00212DAC">
        <w:rPr>
          <w:rFonts w:cstheme="minorHAnsi"/>
          <w:bCs/>
        </w:rPr>
        <w:t xml:space="preserve">Se zástupci NPÚ bylo předjednáno, že před provedením výmalby </w:t>
      </w:r>
      <w:r w:rsidR="002C7989" w:rsidRPr="00212DAC">
        <w:rPr>
          <w:rFonts w:cstheme="minorHAnsi"/>
          <w:bCs/>
        </w:rPr>
        <w:t xml:space="preserve">a všech nátěrů </w:t>
      </w:r>
      <w:r w:rsidRPr="00212DAC">
        <w:rPr>
          <w:rFonts w:cstheme="minorHAnsi"/>
          <w:bCs/>
        </w:rPr>
        <w:t xml:space="preserve">prostoru průjezdu a </w:t>
      </w:r>
      <w:r w:rsidR="002C7989" w:rsidRPr="00212DAC">
        <w:rPr>
          <w:rFonts w:cstheme="minorHAnsi"/>
          <w:bCs/>
        </w:rPr>
        <w:t xml:space="preserve">hlavního </w:t>
      </w:r>
      <w:r w:rsidRPr="00212DAC">
        <w:rPr>
          <w:rFonts w:cstheme="minorHAnsi"/>
          <w:bCs/>
        </w:rPr>
        <w:t>schodiště, bude proveden průzkum barevných vrstev povrchu konstrukcí</w:t>
      </w:r>
      <w:r w:rsidR="002C7989" w:rsidRPr="00212DAC">
        <w:rPr>
          <w:rFonts w:cstheme="minorHAnsi"/>
          <w:bCs/>
        </w:rPr>
        <w:t xml:space="preserve">, který jednoznačně určí </w:t>
      </w:r>
      <w:r w:rsidR="00B67DC7" w:rsidRPr="00212DAC">
        <w:rPr>
          <w:rFonts w:cstheme="minorHAnsi"/>
          <w:bCs/>
        </w:rPr>
        <w:t xml:space="preserve">přípustné </w:t>
      </w:r>
      <w:r w:rsidR="002C7989" w:rsidRPr="00212DAC">
        <w:rPr>
          <w:rFonts w:cstheme="minorHAnsi"/>
          <w:bCs/>
        </w:rPr>
        <w:t>barevné odstíny</w:t>
      </w:r>
      <w:r w:rsidRPr="00212DAC">
        <w:rPr>
          <w:rFonts w:cstheme="minorHAnsi"/>
          <w:bCs/>
        </w:rPr>
        <w:t xml:space="preserve">. Průzkum bude proveden </w:t>
      </w:r>
      <w:r w:rsidRPr="00212DAC">
        <w:rPr>
          <w:rFonts w:cstheme="minorHAnsi"/>
        </w:rPr>
        <w:t>lokálně bez nutnosti zajistit lešení, či vysokozdvižné techniky</w:t>
      </w:r>
      <w:r w:rsidR="003D2E0D" w:rsidRPr="00212DAC">
        <w:rPr>
          <w:rFonts w:cstheme="minorHAnsi"/>
        </w:rPr>
        <w:t xml:space="preserve">. Provedení průzkumu zajistí </w:t>
      </w:r>
      <w:r w:rsidR="002C7989" w:rsidRPr="00212DAC">
        <w:rPr>
          <w:rFonts w:cstheme="minorHAnsi"/>
        </w:rPr>
        <w:t>zhotovitel a výsledek zapracuje do projektové dokumentace</w:t>
      </w:r>
      <w:r w:rsidRPr="00212DAC">
        <w:rPr>
          <w:rFonts w:cstheme="minorHAnsi"/>
          <w:bCs/>
        </w:rPr>
        <w:t>.</w:t>
      </w:r>
      <w:r w:rsidR="00555253" w:rsidRPr="00212DAC">
        <w:rPr>
          <w:rFonts w:cstheme="minorHAnsi"/>
          <w:bCs/>
        </w:rPr>
        <w:t xml:space="preserve"> </w:t>
      </w:r>
      <w:r w:rsidRPr="00212DAC">
        <w:rPr>
          <w:rFonts w:cstheme="minorHAnsi"/>
          <w:bCs/>
        </w:rPr>
        <w:t xml:space="preserve">Výmalbě bude předcházet odstranění </w:t>
      </w:r>
      <w:r w:rsidR="00555253" w:rsidRPr="00212DAC">
        <w:rPr>
          <w:rFonts w:cstheme="minorHAnsi"/>
          <w:bCs/>
        </w:rPr>
        <w:t xml:space="preserve">všech </w:t>
      </w:r>
      <w:r w:rsidRPr="00212DAC">
        <w:rPr>
          <w:rFonts w:cstheme="minorHAnsi"/>
          <w:bCs/>
        </w:rPr>
        <w:t>nefunkčních, nepoužívaných a nevzhledných zařízení a kabelů, nástěnek a tabulí, skob a jiných uchycovacích prvků a vyspravení nesoudržných a zvětralých částí omítek zejména v místě vjezdových vrat</w:t>
      </w:r>
      <w:r w:rsidR="00555253" w:rsidRPr="00212DAC">
        <w:rPr>
          <w:rFonts w:cstheme="minorHAnsi"/>
          <w:bCs/>
        </w:rPr>
        <w:t xml:space="preserve"> a na hlavním schodišti</w:t>
      </w:r>
      <w:r w:rsidRPr="00212DAC">
        <w:rPr>
          <w:rFonts w:cstheme="minorHAnsi"/>
          <w:bCs/>
        </w:rPr>
        <w:t>.</w:t>
      </w:r>
      <w:r w:rsidR="00555253" w:rsidRPr="00212DAC">
        <w:rPr>
          <w:rFonts w:cstheme="minorHAnsi"/>
          <w:bCs/>
        </w:rPr>
        <w:t xml:space="preserve"> </w:t>
      </w:r>
      <w:r w:rsidR="003717A8" w:rsidRPr="00212DAC">
        <w:rPr>
          <w:rFonts w:cstheme="minorHAnsi"/>
          <w:bCs/>
        </w:rPr>
        <w:t xml:space="preserve">Rozsah výmalby je uveden v příloze č. </w:t>
      </w:r>
      <w:r w:rsidR="00964DC2" w:rsidRPr="00212DAC">
        <w:rPr>
          <w:rFonts w:cstheme="minorHAnsi"/>
          <w:bCs/>
        </w:rPr>
        <w:t>6</w:t>
      </w:r>
      <w:r w:rsidR="00212DAC" w:rsidRPr="00212DAC">
        <w:rPr>
          <w:rFonts w:cstheme="minorHAnsi"/>
          <w:bCs/>
        </w:rPr>
        <w:t>_Půdorysné schéma 1.NP</w:t>
      </w:r>
      <w:r w:rsidR="003717A8" w:rsidRPr="00212DAC">
        <w:rPr>
          <w:rFonts w:cstheme="minorHAnsi"/>
          <w:bCs/>
        </w:rPr>
        <w:t>.</w:t>
      </w:r>
    </w:p>
    <w:p w:rsidR="00591DDA" w:rsidRDefault="00591DDA" w:rsidP="00D46565">
      <w:pPr>
        <w:spacing w:after="120"/>
      </w:pPr>
    </w:p>
    <w:p w:rsidR="00591DDA" w:rsidRPr="002C4213" w:rsidRDefault="00591DDA" w:rsidP="00D46565">
      <w:pPr>
        <w:spacing w:after="120"/>
        <w:rPr>
          <w:rFonts w:cstheme="minorHAnsi"/>
          <w:b/>
        </w:rPr>
      </w:pPr>
      <w:r w:rsidRPr="002C4213">
        <w:rPr>
          <w:rFonts w:cstheme="minorHAnsi"/>
          <w:b/>
        </w:rPr>
        <w:t>h) Návrh nové vrátnice</w:t>
      </w:r>
    </w:p>
    <w:p w:rsidR="00435DBC" w:rsidRPr="000412F0" w:rsidRDefault="000412F0" w:rsidP="00D46565">
      <w:pPr>
        <w:spacing w:after="120"/>
        <w:ind w:firstLine="708"/>
        <w:jc w:val="both"/>
        <w:rPr>
          <w:rFonts w:cstheme="minorHAnsi"/>
        </w:rPr>
      </w:pPr>
      <w:r w:rsidRPr="000412F0">
        <w:rPr>
          <w:rFonts w:cstheme="minorHAnsi"/>
        </w:rPr>
        <w:t>Z dokumentace</w:t>
      </w:r>
      <w:r w:rsidR="00435DBC" w:rsidRPr="000412F0">
        <w:rPr>
          <w:rFonts w:cstheme="minorHAnsi"/>
        </w:rPr>
        <w:t xml:space="preserve"> </w:t>
      </w:r>
      <w:r w:rsidRPr="000412F0">
        <w:rPr>
          <w:rFonts w:cstheme="minorHAnsi"/>
        </w:rPr>
        <w:t>musí být</w:t>
      </w:r>
      <w:r w:rsidR="00435DBC" w:rsidRPr="000412F0">
        <w:rPr>
          <w:rFonts w:cstheme="minorHAnsi"/>
        </w:rPr>
        <w:t xml:space="preserve"> patrný vzhled,</w:t>
      </w:r>
      <w:r w:rsidRPr="000412F0">
        <w:rPr>
          <w:rFonts w:cstheme="minorHAnsi"/>
        </w:rPr>
        <w:t xml:space="preserve"> </w:t>
      </w:r>
      <w:r w:rsidR="00435DBC" w:rsidRPr="000412F0">
        <w:rPr>
          <w:rFonts w:cstheme="minorHAnsi"/>
        </w:rPr>
        <w:t xml:space="preserve">materiálové a konstrukční řešení, včetně </w:t>
      </w:r>
      <w:r w:rsidRPr="000412F0">
        <w:rPr>
          <w:rFonts w:cstheme="minorHAnsi"/>
        </w:rPr>
        <w:t>detailů profilací a osazení otvorových výplní. U</w:t>
      </w:r>
      <w:r w:rsidR="00435DBC" w:rsidRPr="000412F0">
        <w:rPr>
          <w:rFonts w:cstheme="minorHAnsi"/>
        </w:rPr>
        <w:t>pravená vrátnice bude respektovat</w:t>
      </w:r>
      <w:r w:rsidRPr="000412F0">
        <w:rPr>
          <w:rFonts w:cstheme="minorHAnsi"/>
        </w:rPr>
        <w:t xml:space="preserve"> </w:t>
      </w:r>
      <w:r w:rsidR="00435DBC" w:rsidRPr="000412F0">
        <w:rPr>
          <w:rFonts w:cstheme="minorHAnsi"/>
        </w:rPr>
        <w:t>nedotčenou prostorovou linii kamenného obrubníku, vymezujícího vlastní průjezd v budově.</w:t>
      </w:r>
    </w:p>
    <w:p w:rsidR="00435DBC" w:rsidRDefault="00435DBC" w:rsidP="00D46565">
      <w:pPr>
        <w:spacing w:after="120"/>
      </w:pPr>
    </w:p>
    <w:p w:rsidR="00591DDA" w:rsidRPr="00591DDA" w:rsidRDefault="00591DDA" w:rsidP="00D46565">
      <w:pPr>
        <w:spacing w:after="120"/>
        <w:rPr>
          <w:b/>
        </w:rPr>
      </w:pPr>
      <w:r w:rsidRPr="00591DDA">
        <w:rPr>
          <w:b/>
        </w:rPr>
        <w:t>i) Okopání části nesoudržných a zvětralých omítek suterénních prostor</w:t>
      </w:r>
    </w:p>
    <w:p w:rsidR="00673CC1" w:rsidRDefault="00AC0E3F" w:rsidP="00D46565">
      <w:pPr>
        <w:spacing w:after="120"/>
        <w:ind w:firstLine="708"/>
        <w:jc w:val="both"/>
        <w:rPr>
          <w:rFonts w:cstheme="minorHAnsi"/>
          <w:bCs/>
        </w:rPr>
      </w:pPr>
      <w:r>
        <w:t>Odvlhčení objektu, resp. odstranění příčiny vzlínající vlhkosti, bude řešeno v jiné etapě. Nyní požadujeme o</w:t>
      </w:r>
      <w:r>
        <w:rPr>
          <w:rFonts w:cstheme="minorHAnsi"/>
        </w:rPr>
        <w:t>kopání zvětralých a nesoudržných omítek, odvoz a ekologická likvidace okopané i stávající odpadnuté a nahromaděné suti.</w:t>
      </w:r>
      <w:r w:rsidR="003717A8">
        <w:rPr>
          <w:rFonts w:cstheme="minorHAnsi"/>
        </w:rPr>
        <w:t xml:space="preserve"> </w:t>
      </w:r>
      <w:r w:rsidR="00673CC1" w:rsidRPr="00282B96">
        <w:rPr>
          <w:rFonts w:cstheme="minorHAnsi"/>
          <w:bCs/>
        </w:rPr>
        <w:t xml:space="preserve">Rozsah </w:t>
      </w:r>
      <w:r w:rsidR="00673CC1">
        <w:rPr>
          <w:rFonts w:cstheme="minorHAnsi"/>
          <w:bCs/>
        </w:rPr>
        <w:t xml:space="preserve">nesoudržných a zvětralých omítek suterénních </w:t>
      </w:r>
      <w:r w:rsidR="00673CC1" w:rsidRPr="00212DAC">
        <w:rPr>
          <w:rFonts w:cstheme="minorHAnsi"/>
          <w:bCs/>
        </w:rPr>
        <w:t xml:space="preserve">prostor je uveden v příloze č. </w:t>
      </w:r>
      <w:r w:rsidR="00964DC2" w:rsidRPr="00212DAC">
        <w:rPr>
          <w:rFonts w:cstheme="minorHAnsi"/>
          <w:bCs/>
        </w:rPr>
        <w:t>7</w:t>
      </w:r>
      <w:r w:rsidR="00212DAC" w:rsidRPr="00212DAC">
        <w:rPr>
          <w:rFonts w:cstheme="minorHAnsi"/>
          <w:bCs/>
        </w:rPr>
        <w:t>_Půdorysné schéma 1.PP</w:t>
      </w:r>
      <w:r w:rsidR="00673CC1" w:rsidRPr="00212DAC">
        <w:rPr>
          <w:rFonts w:cstheme="minorHAnsi"/>
          <w:bCs/>
        </w:rPr>
        <w:t>.</w:t>
      </w:r>
    </w:p>
    <w:p w:rsidR="00212DAC" w:rsidRPr="004248A0" w:rsidRDefault="00212DAC" w:rsidP="00212DAC">
      <w:pPr>
        <w:spacing w:after="120"/>
        <w:jc w:val="both"/>
        <w:rPr>
          <w:rFonts w:cstheme="minorHAnsi"/>
        </w:rPr>
      </w:pPr>
    </w:p>
    <w:p w:rsidR="00E316AA" w:rsidRPr="00335191" w:rsidRDefault="00A67729" w:rsidP="00E316AA">
      <w:pPr>
        <w:jc w:val="both"/>
        <w:rPr>
          <w:rFonts w:eastAsia="Calibri" w:cstheme="minorHAnsi"/>
          <w:b/>
          <w:u w:val="single"/>
        </w:rPr>
      </w:pPr>
      <w:r w:rsidRPr="00335191">
        <w:rPr>
          <w:rFonts w:eastAsia="Calibri" w:cstheme="minorHAnsi"/>
          <w:b/>
          <w:u w:val="single"/>
        </w:rPr>
        <w:lastRenderedPageBreak/>
        <w:t>5</w:t>
      </w:r>
      <w:r w:rsidR="00E316AA" w:rsidRPr="00335191">
        <w:rPr>
          <w:rFonts w:eastAsia="Calibri" w:cstheme="minorHAnsi"/>
          <w:b/>
          <w:u w:val="single"/>
        </w:rPr>
        <w:t>. Předmět plnění</w:t>
      </w:r>
    </w:p>
    <w:p w:rsidR="00E316AA" w:rsidRPr="00335191" w:rsidRDefault="00E316AA" w:rsidP="00102681">
      <w:pPr>
        <w:spacing w:after="0"/>
        <w:ind w:firstLine="709"/>
        <w:jc w:val="both"/>
        <w:rPr>
          <w:rFonts w:eastAsia="Calibri" w:cstheme="minorHAnsi"/>
        </w:rPr>
      </w:pPr>
      <w:r w:rsidRPr="00335191">
        <w:rPr>
          <w:rFonts w:eastAsia="Calibri" w:cstheme="minorHAnsi"/>
        </w:rPr>
        <w:t xml:space="preserve">Předmětem veřejné zakázky </w:t>
      </w:r>
      <w:r w:rsidR="007D1D01" w:rsidRPr="00335191">
        <w:rPr>
          <w:rFonts w:eastAsia="Calibri" w:cstheme="minorHAnsi"/>
        </w:rPr>
        <w:t xml:space="preserve">malého rozsahu </w:t>
      </w:r>
      <w:r w:rsidRPr="00335191">
        <w:rPr>
          <w:rFonts w:eastAsia="Calibri" w:cstheme="minorHAnsi"/>
        </w:rPr>
        <w:t xml:space="preserve">je vypracování dvoustupňové projektové dokumentace pro </w:t>
      </w:r>
      <w:r w:rsidR="007D1D01" w:rsidRPr="00335191">
        <w:rPr>
          <w:rFonts w:eastAsia="Calibri" w:cstheme="minorHAnsi"/>
        </w:rPr>
        <w:t xml:space="preserve">povolení záměru, resp. </w:t>
      </w:r>
      <w:r w:rsidRPr="00335191">
        <w:rPr>
          <w:rFonts w:eastAsia="Calibri" w:cstheme="minorHAnsi"/>
        </w:rPr>
        <w:t xml:space="preserve">stavební povolení </w:t>
      </w:r>
      <w:r w:rsidRPr="00335191">
        <w:rPr>
          <w:rFonts w:eastAsia="Calibri" w:cstheme="minorHAnsi"/>
          <w:b/>
        </w:rPr>
        <w:t>(DSP)</w:t>
      </w:r>
      <w:r w:rsidRPr="00335191">
        <w:rPr>
          <w:rFonts w:eastAsia="Calibri" w:cstheme="minorHAnsi"/>
        </w:rPr>
        <w:t xml:space="preserve"> a pro provedení stavby </w:t>
      </w:r>
      <w:r w:rsidRPr="00335191">
        <w:rPr>
          <w:rFonts w:eastAsia="Calibri" w:cstheme="minorHAnsi"/>
          <w:b/>
        </w:rPr>
        <w:t>(DPS)</w:t>
      </w:r>
      <w:r w:rsidRPr="00335191">
        <w:rPr>
          <w:rFonts w:eastAsia="Calibri" w:cstheme="minorHAnsi"/>
        </w:rPr>
        <w:t xml:space="preserve">, včetně </w:t>
      </w:r>
      <w:r w:rsidR="007D1D01" w:rsidRPr="00335191">
        <w:rPr>
          <w:rFonts w:cstheme="minorHAnsi"/>
          <w:iCs/>
        </w:rPr>
        <w:t>vypracování souhrnného položkového soupisu stavebních prací včetně výkazu výměr a vypracování oceněného výkazu výměr.</w:t>
      </w:r>
      <w:r w:rsidR="007D1D01" w:rsidRPr="00335191">
        <w:rPr>
          <w:rFonts w:eastAsia="Calibri" w:cstheme="minorHAnsi"/>
        </w:rPr>
        <w:t xml:space="preserve"> Dále zajištění </w:t>
      </w:r>
      <w:r w:rsidR="009A65F4" w:rsidRPr="00335191">
        <w:rPr>
          <w:rFonts w:cstheme="minorHAnsi"/>
          <w:bCs/>
        </w:rPr>
        <w:t>průzkum</w:t>
      </w:r>
      <w:r w:rsidR="005660C9" w:rsidRPr="00335191">
        <w:rPr>
          <w:rFonts w:cstheme="minorHAnsi"/>
          <w:bCs/>
        </w:rPr>
        <w:t>u</w:t>
      </w:r>
      <w:r w:rsidR="009A65F4" w:rsidRPr="00335191">
        <w:rPr>
          <w:rFonts w:cstheme="minorHAnsi"/>
          <w:bCs/>
        </w:rPr>
        <w:t xml:space="preserve"> barevných vrstev povrchu konstrukcí</w:t>
      </w:r>
      <w:r w:rsidR="005660C9" w:rsidRPr="00335191">
        <w:rPr>
          <w:rFonts w:cstheme="minorHAnsi"/>
          <w:bCs/>
        </w:rPr>
        <w:t xml:space="preserve"> (žádost na Národní památkový ústav</w:t>
      </w:r>
      <w:r w:rsidR="0037675F" w:rsidRPr="00335191">
        <w:rPr>
          <w:rFonts w:cstheme="minorHAnsi"/>
          <w:bCs/>
        </w:rPr>
        <w:t>, dále jen „NPÚ“</w:t>
      </w:r>
      <w:r w:rsidR="005660C9" w:rsidRPr="00335191">
        <w:rPr>
          <w:rFonts w:cstheme="minorHAnsi"/>
          <w:bCs/>
        </w:rPr>
        <w:t>), zajištění</w:t>
      </w:r>
      <w:r w:rsidR="009A65F4" w:rsidRPr="00335191">
        <w:rPr>
          <w:rFonts w:eastAsia="Calibri" w:cstheme="minorHAnsi"/>
        </w:rPr>
        <w:t xml:space="preserve"> </w:t>
      </w:r>
      <w:r w:rsidRPr="00335191">
        <w:rPr>
          <w:rFonts w:eastAsia="Calibri" w:cstheme="minorHAnsi"/>
        </w:rPr>
        <w:t>inženýrské činnosti (</w:t>
      </w:r>
      <w:r w:rsidR="007D1D01" w:rsidRPr="00335191">
        <w:rPr>
          <w:rFonts w:eastAsia="Calibri" w:cstheme="minorHAnsi"/>
        </w:rPr>
        <w:t>tj.</w:t>
      </w:r>
      <w:r w:rsidRPr="00335191">
        <w:rPr>
          <w:rFonts w:eastAsia="Calibri" w:cstheme="minorHAnsi"/>
        </w:rPr>
        <w:t xml:space="preserve"> </w:t>
      </w:r>
      <w:r w:rsidR="007D1D01" w:rsidRPr="00335191">
        <w:rPr>
          <w:rFonts w:eastAsia="Calibri" w:cstheme="minorHAnsi"/>
        </w:rPr>
        <w:t xml:space="preserve">všech </w:t>
      </w:r>
      <w:r w:rsidRPr="00335191">
        <w:rPr>
          <w:rFonts w:eastAsia="Calibri" w:cstheme="minorHAnsi"/>
        </w:rPr>
        <w:t>potřebných souhlasů, povolení a závazných stanovisek)</w:t>
      </w:r>
      <w:r w:rsidR="007D1D01" w:rsidRPr="00335191">
        <w:rPr>
          <w:rFonts w:eastAsia="Calibri" w:cstheme="minorHAnsi"/>
        </w:rPr>
        <w:t xml:space="preserve"> a </w:t>
      </w:r>
      <w:r w:rsidRPr="00335191">
        <w:rPr>
          <w:rFonts w:eastAsia="Calibri" w:cstheme="minorHAnsi"/>
        </w:rPr>
        <w:t>zajištění autorského dozoru při provádění prací</w:t>
      </w:r>
      <w:r w:rsidR="007D1D01" w:rsidRPr="00335191">
        <w:rPr>
          <w:rFonts w:eastAsia="Calibri" w:cstheme="minorHAnsi"/>
        </w:rPr>
        <w:t>.</w:t>
      </w:r>
    </w:p>
    <w:p w:rsidR="005660C9" w:rsidRPr="00335191" w:rsidRDefault="00E316AA" w:rsidP="00E316AA">
      <w:pPr>
        <w:pStyle w:val="Default"/>
        <w:ind w:firstLine="708"/>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DSP a DPS bude obsahovat veškeré náležitosti stanovené zákonem </w:t>
      </w:r>
      <w:r w:rsidR="005660C9" w:rsidRPr="00335191">
        <w:rPr>
          <w:rFonts w:asciiTheme="minorHAnsi" w:eastAsia="Calibri" w:hAnsiTheme="minorHAnsi" w:cstheme="minorHAnsi"/>
          <w:color w:val="auto"/>
          <w:sz w:val="22"/>
          <w:szCs w:val="22"/>
        </w:rPr>
        <w:t>č. 283/2021 Sb. stavební zákon, v platném znění, v rozsahu vyhlášky č. 131/2024 Sb., o dokumentaci staveb, ve znění pozdějších předpisů.</w:t>
      </w:r>
    </w:p>
    <w:p w:rsidR="00E316AA" w:rsidRPr="00335191" w:rsidRDefault="00E316AA" w:rsidP="00E316AA">
      <w:pPr>
        <w:pStyle w:val="Default"/>
        <w:jc w:val="both"/>
        <w:rPr>
          <w:rFonts w:asciiTheme="minorHAnsi" w:hAnsiTheme="minorHAnsi" w:cstheme="minorHAnsi"/>
          <w:color w:val="auto"/>
          <w:sz w:val="22"/>
          <w:szCs w:val="22"/>
        </w:rPr>
      </w:pPr>
    </w:p>
    <w:p w:rsidR="00E316AA" w:rsidRPr="00335191" w:rsidRDefault="00E316AA" w:rsidP="00E316AA">
      <w:pPr>
        <w:pStyle w:val="Default"/>
        <w:spacing w:after="14"/>
        <w:jc w:val="both"/>
        <w:rPr>
          <w:rFonts w:asciiTheme="minorHAnsi" w:hAnsiTheme="minorHAnsi" w:cstheme="minorHAnsi"/>
          <w:color w:val="auto"/>
          <w:sz w:val="22"/>
          <w:szCs w:val="22"/>
        </w:rPr>
      </w:pPr>
      <w:r w:rsidRPr="00335191">
        <w:rPr>
          <w:rFonts w:asciiTheme="minorHAnsi" w:hAnsiTheme="minorHAnsi" w:cstheme="minorHAnsi"/>
          <w:b/>
          <w:color w:val="auto"/>
          <w:sz w:val="22"/>
          <w:szCs w:val="22"/>
        </w:rPr>
        <w:t>a) Vypracování</w:t>
      </w:r>
      <w:r w:rsidRPr="00335191">
        <w:rPr>
          <w:rFonts w:asciiTheme="minorHAnsi" w:hAnsiTheme="minorHAnsi" w:cstheme="minorHAnsi"/>
          <w:color w:val="auto"/>
          <w:sz w:val="22"/>
          <w:szCs w:val="22"/>
        </w:rPr>
        <w:t xml:space="preserve"> </w:t>
      </w:r>
      <w:r w:rsidRPr="00335191">
        <w:rPr>
          <w:rFonts w:asciiTheme="minorHAnsi" w:hAnsiTheme="minorHAnsi" w:cstheme="minorHAnsi"/>
          <w:b/>
          <w:color w:val="auto"/>
          <w:sz w:val="22"/>
          <w:szCs w:val="22"/>
        </w:rPr>
        <w:t>DSP</w:t>
      </w:r>
      <w:r w:rsidRPr="00335191">
        <w:rPr>
          <w:rFonts w:asciiTheme="minorHAnsi" w:hAnsiTheme="minorHAnsi" w:cstheme="minorHAnsi"/>
          <w:color w:val="auto"/>
          <w:sz w:val="22"/>
          <w:szCs w:val="22"/>
        </w:rPr>
        <w:t xml:space="preserve"> zahrnuje provedení všech profesních výkonů pro zpracování a sestavení projektové dokumentace k žádosti o </w:t>
      </w:r>
      <w:r w:rsidR="005660C9" w:rsidRPr="00335191">
        <w:rPr>
          <w:rFonts w:asciiTheme="minorHAnsi" w:eastAsia="Calibri" w:hAnsiTheme="minorHAnsi" w:cstheme="minorHAnsi"/>
          <w:color w:val="auto"/>
          <w:sz w:val="22"/>
          <w:szCs w:val="22"/>
        </w:rPr>
        <w:t>povolení záměru</w:t>
      </w:r>
      <w:r w:rsidR="005660C9" w:rsidRPr="00335191">
        <w:rPr>
          <w:rFonts w:asciiTheme="minorHAnsi" w:hAnsiTheme="minorHAnsi" w:cstheme="minorHAnsi"/>
          <w:color w:val="auto"/>
          <w:sz w:val="22"/>
          <w:szCs w:val="22"/>
        </w:rPr>
        <w:t xml:space="preserve">, resp. </w:t>
      </w:r>
      <w:r w:rsidRPr="00335191">
        <w:rPr>
          <w:rFonts w:asciiTheme="minorHAnsi" w:hAnsiTheme="minorHAnsi" w:cstheme="minorHAnsi"/>
          <w:color w:val="auto"/>
          <w:sz w:val="22"/>
          <w:szCs w:val="22"/>
        </w:rPr>
        <w:t xml:space="preserve">stavební povolení, a to zejména: </w:t>
      </w:r>
    </w:p>
    <w:p w:rsidR="00E316AA" w:rsidRPr="00335191" w:rsidRDefault="00E316AA" w:rsidP="00E316AA">
      <w:pPr>
        <w:pStyle w:val="Default"/>
        <w:ind w:left="284"/>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a) vypracování DSP ve složení: textová část dokumentace, výkresová část dokumentace, PBŘ atd.,</w:t>
      </w:r>
    </w:p>
    <w:p w:rsidR="00E316AA" w:rsidRPr="00335191" w:rsidRDefault="00E316AA" w:rsidP="00E316AA">
      <w:pPr>
        <w:pStyle w:val="Default"/>
        <w:spacing w:after="14"/>
        <w:ind w:left="284"/>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b) zpracování a sestavení dokumentace k žádosti o stavební povolení předkládané ke stavebnímu řízení na příslušný stavební úřad,</w:t>
      </w:r>
    </w:p>
    <w:p w:rsidR="00E316AA" w:rsidRPr="00335191" w:rsidRDefault="00E316AA" w:rsidP="00E316AA">
      <w:pPr>
        <w:pStyle w:val="Default"/>
        <w:spacing w:after="14"/>
        <w:ind w:left="284"/>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c) stanovení požadavků na doplňkové průzkumy,</w:t>
      </w:r>
    </w:p>
    <w:p w:rsidR="00A67729" w:rsidRPr="00335191" w:rsidRDefault="00A67729" w:rsidP="00A67729">
      <w:pPr>
        <w:spacing w:after="0"/>
        <w:ind w:left="284"/>
        <w:jc w:val="both"/>
      </w:pPr>
      <w:r w:rsidRPr="00335191">
        <w:rPr>
          <w:rFonts w:cstheme="minorHAnsi"/>
        </w:rPr>
        <w:t xml:space="preserve">d) </w:t>
      </w:r>
      <w:r w:rsidRPr="00335191">
        <w:t>stanovení předpokládané doby realizace stavby a potřeb</w:t>
      </w:r>
      <w:r w:rsidR="00102681" w:rsidRPr="00335191">
        <w:t>y</w:t>
      </w:r>
      <w:r w:rsidRPr="00335191">
        <w:t xml:space="preserve"> zajištění koordinátora BOZP, popř. Plánu BOZB.</w:t>
      </w:r>
    </w:p>
    <w:p w:rsidR="00E316AA" w:rsidRPr="00335191" w:rsidRDefault="00E316AA" w:rsidP="00E316AA">
      <w:pPr>
        <w:pStyle w:val="Default"/>
        <w:jc w:val="both"/>
        <w:rPr>
          <w:rFonts w:asciiTheme="minorHAnsi" w:hAnsiTheme="minorHAnsi" w:cstheme="minorHAnsi"/>
          <w:color w:val="auto"/>
          <w:sz w:val="22"/>
          <w:szCs w:val="22"/>
        </w:rPr>
      </w:pPr>
    </w:p>
    <w:p w:rsidR="0037675F" w:rsidRPr="00335191" w:rsidRDefault="0037675F" w:rsidP="00E316AA">
      <w:pPr>
        <w:pStyle w:val="Default"/>
        <w:jc w:val="both"/>
        <w:rPr>
          <w:rFonts w:asciiTheme="minorHAnsi" w:hAnsiTheme="minorHAnsi" w:cstheme="minorHAnsi"/>
          <w:b/>
          <w:bCs/>
          <w:color w:val="auto"/>
          <w:sz w:val="22"/>
          <w:szCs w:val="22"/>
        </w:rPr>
      </w:pPr>
      <w:r w:rsidRPr="00335191">
        <w:rPr>
          <w:rFonts w:asciiTheme="minorHAnsi" w:hAnsiTheme="minorHAnsi" w:cstheme="minorHAnsi"/>
          <w:b/>
          <w:color w:val="auto"/>
          <w:sz w:val="22"/>
          <w:szCs w:val="22"/>
        </w:rPr>
        <w:t xml:space="preserve">b) </w:t>
      </w:r>
      <w:r w:rsidRPr="00335191">
        <w:rPr>
          <w:rFonts w:asciiTheme="minorHAnsi" w:eastAsia="Calibri" w:hAnsiTheme="minorHAnsi" w:cstheme="minorHAnsi"/>
          <w:b/>
          <w:color w:val="auto"/>
          <w:sz w:val="22"/>
          <w:szCs w:val="22"/>
        </w:rPr>
        <w:t xml:space="preserve">Zajištění </w:t>
      </w:r>
      <w:r w:rsidRPr="00335191">
        <w:rPr>
          <w:rFonts w:asciiTheme="minorHAnsi" w:hAnsiTheme="minorHAnsi" w:cstheme="minorHAnsi"/>
          <w:b/>
          <w:bCs/>
          <w:color w:val="auto"/>
          <w:sz w:val="22"/>
          <w:szCs w:val="22"/>
        </w:rPr>
        <w:t>průzkumu barevných vrstev povrchu konstrukcí</w:t>
      </w:r>
    </w:p>
    <w:p w:rsidR="0037675F" w:rsidRPr="00335191" w:rsidRDefault="00212DAC" w:rsidP="00E316AA">
      <w:pPr>
        <w:pStyle w:val="Default"/>
        <w:jc w:val="both"/>
        <w:rPr>
          <w:rFonts w:asciiTheme="minorHAnsi" w:hAnsiTheme="minorHAnsi" w:cstheme="minorHAnsi"/>
          <w:bCs/>
          <w:color w:val="auto"/>
          <w:sz w:val="22"/>
          <w:szCs w:val="22"/>
        </w:rPr>
      </w:pPr>
      <w:r w:rsidRPr="00335191">
        <w:rPr>
          <w:rFonts w:asciiTheme="minorHAnsi" w:hAnsiTheme="minorHAnsi" w:cstheme="minorHAnsi"/>
          <w:bCs/>
          <w:color w:val="auto"/>
          <w:sz w:val="22"/>
          <w:szCs w:val="22"/>
        </w:rPr>
        <w:t>Zhotovitel</w:t>
      </w:r>
      <w:r w:rsidR="0037675F" w:rsidRPr="00335191">
        <w:rPr>
          <w:rFonts w:asciiTheme="minorHAnsi" w:hAnsiTheme="minorHAnsi" w:cstheme="minorHAnsi"/>
          <w:bCs/>
          <w:color w:val="auto"/>
          <w:sz w:val="22"/>
          <w:szCs w:val="22"/>
        </w:rPr>
        <w:t xml:space="preserve"> zajistí žádost o provedení průzkumu barevných vrstev povrchu konstrukcí na Národní památkový ústav v</w:t>
      </w:r>
      <w:r w:rsidRPr="00335191">
        <w:rPr>
          <w:rFonts w:asciiTheme="minorHAnsi" w:hAnsiTheme="minorHAnsi" w:cstheme="minorHAnsi"/>
          <w:bCs/>
          <w:color w:val="auto"/>
          <w:sz w:val="22"/>
          <w:szCs w:val="22"/>
        </w:rPr>
        <w:t> </w:t>
      </w:r>
      <w:r w:rsidR="0037675F" w:rsidRPr="00335191">
        <w:rPr>
          <w:rFonts w:asciiTheme="minorHAnsi" w:hAnsiTheme="minorHAnsi" w:cstheme="minorHAnsi"/>
          <w:bCs/>
          <w:color w:val="auto"/>
          <w:sz w:val="22"/>
          <w:szCs w:val="22"/>
        </w:rPr>
        <w:t>Plzni</w:t>
      </w:r>
      <w:r w:rsidRPr="00335191">
        <w:rPr>
          <w:rFonts w:asciiTheme="minorHAnsi" w:hAnsiTheme="minorHAnsi" w:cstheme="minorHAnsi"/>
          <w:bCs/>
          <w:color w:val="auto"/>
          <w:sz w:val="22"/>
          <w:szCs w:val="22"/>
        </w:rPr>
        <w:t>.</w:t>
      </w:r>
      <w:r w:rsidR="0037675F" w:rsidRPr="00335191">
        <w:rPr>
          <w:rFonts w:asciiTheme="minorHAnsi" w:hAnsiTheme="minorHAnsi" w:cstheme="minorHAnsi"/>
          <w:bCs/>
          <w:color w:val="auto"/>
          <w:sz w:val="22"/>
          <w:szCs w:val="22"/>
        </w:rPr>
        <w:t xml:space="preserve"> NPÚ přidělí zástupce, který průzkum provede a vyhotoví zápis, který</w:t>
      </w:r>
      <w:r w:rsidR="002D1652" w:rsidRPr="00335191">
        <w:rPr>
          <w:rFonts w:asciiTheme="minorHAnsi" w:hAnsiTheme="minorHAnsi" w:cstheme="minorHAnsi"/>
          <w:bCs/>
          <w:color w:val="auto"/>
          <w:sz w:val="22"/>
          <w:szCs w:val="22"/>
        </w:rPr>
        <w:t>m</w:t>
      </w:r>
      <w:r w:rsidR="0037675F" w:rsidRPr="00335191">
        <w:rPr>
          <w:rFonts w:asciiTheme="minorHAnsi" w:hAnsiTheme="minorHAnsi" w:cstheme="minorHAnsi"/>
          <w:bCs/>
          <w:color w:val="auto"/>
          <w:sz w:val="22"/>
          <w:szCs w:val="22"/>
        </w:rPr>
        <w:t xml:space="preserve"> se zhotovitel PD bude řídit a zapracuje </w:t>
      </w:r>
      <w:r w:rsidR="002D1652" w:rsidRPr="00335191">
        <w:rPr>
          <w:rFonts w:asciiTheme="minorHAnsi" w:hAnsiTheme="minorHAnsi" w:cstheme="minorHAnsi"/>
          <w:bCs/>
          <w:color w:val="auto"/>
          <w:sz w:val="22"/>
          <w:szCs w:val="22"/>
        </w:rPr>
        <w:t>ho do projektových dokumentací.</w:t>
      </w:r>
    </w:p>
    <w:p w:rsidR="002D1652" w:rsidRPr="00335191" w:rsidRDefault="002D1652" w:rsidP="00212DAC">
      <w:pPr>
        <w:autoSpaceDE w:val="0"/>
        <w:autoSpaceDN w:val="0"/>
        <w:adjustRightInd w:val="0"/>
        <w:spacing w:after="0" w:line="240" w:lineRule="auto"/>
        <w:jc w:val="both"/>
        <w:rPr>
          <w:rFonts w:cstheme="minorHAnsi"/>
        </w:rPr>
      </w:pPr>
      <w:r w:rsidRPr="00335191">
        <w:rPr>
          <w:rFonts w:cstheme="minorHAnsi"/>
        </w:rPr>
        <w:t xml:space="preserve">Průzkum se bude týkat </w:t>
      </w:r>
      <w:r w:rsidR="00212DAC" w:rsidRPr="00335191">
        <w:rPr>
          <w:rFonts w:cstheme="minorHAnsi"/>
        </w:rPr>
        <w:t xml:space="preserve">zejména </w:t>
      </w:r>
      <w:r w:rsidRPr="00335191">
        <w:rPr>
          <w:rFonts w:cstheme="minorHAnsi"/>
        </w:rPr>
        <w:t xml:space="preserve">barevných odstínů na výmalbu prostoru schodiště včetně vstupní chodby, nátěru kovových a dřevěných prvků, viz Rozhodnutí MMP OPP Spis. zn.: MMP/243465/24 ze dne 28.6.2024, příloha č. </w:t>
      </w:r>
      <w:r w:rsidR="00D46565" w:rsidRPr="00335191">
        <w:rPr>
          <w:rFonts w:cstheme="minorHAnsi"/>
        </w:rPr>
        <w:t>9</w:t>
      </w:r>
      <w:r w:rsidRPr="00335191">
        <w:rPr>
          <w:rFonts w:cstheme="minorHAnsi"/>
        </w:rPr>
        <w:t>.</w:t>
      </w:r>
    </w:p>
    <w:p w:rsidR="0037675F" w:rsidRPr="00335191" w:rsidRDefault="0037675F" w:rsidP="00E316AA">
      <w:pPr>
        <w:pStyle w:val="Default"/>
        <w:jc w:val="both"/>
        <w:rPr>
          <w:rFonts w:asciiTheme="minorHAnsi" w:hAnsiTheme="minorHAnsi" w:cstheme="minorHAnsi"/>
          <w:color w:val="auto"/>
          <w:sz w:val="22"/>
          <w:szCs w:val="22"/>
        </w:rPr>
      </w:pPr>
    </w:p>
    <w:p w:rsidR="00E316AA" w:rsidRPr="00335191" w:rsidRDefault="002D1652" w:rsidP="00E316AA">
      <w:pPr>
        <w:pStyle w:val="Default"/>
        <w:jc w:val="both"/>
        <w:rPr>
          <w:rFonts w:asciiTheme="minorHAnsi" w:hAnsiTheme="minorHAnsi" w:cstheme="minorHAnsi"/>
          <w:color w:val="auto"/>
          <w:sz w:val="22"/>
          <w:szCs w:val="22"/>
        </w:rPr>
      </w:pPr>
      <w:r w:rsidRPr="00335191">
        <w:rPr>
          <w:rFonts w:asciiTheme="minorHAnsi" w:hAnsiTheme="minorHAnsi" w:cstheme="minorHAnsi"/>
          <w:b/>
          <w:color w:val="auto"/>
          <w:sz w:val="22"/>
          <w:szCs w:val="22"/>
        </w:rPr>
        <w:t>c</w:t>
      </w:r>
      <w:r w:rsidR="00E316AA" w:rsidRPr="00335191">
        <w:rPr>
          <w:rFonts w:asciiTheme="minorHAnsi" w:hAnsiTheme="minorHAnsi" w:cstheme="minorHAnsi"/>
          <w:b/>
          <w:color w:val="auto"/>
          <w:sz w:val="22"/>
          <w:szCs w:val="22"/>
        </w:rPr>
        <w:t>) Inženýrská činnost</w:t>
      </w:r>
      <w:r w:rsidR="00E316AA" w:rsidRPr="00335191">
        <w:rPr>
          <w:rFonts w:asciiTheme="minorHAnsi" w:hAnsiTheme="minorHAnsi" w:cstheme="minorHAnsi"/>
          <w:color w:val="auto"/>
          <w:sz w:val="22"/>
          <w:szCs w:val="22"/>
        </w:rPr>
        <w:t xml:space="preserve"> zahrnuje úkony směřující k vydání </w:t>
      </w:r>
      <w:r w:rsidR="00335191" w:rsidRPr="00335191">
        <w:rPr>
          <w:rFonts w:asciiTheme="minorHAnsi" w:hAnsiTheme="minorHAnsi" w:cstheme="minorHAnsi"/>
          <w:color w:val="auto"/>
          <w:sz w:val="22"/>
          <w:szCs w:val="22"/>
        </w:rPr>
        <w:t xml:space="preserve">povolení záměru, resp. </w:t>
      </w:r>
      <w:r w:rsidR="00E316AA" w:rsidRPr="00335191">
        <w:rPr>
          <w:rFonts w:asciiTheme="minorHAnsi" w:hAnsiTheme="minorHAnsi" w:cstheme="minorHAnsi"/>
          <w:color w:val="auto"/>
          <w:sz w:val="22"/>
          <w:szCs w:val="22"/>
        </w:rPr>
        <w:t>stavebního povolení a spočívá v</w:t>
      </w:r>
      <w:r w:rsidR="00E316AA" w:rsidRPr="00335191">
        <w:rPr>
          <w:rFonts w:asciiTheme="minorHAnsi" w:hAnsiTheme="minorHAnsi" w:cstheme="minorHAnsi"/>
          <w:color w:val="auto"/>
        </w:rPr>
        <w:t> </w:t>
      </w:r>
      <w:r w:rsidR="00E316AA" w:rsidRPr="00335191">
        <w:rPr>
          <w:rFonts w:asciiTheme="minorHAnsi" w:hAnsiTheme="minorHAnsi" w:cstheme="minorHAnsi"/>
          <w:color w:val="auto"/>
          <w:sz w:val="22"/>
          <w:szCs w:val="22"/>
        </w:rPr>
        <w:t xml:space="preserve">zajištění stanovisek dotčených orgánů státní správy, zejména orgány </w:t>
      </w:r>
      <w:r w:rsidR="0037675F" w:rsidRPr="00335191">
        <w:rPr>
          <w:rFonts w:asciiTheme="minorHAnsi" w:hAnsiTheme="minorHAnsi" w:cstheme="minorHAnsi"/>
          <w:color w:val="auto"/>
          <w:sz w:val="22"/>
          <w:szCs w:val="22"/>
        </w:rPr>
        <w:t xml:space="preserve">památkové péče, </w:t>
      </w:r>
      <w:r w:rsidR="00E316AA" w:rsidRPr="00335191">
        <w:rPr>
          <w:rFonts w:asciiTheme="minorHAnsi" w:hAnsiTheme="minorHAnsi" w:cstheme="minorHAnsi"/>
          <w:color w:val="auto"/>
          <w:sz w:val="22"/>
          <w:szCs w:val="22"/>
        </w:rPr>
        <w:t>požární ochrany, hygieny a ostatních účastníků stavebního řízení. Konečná vyjádření a</w:t>
      </w:r>
      <w:r w:rsidR="00E316AA" w:rsidRPr="00335191">
        <w:rPr>
          <w:rFonts w:asciiTheme="minorHAnsi" w:hAnsiTheme="minorHAnsi" w:cstheme="minorHAnsi"/>
          <w:color w:val="auto"/>
        </w:rPr>
        <w:t> </w:t>
      </w:r>
      <w:r w:rsidR="00E316AA" w:rsidRPr="00335191">
        <w:rPr>
          <w:rFonts w:asciiTheme="minorHAnsi" w:hAnsiTheme="minorHAnsi" w:cstheme="minorHAnsi"/>
          <w:color w:val="auto"/>
          <w:sz w:val="22"/>
          <w:szCs w:val="22"/>
        </w:rPr>
        <w:t xml:space="preserve">požadavky ze správních řízení budou zapracovány do </w:t>
      </w:r>
      <w:r w:rsidR="00335191" w:rsidRPr="00335191">
        <w:rPr>
          <w:rFonts w:asciiTheme="minorHAnsi" w:hAnsiTheme="minorHAnsi" w:cstheme="minorHAnsi"/>
          <w:color w:val="auto"/>
          <w:sz w:val="22"/>
          <w:szCs w:val="22"/>
        </w:rPr>
        <w:t xml:space="preserve">projektových </w:t>
      </w:r>
      <w:r w:rsidR="00E316AA" w:rsidRPr="00335191">
        <w:rPr>
          <w:rFonts w:asciiTheme="minorHAnsi" w:hAnsiTheme="minorHAnsi" w:cstheme="minorHAnsi"/>
          <w:color w:val="auto"/>
          <w:sz w:val="22"/>
          <w:szCs w:val="22"/>
        </w:rPr>
        <w:t>dokumentac</w:t>
      </w:r>
      <w:r w:rsidR="00335191" w:rsidRPr="00335191">
        <w:rPr>
          <w:rFonts w:asciiTheme="minorHAnsi" w:hAnsiTheme="minorHAnsi" w:cstheme="minorHAnsi"/>
          <w:color w:val="auto"/>
          <w:sz w:val="22"/>
          <w:szCs w:val="22"/>
        </w:rPr>
        <w:t>í</w:t>
      </w:r>
      <w:r w:rsidR="00E316AA" w:rsidRPr="00335191">
        <w:rPr>
          <w:rFonts w:asciiTheme="minorHAnsi" w:hAnsiTheme="minorHAnsi" w:cstheme="minorHAnsi"/>
          <w:color w:val="auto"/>
          <w:sz w:val="22"/>
          <w:szCs w:val="22"/>
        </w:rPr>
        <w:t xml:space="preserve">. Součástí předmětu plnění bude také zpracování všech potřebných stavebně-technických průzkumů a odborných posudků v rozsahu nutném pro zpracování dokumentací. </w:t>
      </w:r>
    </w:p>
    <w:p w:rsidR="00E316AA" w:rsidRPr="00335191" w:rsidRDefault="00E316AA" w:rsidP="00E316AA">
      <w:pPr>
        <w:pStyle w:val="Default"/>
        <w:jc w:val="both"/>
        <w:rPr>
          <w:rFonts w:asciiTheme="minorHAnsi" w:hAnsiTheme="minorHAnsi" w:cstheme="minorHAnsi"/>
          <w:color w:val="auto"/>
          <w:sz w:val="22"/>
          <w:szCs w:val="22"/>
        </w:rPr>
      </w:pPr>
    </w:p>
    <w:p w:rsidR="00E316AA" w:rsidRPr="00335191" w:rsidRDefault="002D1652" w:rsidP="00E316AA">
      <w:pPr>
        <w:pStyle w:val="Default"/>
        <w:spacing w:after="17"/>
        <w:jc w:val="both"/>
        <w:rPr>
          <w:rFonts w:asciiTheme="minorHAnsi" w:hAnsiTheme="minorHAnsi" w:cstheme="minorHAnsi"/>
          <w:color w:val="auto"/>
          <w:sz w:val="22"/>
          <w:szCs w:val="22"/>
        </w:rPr>
      </w:pPr>
      <w:r w:rsidRPr="00335191">
        <w:rPr>
          <w:rFonts w:asciiTheme="minorHAnsi" w:hAnsiTheme="minorHAnsi" w:cstheme="minorHAnsi"/>
          <w:b/>
          <w:color w:val="auto"/>
          <w:sz w:val="22"/>
          <w:szCs w:val="22"/>
        </w:rPr>
        <w:t>d</w:t>
      </w:r>
      <w:r w:rsidR="00E316AA" w:rsidRPr="00335191">
        <w:rPr>
          <w:rFonts w:asciiTheme="minorHAnsi" w:hAnsiTheme="minorHAnsi" w:cstheme="minorHAnsi"/>
          <w:b/>
          <w:color w:val="auto"/>
          <w:sz w:val="22"/>
          <w:szCs w:val="22"/>
        </w:rPr>
        <w:t>) Vypracování</w:t>
      </w:r>
      <w:r w:rsidR="00E316AA" w:rsidRPr="00335191">
        <w:rPr>
          <w:rFonts w:asciiTheme="minorHAnsi" w:hAnsiTheme="minorHAnsi" w:cstheme="minorHAnsi"/>
          <w:color w:val="auto"/>
          <w:sz w:val="22"/>
          <w:szCs w:val="22"/>
        </w:rPr>
        <w:t xml:space="preserve"> </w:t>
      </w:r>
      <w:r w:rsidR="00E316AA" w:rsidRPr="00335191">
        <w:rPr>
          <w:rFonts w:asciiTheme="minorHAnsi" w:hAnsiTheme="minorHAnsi" w:cstheme="minorHAnsi"/>
          <w:b/>
          <w:color w:val="auto"/>
          <w:sz w:val="22"/>
          <w:szCs w:val="22"/>
        </w:rPr>
        <w:t>DPS</w:t>
      </w:r>
      <w:r w:rsidR="00E316AA" w:rsidRPr="00335191">
        <w:rPr>
          <w:rFonts w:asciiTheme="minorHAnsi" w:hAnsiTheme="minorHAnsi" w:cstheme="minorHAnsi"/>
          <w:color w:val="auto"/>
          <w:sz w:val="22"/>
          <w:szCs w:val="22"/>
        </w:rPr>
        <w:t xml:space="preserve"> zahrnuje provedení všech profesních výkonů pro zpracování dokumentace pro </w:t>
      </w:r>
      <w:r w:rsidR="00335191" w:rsidRPr="00335191">
        <w:rPr>
          <w:rFonts w:asciiTheme="minorHAnsi" w:hAnsiTheme="minorHAnsi" w:cstheme="minorHAnsi"/>
          <w:color w:val="auto"/>
          <w:sz w:val="22"/>
          <w:szCs w:val="22"/>
        </w:rPr>
        <w:t>provedení</w:t>
      </w:r>
      <w:r w:rsidR="00E316AA" w:rsidRPr="00335191">
        <w:rPr>
          <w:rFonts w:asciiTheme="minorHAnsi" w:hAnsiTheme="minorHAnsi" w:cstheme="minorHAnsi"/>
          <w:color w:val="auto"/>
          <w:sz w:val="22"/>
          <w:szCs w:val="22"/>
        </w:rPr>
        <w:t xml:space="preserve"> stavby, a to zejména: </w:t>
      </w:r>
    </w:p>
    <w:p w:rsidR="00E316AA" w:rsidRPr="00335191" w:rsidRDefault="00E316AA" w:rsidP="00E316AA">
      <w:pPr>
        <w:pStyle w:val="Default"/>
        <w:ind w:left="284"/>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a) vypracování DPS ve složení: textová část dokumentace, výkresová část dokumentace,</w:t>
      </w:r>
    </w:p>
    <w:p w:rsidR="00E316AA" w:rsidRPr="00335191" w:rsidRDefault="00E316AA" w:rsidP="00E316AA">
      <w:pPr>
        <w:pStyle w:val="Default"/>
        <w:ind w:left="284"/>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b) zapracování případných podmínek pro provedení stavebních prací stanovených stavebním úřadem či dotčenými orgány,</w:t>
      </w:r>
    </w:p>
    <w:p w:rsidR="00E316AA" w:rsidRPr="00335191" w:rsidRDefault="00E316AA" w:rsidP="00E316AA">
      <w:pPr>
        <w:pStyle w:val="Default"/>
        <w:spacing w:after="17"/>
        <w:ind w:left="284"/>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c) vypracování stavebně-technických specifikací k DPS stavby a jejich využití pro výběr dodavatele stavby, </w:t>
      </w:r>
    </w:p>
    <w:p w:rsidR="00E316AA" w:rsidRPr="00335191" w:rsidRDefault="00E316AA" w:rsidP="00E316AA">
      <w:pPr>
        <w:pStyle w:val="Default"/>
        <w:spacing w:after="17"/>
        <w:ind w:left="284"/>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d) propracování dokumentace až do úrovně jednoznačně určující požadavky na kvalitu a</w:t>
      </w:r>
      <w:r w:rsidRPr="00335191">
        <w:rPr>
          <w:rFonts w:asciiTheme="minorHAnsi" w:hAnsiTheme="minorHAnsi" w:cstheme="minorHAnsi"/>
          <w:color w:val="auto"/>
        </w:rPr>
        <w:t> </w:t>
      </w:r>
      <w:r w:rsidRPr="00335191">
        <w:rPr>
          <w:rFonts w:asciiTheme="minorHAnsi" w:hAnsiTheme="minorHAnsi" w:cstheme="minorHAnsi"/>
          <w:color w:val="auto"/>
          <w:sz w:val="22"/>
          <w:szCs w:val="22"/>
        </w:rPr>
        <w:t xml:space="preserve">charakteristické vlastnosti stavby a instalovaných předmětů a zařízení, </w:t>
      </w:r>
    </w:p>
    <w:p w:rsidR="00E316AA" w:rsidRPr="00335191" w:rsidRDefault="00E316AA" w:rsidP="00E316AA">
      <w:pPr>
        <w:pStyle w:val="Default"/>
        <w:ind w:left="284"/>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e) spolupráce se zadavatelem při výběru materiálů a jejich použití. </w:t>
      </w:r>
    </w:p>
    <w:p w:rsidR="00E316AA" w:rsidRPr="00335191" w:rsidRDefault="00E316AA" w:rsidP="00E316AA">
      <w:pPr>
        <w:pStyle w:val="Default"/>
        <w:jc w:val="both"/>
        <w:rPr>
          <w:rFonts w:asciiTheme="minorHAnsi" w:hAnsiTheme="minorHAnsi" w:cstheme="minorHAnsi"/>
          <w:color w:val="auto"/>
          <w:sz w:val="22"/>
          <w:szCs w:val="22"/>
        </w:rPr>
      </w:pPr>
    </w:p>
    <w:p w:rsidR="00E316AA" w:rsidRPr="00335191" w:rsidRDefault="002D1652" w:rsidP="00E316AA">
      <w:pPr>
        <w:pStyle w:val="Default"/>
        <w:jc w:val="both"/>
        <w:rPr>
          <w:rFonts w:asciiTheme="minorHAnsi" w:hAnsiTheme="minorHAnsi" w:cstheme="minorHAnsi"/>
          <w:color w:val="auto"/>
          <w:sz w:val="22"/>
          <w:szCs w:val="22"/>
        </w:rPr>
      </w:pPr>
      <w:r w:rsidRPr="00335191">
        <w:rPr>
          <w:rFonts w:asciiTheme="minorHAnsi" w:hAnsiTheme="minorHAnsi" w:cstheme="minorHAnsi"/>
          <w:b/>
          <w:color w:val="auto"/>
          <w:sz w:val="22"/>
          <w:szCs w:val="22"/>
        </w:rPr>
        <w:t>e</w:t>
      </w:r>
      <w:r w:rsidR="00E316AA" w:rsidRPr="00335191">
        <w:rPr>
          <w:rFonts w:asciiTheme="minorHAnsi" w:hAnsiTheme="minorHAnsi" w:cstheme="minorHAnsi"/>
          <w:b/>
          <w:color w:val="auto"/>
          <w:sz w:val="22"/>
          <w:szCs w:val="22"/>
        </w:rPr>
        <w:t>) Vypracování souhrnného položkového soupisu stavebních prací včetně „slepého“ výkazu výměr a vypracování oceněného výkazu výměr</w:t>
      </w:r>
      <w:r w:rsidR="00E316AA" w:rsidRPr="00335191">
        <w:rPr>
          <w:rFonts w:asciiTheme="minorHAnsi" w:hAnsiTheme="minorHAnsi" w:cstheme="minorHAnsi"/>
          <w:color w:val="auto"/>
          <w:sz w:val="22"/>
          <w:szCs w:val="22"/>
        </w:rPr>
        <w:t>, dle vyhlášky č. 169/2016 Sb., o</w:t>
      </w:r>
      <w:r w:rsidR="00E316AA" w:rsidRPr="00335191">
        <w:rPr>
          <w:rFonts w:asciiTheme="minorHAnsi" w:hAnsiTheme="minorHAnsi" w:cstheme="minorHAnsi"/>
          <w:color w:val="auto"/>
        </w:rPr>
        <w:t> </w:t>
      </w:r>
      <w:r w:rsidR="00E316AA" w:rsidRPr="00335191">
        <w:rPr>
          <w:rFonts w:asciiTheme="minorHAnsi" w:hAnsiTheme="minorHAnsi" w:cstheme="minorHAnsi"/>
          <w:color w:val="auto"/>
          <w:sz w:val="22"/>
          <w:szCs w:val="22"/>
        </w:rPr>
        <w:t xml:space="preserve">stanovení rozsahu dokumentace veřejné zakázky na stavební práce a soupisu stavebních prací, dodávek a služeb s výkazem výměr, v platném znění, jako podklad pro provedení veřejné zakázky. </w:t>
      </w:r>
    </w:p>
    <w:p w:rsidR="00E316AA" w:rsidRPr="00335191" w:rsidRDefault="004248A0" w:rsidP="00E316AA">
      <w:pPr>
        <w:pStyle w:val="Default"/>
        <w:spacing w:after="17"/>
        <w:jc w:val="both"/>
        <w:rPr>
          <w:rFonts w:asciiTheme="minorHAnsi" w:hAnsiTheme="minorHAnsi" w:cstheme="minorHAnsi"/>
          <w:color w:val="auto"/>
          <w:sz w:val="22"/>
          <w:szCs w:val="22"/>
        </w:rPr>
      </w:pPr>
      <w:r w:rsidRPr="00335191">
        <w:rPr>
          <w:rFonts w:asciiTheme="minorHAnsi" w:hAnsiTheme="minorHAnsi" w:cstheme="minorHAnsi"/>
          <w:b/>
          <w:color w:val="auto"/>
          <w:sz w:val="22"/>
          <w:szCs w:val="22"/>
        </w:rPr>
        <w:lastRenderedPageBreak/>
        <w:t>f</w:t>
      </w:r>
      <w:r w:rsidR="00E316AA" w:rsidRPr="00335191">
        <w:rPr>
          <w:rFonts w:asciiTheme="minorHAnsi" w:hAnsiTheme="minorHAnsi" w:cstheme="minorHAnsi"/>
          <w:b/>
          <w:color w:val="auto"/>
          <w:sz w:val="22"/>
          <w:szCs w:val="22"/>
        </w:rPr>
        <w:t>) Provádění autorského dozoru</w:t>
      </w:r>
      <w:r w:rsidR="00E316AA" w:rsidRPr="00335191">
        <w:rPr>
          <w:rFonts w:asciiTheme="minorHAnsi" w:hAnsiTheme="minorHAnsi" w:cstheme="minorHAnsi"/>
          <w:color w:val="auto"/>
          <w:sz w:val="22"/>
          <w:szCs w:val="22"/>
        </w:rPr>
        <w:t xml:space="preserve"> (dále jen AD) při realizaci akce:</w:t>
      </w:r>
    </w:p>
    <w:p w:rsidR="00E316AA" w:rsidRPr="00335191" w:rsidRDefault="00E316AA" w:rsidP="00E316AA">
      <w:pPr>
        <w:pStyle w:val="Default"/>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Provádění AD bude zajištěno zejména v rozsahu: </w:t>
      </w:r>
    </w:p>
    <w:p w:rsidR="00E316AA" w:rsidRPr="00335191" w:rsidRDefault="00E316AA" w:rsidP="00E316AA">
      <w:pPr>
        <w:pStyle w:val="Default"/>
        <w:numPr>
          <w:ilvl w:val="0"/>
          <w:numId w:val="10"/>
        </w:numPr>
        <w:spacing w:after="14"/>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kontrola dodržování dokumentace DSP a DPS v průběhu realizace akce, jak z hlediska vlastního provádění, tak také z hlediska postupu a respektování podmínek, </w:t>
      </w:r>
    </w:p>
    <w:p w:rsidR="00E316AA" w:rsidRPr="00335191" w:rsidRDefault="00E316AA" w:rsidP="00E316AA">
      <w:pPr>
        <w:pStyle w:val="Default"/>
        <w:numPr>
          <w:ilvl w:val="0"/>
          <w:numId w:val="10"/>
        </w:numPr>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posuzování návrhů dodavatele akce na případné odchylky a změny týkající se dokumentace,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operativní zpracování návrhů přijatých drobných úprav a změn dokumentace a projednání postupů a podmínek prací na změnách většího rozsahu, včetně účasti na souvisejících změnových řízeních,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účast na kontrolních dnech akce,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účast na místě plnění dle požadavků zadavatele,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účast na veřejnoprávních řízeních a jednáních za účelem ujasnění nebo vysvětlení souvislostí s příslušnou částí dokumentace, popř. s jejími navrhovanými či přijatými změnami,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dozor při případném zpracování výrobní dokumentace k zabezpečení souladu s</w:t>
      </w:r>
      <w:r w:rsidRPr="00335191">
        <w:rPr>
          <w:rFonts w:asciiTheme="minorHAnsi" w:hAnsiTheme="minorHAnsi" w:cstheme="minorHAnsi"/>
          <w:color w:val="auto"/>
        </w:rPr>
        <w:t> </w:t>
      </w:r>
      <w:r w:rsidRPr="00335191">
        <w:rPr>
          <w:rFonts w:asciiTheme="minorHAnsi" w:hAnsiTheme="minorHAnsi" w:cstheme="minorHAnsi"/>
          <w:color w:val="auto"/>
          <w:sz w:val="22"/>
          <w:szCs w:val="22"/>
        </w:rPr>
        <w:t xml:space="preserve">dokumentací DSP a DPS,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bezodkladné informování zadavatele o jakýchkoli chybách či nedostatcích zjištěných během dozoru a zpracování návrhů na jejich odstranění,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kontrola dokumentace skutečného provedení akce, protokolů a dokladů o provedených zkouškách,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spolupráce s pracovníkem technického dozoru investora a koordinátorem bezpečnosti práce na staveništi v průběhu provádění akce,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další potřebné činnosti ke kompletnímu a zdárnému dokončení veřejné zakázky,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spolupráce při zajištění přejímacího řízení,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dohled nad odstraněním vad a nedodělků, </w:t>
      </w:r>
    </w:p>
    <w:p w:rsidR="00E316AA" w:rsidRPr="00335191" w:rsidRDefault="00E316AA" w:rsidP="00E316AA">
      <w:pPr>
        <w:pStyle w:val="Default"/>
        <w:numPr>
          <w:ilvl w:val="0"/>
          <w:numId w:val="10"/>
        </w:numPr>
        <w:spacing w:after="17"/>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vedení záznamů o provádění AD ve stavebním deníku, </w:t>
      </w:r>
    </w:p>
    <w:p w:rsidR="00E316AA" w:rsidRPr="00335191" w:rsidRDefault="00E316AA" w:rsidP="00E316AA">
      <w:pPr>
        <w:pStyle w:val="Default"/>
        <w:numPr>
          <w:ilvl w:val="0"/>
          <w:numId w:val="10"/>
        </w:numPr>
        <w:ind w:left="426"/>
        <w:jc w:val="both"/>
        <w:rPr>
          <w:rFonts w:asciiTheme="minorHAnsi" w:hAnsiTheme="minorHAnsi" w:cstheme="minorHAnsi"/>
          <w:color w:val="auto"/>
          <w:sz w:val="22"/>
          <w:szCs w:val="22"/>
        </w:rPr>
      </w:pPr>
      <w:r w:rsidRPr="00335191">
        <w:rPr>
          <w:rFonts w:asciiTheme="minorHAnsi" w:hAnsiTheme="minorHAnsi" w:cstheme="minorHAnsi"/>
          <w:color w:val="auto"/>
          <w:sz w:val="22"/>
          <w:szCs w:val="22"/>
        </w:rPr>
        <w:t xml:space="preserve">zpracování závěrečné zprávy autorského dozoru s prohlášením, že veřejná zakázka byla provedena dle zpracované dokumentace, včetně změn schválených v průběhu realizace akce. </w:t>
      </w:r>
    </w:p>
    <w:p w:rsidR="00E316AA" w:rsidRPr="004248A0" w:rsidRDefault="00E316AA" w:rsidP="00E316AA">
      <w:pPr>
        <w:jc w:val="both"/>
        <w:rPr>
          <w:rFonts w:cstheme="minorHAnsi"/>
        </w:rPr>
      </w:pPr>
    </w:p>
    <w:p w:rsidR="00E316AA" w:rsidRPr="004248A0" w:rsidRDefault="00E316AA" w:rsidP="00E316AA">
      <w:pPr>
        <w:rPr>
          <w:rFonts w:eastAsia="Calibri" w:cstheme="minorHAnsi"/>
        </w:rPr>
      </w:pPr>
    </w:p>
    <w:sectPr w:rsidR="00E316AA" w:rsidRPr="004248A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9EA" w:rsidRDefault="001279EA" w:rsidP="001279EA">
      <w:pPr>
        <w:spacing w:after="0" w:line="240" w:lineRule="auto"/>
      </w:pPr>
      <w:r>
        <w:separator/>
      </w:r>
    </w:p>
  </w:endnote>
  <w:endnote w:type="continuationSeparator" w:id="0">
    <w:p w:rsidR="001279EA" w:rsidRDefault="001279EA" w:rsidP="0012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558201"/>
      <w:docPartObj>
        <w:docPartGallery w:val="Page Numbers (Bottom of Page)"/>
        <w:docPartUnique/>
      </w:docPartObj>
    </w:sdtPr>
    <w:sdtEndPr/>
    <w:sdtContent>
      <w:p w:rsidR="001279EA" w:rsidRDefault="001279EA">
        <w:pPr>
          <w:pStyle w:val="Zpat"/>
          <w:jc w:val="center"/>
        </w:pPr>
        <w:r>
          <w:fldChar w:fldCharType="begin"/>
        </w:r>
        <w:r>
          <w:instrText>PAGE   \* MERGEFORMAT</w:instrText>
        </w:r>
        <w:r>
          <w:fldChar w:fldCharType="separate"/>
        </w:r>
        <w:r>
          <w:t>2</w:t>
        </w:r>
        <w:r>
          <w:fldChar w:fldCharType="end"/>
        </w:r>
      </w:p>
    </w:sdtContent>
  </w:sdt>
  <w:p w:rsidR="001279EA" w:rsidRDefault="001279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9EA" w:rsidRDefault="001279EA" w:rsidP="001279EA">
      <w:pPr>
        <w:spacing w:after="0" w:line="240" w:lineRule="auto"/>
      </w:pPr>
      <w:r>
        <w:separator/>
      </w:r>
    </w:p>
  </w:footnote>
  <w:footnote w:type="continuationSeparator" w:id="0">
    <w:p w:rsidR="001279EA" w:rsidRDefault="001279EA" w:rsidP="00127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BFF"/>
    <w:multiLevelType w:val="hybridMultilevel"/>
    <w:tmpl w:val="3DEC1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B3C44"/>
    <w:multiLevelType w:val="hybridMultilevel"/>
    <w:tmpl w:val="2AE6299E"/>
    <w:lvl w:ilvl="0" w:tplc="EF7860E6">
      <w:start w:val="1"/>
      <w:numFmt w:val="decimal"/>
      <w:lvlText w:val="%1."/>
      <w:lvlJc w:val="left"/>
      <w:pPr>
        <w:ind w:left="720" w:hanging="360"/>
      </w:pPr>
      <w:rPr>
        <w:rFonts w:asciiTheme="minorHAnsi" w:eastAsiaTheme="minorHAnsi" w:hAnsiTheme="minorHAnsi"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4A7659"/>
    <w:multiLevelType w:val="hybridMultilevel"/>
    <w:tmpl w:val="2AE6299E"/>
    <w:lvl w:ilvl="0" w:tplc="EF7860E6">
      <w:start w:val="1"/>
      <w:numFmt w:val="decimal"/>
      <w:lvlText w:val="%1."/>
      <w:lvlJc w:val="left"/>
      <w:pPr>
        <w:ind w:left="720" w:hanging="360"/>
      </w:pPr>
      <w:rPr>
        <w:rFonts w:asciiTheme="minorHAnsi" w:eastAsiaTheme="minorHAnsi" w:hAnsiTheme="minorHAnsi"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155205"/>
    <w:multiLevelType w:val="hybridMultilevel"/>
    <w:tmpl w:val="2E640C7C"/>
    <w:lvl w:ilvl="0" w:tplc="9C5CF19A">
      <w:start w:val="1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E9051B"/>
    <w:multiLevelType w:val="hybridMultilevel"/>
    <w:tmpl w:val="300473AA"/>
    <w:lvl w:ilvl="0" w:tplc="04050001">
      <w:start w:val="1"/>
      <w:numFmt w:val="bullet"/>
      <w:lvlText w:val=""/>
      <w:lvlJc w:val="left"/>
      <w:pPr>
        <w:ind w:left="720" w:hanging="360"/>
      </w:pPr>
      <w:rPr>
        <w:rFonts w:ascii="Symbol" w:hAnsi="Symbol"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21D14"/>
    <w:multiLevelType w:val="hybridMultilevel"/>
    <w:tmpl w:val="6B8EA7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69014F"/>
    <w:multiLevelType w:val="hybridMultilevel"/>
    <w:tmpl w:val="99C0D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54481E"/>
    <w:multiLevelType w:val="hybridMultilevel"/>
    <w:tmpl w:val="5C1AE21A"/>
    <w:lvl w:ilvl="0" w:tplc="949A4E5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A41842"/>
    <w:multiLevelType w:val="hybridMultilevel"/>
    <w:tmpl w:val="9306C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942165"/>
    <w:multiLevelType w:val="hybridMultilevel"/>
    <w:tmpl w:val="D264D2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7"/>
  </w:num>
  <w:num w:numId="7">
    <w:abstractNumId w:val="2"/>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47"/>
    <w:rsid w:val="00001850"/>
    <w:rsid w:val="00001F79"/>
    <w:rsid w:val="0001136B"/>
    <w:rsid w:val="00025B99"/>
    <w:rsid w:val="000412F0"/>
    <w:rsid w:val="00044A2A"/>
    <w:rsid w:val="00045766"/>
    <w:rsid w:val="000604C0"/>
    <w:rsid w:val="00076601"/>
    <w:rsid w:val="000820B0"/>
    <w:rsid w:val="0008531F"/>
    <w:rsid w:val="0009537B"/>
    <w:rsid w:val="000B031A"/>
    <w:rsid w:val="000D6258"/>
    <w:rsid w:val="000E5045"/>
    <w:rsid w:val="000F10E5"/>
    <w:rsid w:val="000F5BCF"/>
    <w:rsid w:val="00102681"/>
    <w:rsid w:val="0012484D"/>
    <w:rsid w:val="001279EA"/>
    <w:rsid w:val="00153198"/>
    <w:rsid w:val="001533F5"/>
    <w:rsid w:val="00173A34"/>
    <w:rsid w:val="001A2C38"/>
    <w:rsid w:val="001B23C7"/>
    <w:rsid w:val="001B40CD"/>
    <w:rsid w:val="001C65C9"/>
    <w:rsid w:val="001D7D6A"/>
    <w:rsid w:val="001F52C1"/>
    <w:rsid w:val="00212DAC"/>
    <w:rsid w:val="002203F5"/>
    <w:rsid w:val="0022460A"/>
    <w:rsid w:val="0023000E"/>
    <w:rsid w:val="0024509B"/>
    <w:rsid w:val="00254B75"/>
    <w:rsid w:val="002824D6"/>
    <w:rsid w:val="002B273A"/>
    <w:rsid w:val="002C4213"/>
    <w:rsid w:val="002C7989"/>
    <w:rsid w:val="002D1652"/>
    <w:rsid w:val="002F2BAA"/>
    <w:rsid w:val="002F30F7"/>
    <w:rsid w:val="00301292"/>
    <w:rsid w:val="00307AA4"/>
    <w:rsid w:val="0032614F"/>
    <w:rsid w:val="00335191"/>
    <w:rsid w:val="00342E8D"/>
    <w:rsid w:val="00350D4A"/>
    <w:rsid w:val="00354F65"/>
    <w:rsid w:val="00360416"/>
    <w:rsid w:val="003717A8"/>
    <w:rsid w:val="0037675F"/>
    <w:rsid w:val="00392B08"/>
    <w:rsid w:val="003C7644"/>
    <w:rsid w:val="003D2E0D"/>
    <w:rsid w:val="003D7B93"/>
    <w:rsid w:val="003E425F"/>
    <w:rsid w:val="003E6CB4"/>
    <w:rsid w:val="003F4A2D"/>
    <w:rsid w:val="0040242C"/>
    <w:rsid w:val="00406616"/>
    <w:rsid w:val="00413324"/>
    <w:rsid w:val="004248A0"/>
    <w:rsid w:val="004346E2"/>
    <w:rsid w:val="00435DBC"/>
    <w:rsid w:val="004417EC"/>
    <w:rsid w:val="00456AA5"/>
    <w:rsid w:val="00471D2C"/>
    <w:rsid w:val="00483347"/>
    <w:rsid w:val="00486FDF"/>
    <w:rsid w:val="004902E2"/>
    <w:rsid w:val="004B01C6"/>
    <w:rsid w:val="004F0FBF"/>
    <w:rsid w:val="004F2474"/>
    <w:rsid w:val="00512305"/>
    <w:rsid w:val="005310BD"/>
    <w:rsid w:val="005507B8"/>
    <w:rsid w:val="00555253"/>
    <w:rsid w:val="005656D1"/>
    <w:rsid w:val="005660C9"/>
    <w:rsid w:val="00571BB0"/>
    <w:rsid w:val="00591DDA"/>
    <w:rsid w:val="00592060"/>
    <w:rsid w:val="00594639"/>
    <w:rsid w:val="005A556B"/>
    <w:rsid w:val="005C4EF4"/>
    <w:rsid w:val="005E1CB3"/>
    <w:rsid w:val="00600268"/>
    <w:rsid w:val="0061777B"/>
    <w:rsid w:val="00624364"/>
    <w:rsid w:val="00636CB0"/>
    <w:rsid w:val="00637AF3"/>
    <w:rsid w:val="00637CF1"/>
    <w:rsid w:val="00671FCC"/>
    <w:rsid w:val="00673CC1"/>
    <w:rsid w:val="006876CB"/>
    <w:rsid w:val="006A5719"/>
    <w:rsid w:val="006C7623"/>
    <w:rsid w:val="006D28F4"/>
    <w:rsid w:val="006F40F1"/>
    <w:rsid w:val="006F69AD"/>
    <w:rsid w:val="00704D9B"/>
    <w:rsid w:val="00714B98"/>
    <w:rsid w:val="007151F5"/>
    <w:rsid w:val="0072487C"/>
    <w:rsid w:val="00742C20"/>
    <w:rsid w:val="00767B54"/>
    <w:rsid w:val="0077163C"/>
    <w:rsid w:val="00787E01"/>
    <w:rsid w:val="007A03C9"/>
    <w:rsid w:val="007A30F7"/>
    <w:rsid w:val="007B371C"/>
    <w:rsid w:val="007C0D40"/>
    <w:rsid w:val="007D1D01"/>
    <w:rsid w:val="007D42F8"/>
    <w:rsid w:val="007D73E3"/>
    <w:rsid w:val="007E78C9"/>
    <w:rsid w:val="007F2DBC"/>
    <w:rsid w:val="00803DC3"/>
    <w:rsid w:val="00810038"/>
    <w:rsid w:val="0082365F"/>
    <w:rsid w:val="008552D5"/>
    <w:rsid w:val="00864AB5"/>
    <w:rsid w:val="008817A8"/>
    <w:rsid w:val="00883697"/>
    <w:rsid w:val="00892FE5"/>
    <w:rsid w:val="008A5BCC"/>
    <w:rsid w:val="008A69AB"/>
    <w:rsid w:val="008D0AF3"/>
    <w:rsid w:val="008D429E"/>
    <w:rsid w:val="008D6D3D"/>
    <w:rsid w:val="00900EFC"/>
    <w:rsid w:val="00901BF0"/>
    <w:rsid w:val="009154C1"/>
    <w:rsid w:val="009465F9"/>
    <w:rsid w:val="00964DC2"/>
    <w:rsid w:val="0097604E"/>
    <w:rsid w:val="00990EE6"/>
    <w:rsid w:val="009A243C"/>
    <w:rsid w:val="009A65F4"/>
    <w:rsid w:val="009B3271"/>
    <w:rsid w:val="009F30DD"/>
    <w:rsid w:val="00A01B39"/>
    <w:rsid w:val="00A068BE"/>
    <w:rsid w:val="00A10972"/>
    <w:rsid w:val="00A31634"/>
    <w:rsid w:val="00A3233B"/>
    <w:rsid w:val="00A437AE"/>
    <w:rsid w:val="00A62FC0"/>
    <w:rsid w:val="00A67729"/>
    <w:rsid w:val="00AA0105"/>
    <w:rsid w:val="00AB5609"/>
    <w:rsid w:val="00AC0E3F"/>
    <w:rsid w:val="00AD0916"/>
    <w:rsid w:val="00AF76EF"/>
    <w:rsid w:val="00B05ABE"/>
    <w:rsid w:val="00B160E2"/>
    <w:rsid w:val="00B24AC7"/>
    <w:rsid w:val="00B33338"/>
    <w:rsid w:val="00B53D42"/>
    <w:rsid w:val="00B67DC7"/>
    <w:rsid w:val="00BA1E53"/>
    <w:rsid w:val="00BB358A"/>
    <w:rsid w:val="00BD4F06"/>
    <w:rsid w:val="00C058B4"/>
    <w:rsid w:val="00C21094"/>
    <w:rsid w:val="00C33F36"/>
    <w:rsid w:val="00C65892"/>
    <w:rsid w:val="00C67D3F"/>
    <w:rsid w:val="00C73CD9"/>
    <w:rsid w:val="00C73F96"/>
    <w:rsid w:val="00C77DCA"/>
    <w:rsid w:val="00C85091"/>
    <w:rsid w:val="00C929EC"/>
    <w:rsid w:val="00C9773D"/>
    <w:rsid w:val="00CB4C68"/>
    <w:rsid w:val="00CB64C5"/>
    <w:rsid w:val="00CB6F40"/>
    <w:rsid w:val="00CC7652"/>
    <w:rsid w:val="00D04264"/>
    <w:rsid w:val="00D1424A"/>
    <w:rsid w:val="00D42A75"/>
    <w:rsid w:val="00D46565"/>
    <w:rsid w:val="00D465B5"/>
    <w:rsid w:val="00D71143"/>
    <w:rsid w:val="00D916E5"/>
    <w:rsid w:val="00DA7D71"/>
    <w:rsid w:val="00DB1512"/>
    <w:rsid w:val="00DC4605"/>
    <w:rsid w:val="00DE3958"/>
    <w:rsid w:val="00DE5330"/>
    <w:rsid w:val="00E0351E"/>
    <w:rsid w:val="00E071B8"/>
    <w:rsid w:val="00E316AA"/>
    <w:rsid w:val="00E52610"/>
    <w:rsid w:val="00E621A2"/>
    <w:rsid w:val="00E6733B"/>
    <w:rsid w:val="00E708C0"/>
    <w:rsid w:val="00E85007"/>
    <w:rsid w:val="00EA171F"/>
    <w:rsid w:val="00EB52A8"/>
    <w:rsid w:val="00EC21B7"/>
    <w:rsid w:val="00EC3AA5"/>
    <w:rsid w:val="00EF4324"/>
    <w:rsid w:val="00F0490E"/>
    <w:rsid w:val="00F06448"/>
    <w:rsid w:val="00F1568B"/>
    <w:rsid w:val="00F17540"/>
    <w:rsid w:val="00F4172D"/>
    <w:rsid w:val="00F41FED"/>
    <w:rsid w:val="00F711C9"/>
    <w:rsid w:val="00F75455"/>
    <w:rsid w:val="00FA0293"/>
    <w:rsid w:val="00FA4D5C"/>
    <w:rsid w:val="00FB0D8C"/>
    <w:rsid w:val="00FB0F5E"/>
    <w:rsid w:val="00FF66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1B741-5CE0-44B3-8F28-61D0BB46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1634"/>
    <w:pPr>
      <w:ind w:left="720"/>
      <w:contextualSpacing/>
    </w:pPr>
  </w:style>
  <w:style w:type="paragraph" w:styleId="Zhlav">
    <w:name w:val="header"/>
    <w:basedOn w:val="Normln"/>
    <w:link w:val="ZhlavChar"/>
    <w:uiPriority w:val="99"/>
    <w:unhideWhenUsed/>
    <w:rsid w:val="001279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79EA"/>
  </w:style>
  <w:style w:type="paragraph" w:styleId="Zpat">
    <w:name w:val="footer"/>
    <w:basedOn w:val="Normln"/>
    <w:link w:val="ZpatChar"/>
    <w:uiPriority w:val="99"/>
    <w:unhideWhenUsed/>
    <w:rsid w:val="001279EA"/>
    <w:pPr>
      <w:tabs>
        <w:tab w:val="center" w:pos="4536"/>
        <w:tab w:val="right" w:pos="9072"/>
      </w:tabs>
      <w:spacing w:after="0" w:line="240" w:lineRule="auto"/>
    </w:pPr>
  </w:style>
  <w:style w:type="character" w:customStyle="1" w:styleId="ZpatChar">
    <w:name w:val="Zápatí Char"/>
    <w:basedOn w:val="Standardnpsmoodstavce"/>
    <w:link w:val="Zpat"/>
    <w:uiPriority w:val="99"/>
    <w:rsid w:val="001279EA"/>
  </w:style>
  <w:style w:type="character" w:styleId="Hypertextovodkaz">
    <w:name w:val="Hyperlink"/>
    <w:basedOn w:val="Standardnpsmoodstavce"/>
    <w:uiPriority w:val="99"/>
    <w:semiHidden/>
    <w:unhideWhenUsed/>
    <w:rsid w:val="00001850"/>
    <w:rPr>
      <w:color w:val="0000FF"/>
      <w:u w:val="single"/>
    </w:rPr>
  </w:style>
  <w:style w:type="paragraph" w:customStyle="1" w:styleId="Default">
    <w:name w:val="Default"/>
    <w:rsid w:val="00E316AA"/>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71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516922">
      <w:bodyDiv w:val="1"/>
      <w:marLeft w:val="0"/>
      <w:marRight w:val="0"/>
      <w:marTop w:val="0"/>
      <w:marBottom w:val="0"/>
      <w:divBdr>
        <w:top w:val="none" w:sz="0" w:space="0" w:color="auto"/>
        <w:left w:val="none" w:sz="0" w:space="0" w:color="auto"/>
        <w:bottom w:val="none" w:sz="0" w:space="0" w:color="auto"/>
        <w:right w:val="none" w:sz="0" w:space="0" w:color="auto"/>
      </w:divBdr>
    </w:div>
    <w:div w:id="842358923">
      <w:bodyDiv w:val="1"/>
      <w:marLeft w:val="0"/>
      <w:marRight w:val="0"/>
      <w:marTop w:val="0"/>
      <w:marBottom w:val="0"/>
      <w:divBdr>
        <w:top w:val="none" w:sz="0" w:space="0" w:color="auto"/>
        <w:left w:val="none" w:sz="0" w:space="0" w:color="auto"/>
        <w:bottom w:val="none" w:sz="0" w:space="0" w:color="auto"/>
        <w:right w:val="none" w:sz="0" w:space="0" w:color="auto"/>
      </w:divBdr>
    </w:div>
    <w:div w:id="1027371518">
      <w:bodyDiv w:val="1"/>
      <w:marLeft w:val="0"/>
      <w:marRight w:val="0"/>
      <w:marTop w:val="0"/>
      <w:marBottom w:val="0"/>
      <w:divBdr>
        <w:top w:val="none" w:sz="0" w:space="0" w:color="auto"/>
        <w:left w:val="none" w:sz="0" w:space="0" w:color="auto"/>
        <w:bottom w:val="none" w:sz="0" w:space="0" w:color="auto"/>
        <w:right w:val="none" w:sz="0" w:space="0" w:color="auto"/>
      </w:divBdr>
    </w:div>
    <w:div w:id="1767846009">
      <w:bodyDiv w:val="1"/>
      <w:marLeft w:val="0"/>
      <w:marRight w:val="0"/>
      <w:marTop w:val="0"/>
      <w:marBottom w:val="0"/>
      <w:divBdr>
        <w:top w:val="none" w:sz="0" w:space="0" w:color="auto"/>
        <w:left w:val="none" w:sz="0" w:space="0" w:color="auto"/>
        <w:bottom w:val="none" w:sz="0" w:space="0" w:color="auto"/>
        <w:right w:val="none" w:sz="0" w:space="0" w:color="auto"/>
      </w:divBdr>
    </w:div>
    <w:div w:id="19951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3623</Words>
  <Characters>21376</Characters>
  <Application>Microsoft Office Word</Application>
  <DocSecurity>4</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 Martin</dc:creator>
  <cp:keywords/>
  <dc:description/>
  <cp:lastModifiedBy>Altmannová Petra</cp:lastModifiedBy>
  <cp:revision>2</cp:revision>
  <cp:lastPrinted>2024-07-25T13:33:00Z</cp:lastPrinted>
  <dcterms:created xsi:type="dcterms:W3CDTF">2024-07-30T05:08:00Z</dcterms:created>
  <dcterms:modified xsi:type="dcterms:W3CDTF">2024-07-30T05:08:00Z</dcterms:modified>
</cp:coreProperties>
</file>