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Divadlo Archa, o.p.s. 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se sídlem Na Poříčí 26/1047, Praha 1, 110 00</w:t>
      </w:r>
    </w:p>
    <w:p>
      <w:pPr>
        <w:pStyle w:val="Normal"/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zastoupená Jindřichem Krippnerem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, </w:t>
      </w:r>
      <w:r>
        <w:rPr>
          <w:rFonts w:eastAsia="Arial" w:cs="Arial" w:ascii="Arial" w:hAnsi="Arial"/>
          <w:color w:val="000000"/>
          <w:sz w:val="22"/>
          <w:szCs w:val="22"/>
        </w:rPr>
        <w:t>ředitelem společnosti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IČO: 26723000, DIČ: CZ26723000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(dále jen ARCHA+) </w:t>
      </w:r>
    </w:p>
    <w:p>
      <w:pPr>
        <w:pStyle w:val="Normal"/>
        <w:ind w:right="-22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Viktor Ekrt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color w:val="000000"/>
          <w:highlight w:val="none"/>
          <w:shd w:fill="000000" w:val="clear"/>
        </w:rPr>
      </w:pP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>se sídlem Lysolajské údolí 33/22, 16500, Praha 6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IČO: 64768643, DIČ: CZ7502090431</w:t>
      </w:r>
    </w:p>
    <w:p>
      <w:pPr>
        <w:pStyle w:val="Normal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bankovní spojení: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>1122959003/0800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kontaktní osoba pořadate:</w:t>
      </w:r>
      <w:r>
        <w:rPr>
          <w:rFonts w:eastAsia="Arial" w:cs="Arial" w:ascii="Arial" w:hAnsi="Arial"/>
          <w:color w:val="222222"/>
          <w:sz w:val="22"/>
          <w:szCs w:val="22"/>
          <w:highlight w:val="white"/>
        </w:rPr>
        <w:t xml:space="preserve"> </w:t>
      </w:r>
      <w:hyperlink r:id="rId2">
        <w:r>
          <w:rPr>
            <w:rStyle w:val="ListLabel64"/>
            <w:rFonts w:eastAsia="Arial" w:cs="Arial" w:ascii="Arial" w:hAnsi="Arial"/>
            <w:color w:val="000000"/>
            <w:sz w:val="22"/>
            <w:szCs w:val="22"/>
            <w:u w:val="single"/>
            <w:shd w:fill="000000" w:val="clear"/>
          </w:rPr>
          <w:t>viktorekrt@gmail.com</w:t>
        </w:r>
      </w:hyperlink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(dále jen Pořadatel)</w:t>
      </w:r>
    </w:p>
    <w:p>
      <w:pPr>
        <w:pStyle w:val="Normal"/>
        <w:ind w:right="-226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uzavírají podle § 1746 odst. 2 zákona č. 89/2012 Sb., občanského zákoníku níže uvedeného dne, měsíce a roku tuto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  <w:bookmarkStart w:id="0" w:name="_heading=h.gjdgxs"/>
      <w:bookmarkStart w:id="1" w:name="_heading=h.gjdgxs"/>
      <w:bookmarkEnd w:id="1"/>
    </w:p>
    <w:p>
      <w:pPr>
        <w:pStyle w:val="Normal"/>
        <w:ind w:right="-22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SMLOUVU O SPOLUPRÁCI PŘI USPOŘÁDÁNÍ KONCERTU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Předmět smlouvy 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Předmětem této smlouvy je vzájemná spolupráce smluvních stran při přípravě a realizaci koncertu hudební skupiny Hm…. (dále jen Kapela) v prostoru ARCHA+. Koncert se uskuteční 13. 9. 2024 od 20 hodin (dále jen Koncert). </w:t>
      </w:r>
    </w:p>
    <w:p>
      <w:pPr>
        <w:pStyle w:val="Normal"/>
        <w:numPr>
          <w:ilvl w:val="0"/>
          <w:numId w:val="1"/>
        </w:numPr>
        <w:ind w:hanging="36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Tato smlouva upravuje vzájemná práva a povinnosti smluvních stran sjednané za účelem naplnění předmětu této smlouvy.  </w:t>
      </w:r>
    </w:p>
    <w:p>
      <w:pPr>
        <w:pStyle w:val="Normal"/>
        <w:ind w:right="-2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firstLine="708" w:left="3540" w:right="-22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II.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Práva a povinnosti ARCHA+ 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se zavazuje pro realizaci Koncertu poskytnout prostory (včetně dodávky energií a úklidu prostor), které budou sloužit pro přípravu a realizaci Koncertu v časech  dle předchozí dohody smluvních stran. Kontaktní osobou pro domluvu a případné změny v harmonogramu je Jakub Hykeš, 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 </w:t>
      </w:r>
      <w:hyperlink r:id="rId3">
        <w:r>
          <w:rPr>
            <w:rStyle w:val="ListLabel65"/>
            <w:rFonts w:eastAsia="Arial" w:cs="Arial" w:ascii="Arial" w:hAnsi="Arial"/>
            <w:color w:val="000000"/>
            <w:sz w:val="22"/>
            <w:szCs w:val="22"/>
            <w:u w:val="single"/>
            <w:shd w:fill="000000" w:val="clear"/>
          </w:rPr>
          <w:t>jakub.hykes@archa-plus.cz</w:t>
        </w:r>
      </w:hyperlink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>.</w:t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zajistí realizaci Koncertu po technické stránce (ozvučení, osvětlení, atd.) dle předem odsouhlasených technických požadavků. Pořadatel je seznámen s technickými možnostmi ARCHY+. </w:t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ARCHA+ zajistí produkční služby, pořadatelskou službu a požární asistenční hlídku.</w:t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zajistí předprodej vstupenek prostřednictvím internetového serveru GoOut (dále jen GoOut). Smluvní strany se dohodly na následujících cenách vstupného a slevách ze vstupného: 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sz w:val="22"/>
          <w:szCs w:val="22"/>
        </w:rPr>
        <w:t>Balkon - sezení | 25. 6. – 13. 9. 2024   || 550 Kč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sz w:val="22"/>
          <w:szCs w:val="22"/>
        </w:rPr>
        <w:t>Stání                  |25. 6. – 26 .6.2024    || 400 Kč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sz w:val="22"/>
          <w:szCs w:val="22"/>
        </w:rPr>
        <w:t>Stání                  |27. 6. – 12 .9.2024    || 450 Kč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sz w:val="22"/>
          <w:szCs w:val="22"/>
        </w:rPr>
        <w:t>Stání                  |13. 9. 2024                || 490 Kč</w:t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Stání Student     | do 12. 9. 2024          || 350 Kč </w:t>
      </w:r>
    </w:p>
    <w:p>
      <w:pPr>
        <w:pStyle w:val="Normal"/>
        <w:ind w:hanging="0" w:left="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eastAsia="Arial" w:cs="Arial" w:ascii="Arial" w:hAnsi="Arial"/>
          <w:sz w:val="22"/>
          <w:szCs w:val="22"/>
        </w:rPr>
        <w:t>Stání ZTP/P       | do 13. 9. 2024          || 225 Kč</w:t>
      </w:r>
    </w:p>
    <w:p>
      <w:pPr>
        <w:pStyle w:val="Normal"/>
        <w:ind w:hanging="0" w:left="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36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Vstupné z prodeje vstupenek náleží Pořadateli. ARCHA+ se zavazuje zaslat vyúčtování   prodeje vstupenek na Koncert do týdne od jeho konání, to je nejpozději 20. 9. 2024.   Pořadateli náleží čistá tržba ze vstupného, to je tržba z prodeje vstupenek po odečtení poplatků GoOut (včetně DPH).</w:t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ARCHA+ má právo využít volné vstupenky na Koncert v počtu dle vzájemné dohody smluvních stran. Kontaktní osobou pro jednání o vstupenkách je za ARCHU+ Barbora Prokopová –</w:t>
      </w:r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 bara.prokopova@archa-plus.cz, tel. 604 208 494. </w:t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ARCHA+ zajistí propagaci Koncertu všemi prostředky v obvyklém rozsahu. Kontaktní osobou v oblasti propagace je Jakub Sránský - </w:t>
      </w:r>
      <w:hyperlink r:id="rId4">
        <w:r>
          <w:rPr>
            <w:rStyle w:val="ListLabel65"/>
            <w:rFonts w:eastAsia="Arial" w:cs="Arial" w:ascii="Arial" w:hAnsi="Arial"/>
            <w:color w:val="000000"/>
            <w:sz w:val="22"/>
            <w:szCs w:val="22"/>
            <w:u w:val="single"/>
            <w:shd w:fill="000000" w:val="clear"/>
          </w:rPr>
          <w:t>jakub.stransky@archa-plus.cz</w:t>
        </w:r>
      </w:hyperlink>
      <w:r>
        <w:rPr>
          <w:rFonts w:eastAsia="Arial" w:cs="Arial" w:ascii="Arial" w:hAnsi="Arial"/>
          <w:color w:val="000000"/>
          <w:sz w:val="22"/>
          <w:szCs w:val="22"/>
          <w:shd w:fill="000000" w:val="clear"/>
        </w:rPr>
        <w:t xml:space="preserve">. </w:t>
      </w:r>
    </w:p>
    <w:p>
      <w:pPr>
        <w:pStyle w:val="Normal"/>
        <w:numPr>
          <w:ilvl w:val="0"/>
          <w:numId w:val="4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ARCHA+ se zavazuje podílet na úhradě nákladů souvisejících s uspořádáním Koncertu poskytnutím vybraných služeb dle článku II na vlastní náklady.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III.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Práva a povinnosti Pořadatele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Pořadatel zajistí kvalitní vystoupení Kapely na Koncertě a přípravu členů Kapely dle domluveného harmonogramu.  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Pořadatel zajistí a uhradí dopravu a případné ubytování členů Kapely a spolupracovníků Kapely.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Pořadatel vyplatí Kapele honoráře za umělecký výkon na základě samostatně uzavřených smluv.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Pořadatel uhradí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Pořadatel bude propagovat Koncert všemi prostředky dle svých možností v rámci svých komunikačních kanálů a poskytne ARŠE+ potřebné podklady k propagaci Koncertu. Pořadatel se zavazuje uvést na veškerých propagačních materiálech ke Koncertu logo prostoru ARCHA+ a text „Uvedeno ve spolupráci s ARCHA+“, nebo prezentovat ARCHU+ jiným způsobem</w:t>
      </w:r>
      <w:r>
        <w:rPr>
          <w:rFonts w:eastAsia="Arial Narrow" w:cs="Arial Narrow" w:ascii="Arial Narrow" w:hAnsi="Arial Narrow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dle dohody zástupců smluvních stran. </w:t>
      </w:r>
    </w:p>
    <w:p>
      <w:pPr>
        <w:pStyle w:val="Normal"/>
        <w:numPr>
          <w:ilvl w:val="0"/>
          <w:numId w:val="5"/>
        </w:numPr>
        <w:ind w:hanging="360" w:left="501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Pořadatel uhradí za služby dle článku II poskytnuté ARCHOU+ cenu dle článku IV.  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IV.</w:t>
      </w:r>
    </w:p>
    <w:p>
      <w:pPr>
        <w:pStyle w:val="Normal"/>
        <w:ind w:hanging="284" w:left="284"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Finanční a platební podmínky</w:t>
      </w:r>
    </w:p>
    <w:p>
      <w:pPr>
        <w:pStyle w:val="Normal"/>
        <w:ind w:hanging="284" w:left="284"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ind w:hanging="360" w:left="643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Smluvní strany se jako spolupořadatelé podílejí na uspořádání Koncertu formou zajištění vybraných služeb dle článků II a III na vlastní náklady.  </w:t>
      </w:r>
    </w:p>
    <w:p>
      <w:pPr>
        <w:pStyle w:val="Normal"/>
        <w:numPr>
          <w:ilvl w:val="0"/>
          <w:numId w:val="6"/>
        </w:numPr>
        <w:ind w:hanging="360" w:left="643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Nad rámec úhrady vlastních nákladů na zajištění služeb dle článku II ARCHOU+ uhradí Pořadatel zbývající část nákladů souvisejících se službami dle článku II ve výši 150.000 Kč (slovy: sto padesát tisíc  korun českých). Uvedené náklady budou uhrazeny na základě faktury vystavené ARCHOU+ do pěti dnů po uskutečnění Koncertu. </w:t>
      </w:r>
      <w:r>
        <w:rPr>
          <w:rFonts w:eastAsia="Arial" w:cs="Arial" w:ascii="Arial" w:hAnsi="Arial"/>
          <w:sz w:val="22"/>
          <w:szCs w:val="22"/>
          <w:highlight w:val="white"/>
        </w:rPr>
        <w:t>Splatnost faktury je 14 dnů.</w:t>
      </w:r>
    </w:p>
    <w:p>
      <w:pPr>
        <w:pStyle w:val="Normal"/>
        <w:numPr>
          <w:ilvl w:val="0"/>
          <w:numId w:val="6"/>
        </w:numPr>
        <w:ind w:hanging="360" w:left="643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Čisté tržby ze vstupného, tzn. celkové tržby z prodeje vstupenek po odečtení poplatků GoOut (včetně DPH) náleží Pořadateli. ARCHA+ zašle vyúčtování prodeje vstupenek nejpozději 20. 9. 2024 na adresu kontaktní osoby Pořadatele uvedené v záhlaví smlouvy. Po odsouhlasení vyúčtování odešle ARCHA+ částku ve výši čistých tržeb na účet Pořadatele uvedený v záhlaví smlouvy. Tržba bude odeslána bez zbytečného odkladu poté, co bude připsána serverem GoOut na účet ARCHY+. </w:t>
      </w:r>
    </w:p>
    <w:p>
      <w:pPr>
        <w:pStyle w:val="Normal"/>
        <w:numPr>
          <w:ilvl w:val="0"/>
          <w:numId w:val="6"/>
        </w:numPr>
        <w:ind w:hanging="360" w:left="643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Uhrazením </w:t>
      </w:r>
      <w:r>
        <w:rPr>
          <w:rFonts w:eastAsia="Arial" w:cs="Arial" w:ascii="Arial" w:hAnsi="Arial"/>
          <w:sz w:val="22"/>
          <w:szCs w:val="22"/>
        </w:rPr>
        <w:t>ceny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dle bodu </w:t>
      </w:r>
      <w:r>
        <w:rPr>
          <w:rFonts w:eastAsia="Arial" w:cs="Arial" w:ascii="Arial" w:hAnsi="Arial"/>
          <w:sz w:val="22"/>
          <w:szCs w:val="22"/>
        </w:rPr>
        <w:t>2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a tržeb dle bodu </w:t>
      </w:r>
      <w:r>
        <w:rPr>
          <w:rFonts w:eastAsia="Arial" w:cs="Arial" w:ascii="Arial" w:hAnsi="Arial"/>
          <w:sz w:val="22"/>
          <w:szCs w:val="22"/>
        </w:rPr>
        <w:t>3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budou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vyrovnány finanční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závazky smluvních stran vyplývajících z této sm</w:t>
      </w:r>
      <w:r>
        <w:rPr>
          <w:rFonts w:eastAsia="Arial" w:cs="Arial" w:ascii="Arial" w:hAnsi="Arial"/>
          <w:sz w:val="22"/>
          <w:szCs w:val="22"/>
        </w:rPr>
        <w:t>louvy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284"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Ostatní ujednání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ind w:hanging="360" w:left="72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Tato smlouva nabývá platnosti a účinnosti dnem podpisu oprávněnými zástupci obou smluvních stran a je uzavírána do doby vyrovnání veškerých vzájemných závazků z této smlouvy vyplývajících.</w:t>
      </w:r>
    </w:p>
    <w:p>
      <w:pPr>
        <w:pStyle w:val="Normal"/>
        <w:numPr>
          <w:ilvl w:val="0"/>
          <w:numId w:val="2"/>
        </w:numPr>
        <w:ind w:hanging="360" w:left="72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ARCHA+ umožní vstup do prostoru ARCHA+ spolupracovníkům</w:t>
      </w:r>
      <w:r>
        <w:rPr>
          <w:rFonts w:eastAsia="Arial" w:cs="Arial" w:ascii="Arial" w:hAnsi="Arial"/>
          <w:sz w:val="22"/>
          <w:szCs w:val="22"/>
        </w:rPr>
        <w:t xml:space="preserve"> Pořadatele na základě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seznamu dodaného </w:t>
      </w:r>
      <w:r>
        <w:rPr>
          <w:rFonts w:eastAsia="Arial" w:cs="Arial" w:ascii="Arial" w:hAnsi="Arial"/>
          <w:sz w:val="22"/>
          <w:szCs w:val="22"/>
        </w:rPr>
        <w:t>Pořadatelem nejpozději den před konáním Koncertu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2"/>
        </w:numPr>
        <w:ind w:hanging="360" w:left="72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Trebuchet MS" w:cs="Trebuchet MS" w:ascii="Trebuchet MS" w:hAnsi="Trebuchet MS"/>
          <w:color w:val="00000A"/>
          <w:sz w:val="20"/>
          <w:szCs w:val="20"/>
        </w:rPr>
        <w:t>V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případě, že se </w:t>
      </w:r>
      <w:r>
        <w:rPr>
          <w:rFonts w:eastAsia="Arial" w:cs="Arial" w:ascii="Arial" w:hAnsi="Arial"/>
          <w:sz w:val="22"/>
          <w:szCs w:val="22"/>
        </w:rPr>
        <w:t>K</w:t>
      </w:r>
      <w:r>
        <w:rPr>
          <w:rFonts w:eastAsia="Arial" w:cs="Arial" w:ascii="Arial" w:hAnsi="Arial"/>
          <w:color w:val="000000"/>
          <w:sz w:val="22"/>
          <w:szCs w:val="22"/>
        </w:rPr>
        <w:t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>
      <w:pPr>
        <w:pStyle w:val="Normal"/>
        <w:numPr>
          <w:ilvl w:val="0"/>
          <w:numId w:val="2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Pokud jedna ze stran odstoupí od smlouvy z důvodů na své straně, zavazuje se tato strana uhradit druhé straně náklady prokazatelně vynaložené do doby odstoupení od smlouvy související s přípravou Koncertu dle této smlouvy. Dále se odstupující strana zavazuje uhradit pokutu ve výš</w:t>
      </w:r>
      <w:r>
        <w:rPr>
          <w:rFonts w:eastAsia="Arial" w:cs="Arial" w:ascii="Arial" w:hAnsi="Arial"/>
          <w:sz w:val="22"/>
          <w:szCs w:val="22"/>
          <w:highlight w:val="white"/>
        </w:rPr>
        <w:t>i 50 000 Kč (s</w:t>
      </w:r>
      <w:r>
        <w:rPr>
          <w:rFonts w:eastAsia="Arial" w:cs="Arial" w:ascii="Arial" w:hAnsi="Arial"/>
          <w:sz w:val="22"/>
          <w:szCs w:val="22"/>
        </w:rPr>
        <w:t xml:space="preserve">lovy padesát tisíc korun českých). </w:t>
      </w:r>
    </w:p>
    <w:p>
      <w:pPr>
        <w:pStyle w:val="Normal"/>
        <w:numPr>
          <w:ilvl w:val="0"/>
          <w:numId w:val="2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Náklady i pokuta dle odst. 2 budou uhrazeny na základě faktur vystavených poškozenou (neodstupující) smluvní stranou. </w:t>
      </w:r>
    </w:p>
    <w:p>
      <w:pPr>
        <w:pStyle w:val="Normal"/>
        <w:ind w:hanging="0" w:left="720" w:right="-226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ind w:hanging="284" w:left="284" w:right="-22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VI.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right="-22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Zástupci obou smluvních stran prohlašují, že jsou oprávněni tuto smlouvu uzavřít.</w:t>
      </w:r>
    </w:p>
    <w:p>
      <w:pPr>
        <w:pStyle w:val="Normal"/>
        <w:numPr>
          <w:ilvl w:val="0"/>
          <w:numId w:val="3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Jakékoliv změny této smlouvy se mohou řešit pouze formou písemných a číslovaných dodatků uzavřených po dohodě obou smluvních stran.</w:t>
      </w:r>
    </w:p>
    <w:p>
      <w:pPr>
        <w:pStyle w:val="Normal"/>
        <w:numPr>
          <w:ilvl w:val="0"/>
          <w:numId w:val="3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Tato smlouva je vyhotovena ve dvou stejnopisech platnosti originálu, z nichž každá z obou smluvních stran obdrží po jednom.</w:t>
      </w:r>
    </w:p>
    <w:p>
      <w:pPr>
        <w:pStyle w:val="Normal"/>
        <w:numPr>
          <w:ilvl w:val="0"/>
          <w:numId w:val="3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Smluvní strany souhlasí s uveřejněním této smlouvy v registru smluv podle zvláštního zákona. Zákonnou povinnost se zavazuje splnit ARCHA+.</w:t>
      </w:r>
    </w:p>
    <w:p>
      <w:pPr>
        <w:pStyle w:val="Normal"/>
        <w:numPr>
          <w:ilvl w:val="0"/>
          <w:numId w:val="3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 otázkách neupravených touto smlouvou se použijí příslušná ustanovení Občanského zákoníku, obecně závazné právní předpisy ČR a obchodní zvyklosti ČR.</w:t>
      </w:r>
    </w:p>
    <w:p>
      <w:pPr>
        <w:pStyle w:val="Normal"/>
        <w:numPr>
          <w:ilvl w:val="0"/>
          <w:numId w:val="3"/>
        </w:numPr>
        <w:ind w:hanging="360" w:left="720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Smluvní strany prohlašují, že tuto smlouvu uzavřely svobodně, vážně, nikoliv v tísni a za jednostranně nevýhodných podmínek, a že znají její obsah, což stvrzují svými podpisy.</w:t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 Praze dne  29. 8. 2024</w:t>
        <w:tab/>
        <w:tab/>
        <w:tab/>
        <w:tab/>
      </w:r>
    </w:p>
    <w:p>
      <w:pPr>
        <w:pStyle w:val="Normal"/>
        <w:ind w:hanging="0" w:left="709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 w:right="-22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.........................................</w:t>
        <w:tab/>
        <w:t xml:space="preserve"> </w:t>
        <w:tab/>
        <w:t xml:space="preserve">                ....................................................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         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Jindřich Krippner                                                 </w:t>
      </w:r>
      <w:r>
        <w:rPr>
          <w:rFonts w:eastAsia="Arial" w:cs="Arial" w:ascii="Arial" w:hAnsi="Arial"/>
          <w:sz w:val="22"/>
          <w:szCs w:val="22"/>
        </w:rPr>
        <w:t>Viktor Ekrt</w:t>
      </w:r>
    </w:p>
    <w:p>
      <w:pPr>
        <w:pStyle w:val="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</w:t>
      </w:r>
      <w:r>
        <w:rPr>
          <w:rFonts w:eastAsia="Arial" w:cs="Arial" w:ascii="Arial" w:hAnsi="Arial"/>
          <w:color w:val="000000"/>
          <w:sz w:val="22"/>
          <w:szCs w:val="22"/>
        </w:rPr>
        <w:t>Divadlo Archa, o. p. s.</w:t>
        <w:tab/>
        <w:t xml:space="preserve">                           </w:t>
      </w:r>
    </w:p>
    <w:p>
      <w:pPr>
        <w:pStyle w:val="Normal"/>
        <w:ind w:hanging="0" w:left="709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ind w:hanging="0" w:left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0" w:left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RomanEES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Trebuchet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jc w:val="center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071" w:leader="none"/>
      </w:tabs>
      <w:jc w:val="center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tabs>
        <w:tab w:val="clear" w:pos="720"/>
        <w:tab w:val="center" w:pos="4819" w:leader="none"/>
        <w:tab w:val="right" w:pos="9071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071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819" w:leader="none"/>
        <w:tab w:val="right" w:pos="9071" w:leader="none"/>
      </w:tabs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 w:val="false"/>
        <w:rFonts w:ascii="Trebuchet MS" w:hAnsi="Trebuchet MS" w:eastAsia="Trebuchet MS" w:cs="Trebuchet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 w:val="false"/>
        <w:rFonts w:ascii="Trebuchet MS" w:hAnsi="Trebuchet MS" w:eastAsia="Trebuchet MS" w:cs="Trebuchet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Trebuchet MS" w:hAnsi="Trebuchet MS" w:eastAsia="Trebuchet MS" w:cs="Trebuchet M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59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manEES" w:hAnsi="RomanEES" w:eastAsia="RomanEES" w:cs="RomanEE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029d0"/>
    <w:pPr>
      <w:widowControl/>
      <w:suppressAutoHyphens w:val="true"/>
      <w:bidi w:val="0"/>
      <w:spacing w:before="0" w:after="0"/>
      <w:jc w:val="left"/>
    </w:pPr>
    <w:rPr>
      <w:rFonts w:ascii="RomanEES" w:hAnsi="RomanEES" w:eastAsia="Times New Roman" w:cs="Times New Roman"/>
      <w:color w:val="auto"/>
      <w:kern w:val="0"/>
      <w:sz w:val="24"/>
      <w:szCs w:val="20"/>
      <w:lang w:val="cs-CZ" w:eastAsia="zh-CN" w:bidi="hi-IN"/>
    </w:rPr>
  </w:style>
  <w:style w:type="paragraph" w:styleId="Heading1">
    <w:name w:val="Heading 1"/>
    <w:basedOn w:val="Normal"/>
    <w:next w:val="Normal1"/>
    <w:link w:val="Nadpis1Char"/>
    <w:uiPriority w:val="9"/>
    <w:qFormat/>
    <w:rsid w:val="00480242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semiHidden/>
    <w:qFormat/>
    <w:rsid w:val="002029d0"/>
    <w:rPr>
      <w:rFonts w:ascii="RomanEES" w:hAnsi="RomanEES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2029d0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Pagenumber">
    <w:name w:val="page number"/>
    <w:basedOn w:val="DefaultParagraphFont"/>
    <w:semiHidden/>
    <w:qFormat/>
    <w:rsid w:val="002029d0"/>
    <w:rPr/>
  </w:style>
  <w:style w:type="character" w:styleId="ZpatChar" w:customStyle="1">
    <w:name w:val="Zápatí Char"/>
    <w:basedOn w:val="DefaultParagraphFont"/>
    <w:uiPriority w:val="99"/>
    <w:qFormat/>
    <w:rsid w:val="002029d0"/>
    <w:rPr>
      <w:rFonts w:ascii="RomanEES" w:hAnsi="RomanEES" w:eastAsia="Times New Roman" w:cs="Times New Roman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uiPriority w:val="99"/>
    <w:qFormat/>
    <w:rsid w:val="002029d0"/>
    <w:rPr>
      <w:rFonts w:ascii="RomanEES" w:hAnsi="RomanEES" w:eastAsia="Times New Roman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29d0"/>
    <w:rPr>
      <w:color w:themeColor="hyperlink" w:val="0563C1"/>
      <w:u w:val="single"/>
    </w:rPr>
  </w:style>
  <w:style w:type="character" w:styleId="OdstavecseseznamemChar" w:customStyle="1">
    <w:name w:val="Odstavec se seznamem Char"/>
    <w:link w:val="ListParagraph"/>
    <w:uiPriority w:val="34"/>
    <w:qFormat/>
    <w:locked/>
    <w:rsid w:val="00336a23"/>
    <w:rPr>
      <w:rFonts w:ascii="Calibri" w:hAnsi="Calibri" w:eastAsia="Calibri" w:cs="Calibri"/>
    </w:rPr>
  </w:style>
  <w:style w:type="character" w:styleId="Nadpis1Char" w:customStyle="1">
    <w:name w:val="Nadpis 1 Char"/>
    <w:basedOn w:val="DefaultParagraphFont"/>
    <w:uiPriority w:val="9"/>
    <w:qFormat/>
    <w:rsid w:val="00480242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semiHidden/>
    <w:rsid w:val="002029d0"/>
    <w:pPr>
      <w:jc w:val="both"/>
    </w:pPr>
    <w:rPr>
      <w:rFonts w:ascii="Times New Roman" w:hAnsi="Times New Roma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RomanEES" w:hAnsi="RomanEES" w:eastAsia="RomanEES" w:cs="RomanEES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semiHidden/>
    <w:rsid w:val="002029d0"/>
    <w:pPr>
      <w:tabs>
        <w:tab w:val="clear" w:pos="720"/>
        <w:tab w:val="center" w:pos="4819" w:leader="none"/>
        <w:tab w:val="right" w:pos="9071" w:leader="none"/>
      </w:tabs>
    </w:pPr>
    <w:rPr/>
  </w:style>
  <w:style w:type="paragraph" w:styleId="BlockText">
    <w:name w:val="Block Text"/>
    <w:basedOn w:val="Normal"/>
    <w:semiHidden/>
    <w:qFormat/>
    <w:rsid w:val="002029d0"/>
    <w:pPr>
      <w:ind w:left="284" w:right="-226"/>
      <w:jc w:val="both"/>
    </w:pPr>
    <w:rPr>
      <w:rFonts w:ascii="Arial Narrow" w:hAnsi="Arial Narrow"/>
    </w:rPr>
  </w:style>
  <w:style w:type="paragraph" w:styleId="Footer">
    <w:name w:val="Footer"/>
    <w:basedOn w:val="Normal"/>
    <w:link w:val="ZpatChar"/>
    <w:uiPriority w:val="99"/>
    <w:unhideWhenUsed/>
    <w:rsid w:val="002029d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link w:val="ZkladntextodsazenChar"/>
    <w:uiPriority w:val="99"/>
    <w:rsid w:val="002029d0"/>
    <w:pPr>
      <w:spacing w:before="0" w:after="120"/>
      <w:ind w:left="283"/>
    </w:pPr>
    <w:rPr/>
  </w:style>
  <w:style w:type="paragraph" w:styleId="ListParagraph">
    <w:name w:val="List Paragraph"/>
    <w:basedOn w:val="Normal"/>
    <w:link w:val="OdstavecseseznamemChar"/>
    <w:uiPriority w:val="34"/>
    <w:qFormat/>
    <w:rsid w:val="00336a23"/>
    <w:pPr>
      <w:spacing w:lineRule="auto" w:line="252" w:before="0" w:after="160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ktorekrt@gmail.com" TargetMode="External"/><Relationship Id="rId3" Type="http://schemas.openxmlformats.org/officeDocument/2006/relationships/hyperlink" Target="mailto:jakub.hykes@archa-plus.cz" TargetMode="External"/><Relationship Id="rId4" Type="http://schemas.openxmlformats.org/officeDocument/2006/relationships/hyperlink" Target="mailto:jakub.stransky@archa-plus.cz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Z89j55tAfGUKv1e4B9WgouzB0g==">CgMxLjAyCGguZ2pkZ3hzOAByITFjZk9XTGlfcHQ5Y2tzREdGa3BzTjB6NXFaeHhpRHFnNw==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LibreOffice/24.2.3.2$Windows_X86_64 LibreOffice_project/433d9c2ded56988e8a90e6b2e771ee4e6a5ab2ba</Application>
  <AppVersion>15.0000</AppVersion>
  <Pages>3</Pages>
  <Words>1032</Words>
  <Characters>6030</Characters>
  <CharactersWithSpaces>7242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2024-04-15T05:52:00Z</dcterms:created>
  <dc:creator>Radka</dc:creator>
  <dc:description/>
  <dc:language>cs-CZ</dc:language>
  <cp:lastModifiedBy/>
  <dcterms:modified xsi:type="dcterms:W3CDTF">2024-09-13T16:33:58Z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