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OBJ-0818/2024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Kamenictví OBELISK s.r.o.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339/72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Božanovská 1581/82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Praha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193 00  Horní Počernice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25701827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DIČ:</w:t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CZ25701827</w:t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 hrobu hřbitov Olšany /škodní událost /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dle cenové nabídky opravu hrobu / hřbitov Olšany  /</w:t>
              <w:br/>
              <w:t>Rámcová smlouva S/2024/074 ze dne 9.9.2024</w:t>
              <w:br/>
              <w:br/>
              <w:t>1.      5-20-43   hřbitov Olšany   / škodní událost /</w:t>
              <w:br/>
              <w:br/>
              <w:t>Termín provedení: září  2024</w:t>
              <w:br/>
              <w:br/>
              <w:t>Celková cena:  57 850,- Kč bez DPH 21%</w:t>
              <w:br/>
              <w:br/>
              <w:t xml:space="preserve">                      </w:t>
              <w:br/>
              <w:t>Na faktuře uvádějte číslo naší objednávky.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11.09.2024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2" name="Report Image 2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img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OBJ-0818/2024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Relationship Id='img2' Type='http://schemas.openxmlformats.org/officeDocument/2006/relationships/image' Target='media/img2.png'/>
</Relationships>

</file>