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bidi w:val="0"/>
        <w:spacing w:before="0" w:after="0" w:line="240" w:lineRule="auto"/>
        <w:ind w:left="178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5152390</wp:posOffset>
                </wp:positionH>
                <wp:positionV relativeFrom="paragraph">
                  <wp:posOffset>12700</wp:posOffset>
                </wp:positionV>
                <wp:extent cx="856615" cy="389890"/>
                <wp:wrapSquare wrapText="left"/>
                <wp:docPr id="1" name="Shape 1"/>
                <a:graphic xmlns:a="http://schemas.openxmlformats.org/drawingml/2006/main">
                  <a:graphicData uri="http://schemas.microsoft.com/office/word/2010/wordprocessingShape">
                    <wps:wsp>
                      <wps:cNvSpPr txBox="1"/>
                      <wps:spPr>
                        <a:xfrm>
                          <a:ext cx="85661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UNM24/0017</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971/2024</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5.69999999999999pt;margin-top:1.pt;width:67.450000000000003pt;height:30.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UNM24/0017</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971/2024</w:t>
                      </w:r>
                    </w:p>
                  </w:txbxContent>
                </v:textbox>
                <w10:wrap type="square" side="left" anchorx="page"/>
              </v:shape>
            </w:pict>
          </mc:Fallback>
        </mc:AlternateContent>
      </w:r>
      <w:r>
        <w:rPr>
          <w:color w:val="000000"/>
          <w:spacing w:val="0"/>
          <w:w w:val="100"/>
          <w:position w:val="0"/>
          <w:shd w:val="clear" w:color="auto" w:fill="auto"/>
          <w:lang w:val="cs-CZ" w:eastAsia="cs-CZ" w:bidi="cs-CZ"/>
        </w:rPr>
        <w:t>Číslo smlouvy prodávajícího:</w:t>
      </w:r>
    </w:p>
    <w:p>
      <w:pPr>
        <w:pStyle w:val="Style2"/>
        <w:keepNext w:val="0"/>
        <w:keepLines w:val="0"/>
        <w:widowControl w:val="0"/>
        <w:shd w:val="clear" w:color="auto" w:fill="auto"/>
        <w:bidi w:val="0"/>
        <w:spacing w:before="0" w:after="400" w:line="240" w:lineRule="auto"/>
        <w:ind w:left="1980" w:right="0" w:firstLine="0"/>
        <w:jc w:val="both"/>
      </w:pPr>
      <w:r>
        <w:rPr>
          <w:color w:val="000000"/>
          <w:spacing w:val="0"/>
          <w:w w:val="100"/>
          <w:position w:val="0"/>
          <w:shd w:val="clear" w:color="auto" w:fill="auto"/>
          <w:lang w:val="cs-CZ" w:eastAsia="cs-CZ" w:bidi="cs-CZ"/>
        </w:rPr>
        <w:t>Číslo smlouvy kupujícího:</w:t>
      </w:r>
    </w:p>
    <w:p>
      <w:pPr>
        <w:pStyle w:val="Style2"/>
        <w:keepNext w:val="0"/>
        <w:keepLines w:val="0"/>
        <w:widowControl w:val="0"/>
        <w:shd w:val="clear" w:color="auto" w:fill="auto"/>
        <w:bidi w:val="0"/>
        <w:spacing w:before="0" w:after="140" w:line="463" w:lineRule="auto"/>
        <w:ind w:left="0" w:right="0" w:firstLine="3780"/>
        <w:jc w:val="both"/>
      </w:pPr>
      <w:r>
        <w:rPr>
          <w:b/>
          <w:bCs/>
          <w:color w:val="000000"/>
          <w:spacing w:val="0"/>
          <w:w w:val="100"/>
          <w:position w:val="0"/>
          <w:sz w:val="24"/>
          <w:szCs w:val="24"/>
          <w:shd w:val="clear" w:color="auto" w:fill="auto"/>
          <w:lang w:val="cs-CZ" w:eastAsia="cs-CZ" w:bidi="cs-CZ"/>
        </w:rPr>
        <w:t xml:space="preserve">„UPS 30kVA“ </w:t>
      </w:r>
      <w:r>
        <w:rPr>
          <w:b/>
          <w:bCs/>
          <w:color w:val="000000"/>
          <w:spacing w:val="0"/>
          <w:w w:val="100"/>
          <w:position w:val="0"/>
          <w:shd w:val="clear" w:color="auto" w:fill="auto"/>
          <w:lang w:val="cs-CZ" w:eastAsia="cs-CZ" w:bidi="cs-CZ"/>
        </w:rPr>
        <w:t>Smluvní strany</w:t>
      </w:r>
    </w:p>
    <w:tbl>
      <w:tblPr>
        <w:tblOverlap w:val="never"/>
        <w:jc w:val="left"/>
        <w:tblLayout w:type="fixed"/>
      </w:tblPr>
      <w:tblGrid>
        <w:gridCol w:w="2016"/>
        <w:gridCol w:w="3682"/>
      </w:tblGrid>
      <w:tr>
        <w:trPr>
          <w:trHeight w:val="398"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UNISMINI – služby, spol. s r.o.</w:t>
            </w:r>
          </w:p>
        </w:tc>
      </w:tr>
      <w:tr>
        <w:trPr>
          <w:trHeight w:val="37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Bělčická 2922/22, 141 00 Praha 4</w:t>
            </w: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xxxxxxxxxx</w:t>
            </w:r>
          </w:p>
        </w:tc>
      </w:tr>
      <w:tr>
        <w:trPr>
          <w:trHeight w:val="25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xxxxxxxxxx</w:t>
            </w: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w:t>
            </w: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62418742</w:t>
            </w:r>
          </w:p>
        </w:tc>
      </w:tr>
      <w:tr>
        <w:trPr>
          <w:trHeight w:val="25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CZ62418742</w:t>
            </w: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xxxxxxxxxx</w:t>
            </w: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xxxxxxxxxx</w:t>
            </w:r>
          </w:p>
        </w:tc>
      </w:tr>
      <w:tr>
        <w:trPr>
          <w:trHeight w:val="341"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xxxxxxxxxx</w:t>
            </w:r>
          </w:p>
        </w:tc>
      </w:tr>
    </w:tbl>
    <w:p>
      <w:pPr>
        <w:widowControl w:val="0"/>
        <w:spacing w:after="19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Prodávající je zapsán v Obchodním rejstříku Městského soudu v Praze, v oddílu C, vložce č. 32468 </w:t>
      </w: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045"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2045"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 Bezručova 4219, Chomutov, PSČ 430 03</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 xxxxxxxxxx, generální ředitel</w:t>
      </w:r>
    </w:p>
    <w:p>
      <w:pPr>
        <w:pStyle w:val="Style2"/>
        <w:keepNext w:val="0"/>
        <w:keepLines w:val="0"/>
        <w:widowControl w:val="0"/>
        <w:shd w:val="clear" w:color="auto" w:fill="auto"/>
        <w:tabs>
          <w:tab w:pos="2269" w:val="left"/>
        </w:tabs>
        <w:bidi w:val="0"/>
        <w:spacing w:before="0" w:after="0" w:line="240" w:lineRule="auto"/>
        <w:ind w:left="0" w:right="0" w:firstLine="0"/>
        <w:jc w:val="left"/>
      </w:pPr>
      <w:r>
        <w:rPr>
          <w:color w:val="000000"/>
          <w:spacing w:val="0"/>
          <w:w w:val="100"/>
          <w:position w:val="0"/>
          <w:shd w:val="clear" w:color="auto" w:fill="auto"/>
          <w:lang w:val="cs-CZ" w:eastAsia="cs-CZ" w:bidi="cs-CZ"/>
        </w:rPr>
        <w:t>Zástupce ve</w:t>
        <w:tab/>
        <w:t>xxxxxxxxxx, 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věcech smluvních</w:t>
      </w:r>
    </w:p>
    <w:p>
      <w:pPr>
        <w:pStyle w:val="Style2"/>
        <w:keepNext w:val="0"/>
        <w:keepLines w:val="0"/>
        <w:widowControl w:val="0"/>
        <w:shd w:val="clear" w:color="auto" w:fill="auto"/>
        <w:tabs>
          <w:tab w:pos="2045" w:val="left"/>
        </w:tabs>
        <w:bidi w:val="0"/>
        <w:spacing w:before="0" w:after="0" w:line="240" w:lineRule="auto"/>
        <w:ind w:left="0" w:right="0" w:firstLine="0"/>
        <w:jc w:val="left"/>
      </w:pPr>
      <w:r>
        <w:rPr>
          <w:color w:val="000000"/>
          <w:spacing w:val="0"/>
          <w:w w:val="100"/>
          <w:position w:val="0"/>
          <w:shd w:val="clear" w:color="auto" w:fill="auto"/>
          <w:lang w:val="cs-CZ" w:eastAsia="cs-CZ" w:bidi="cs-CZ"/>
        </w:rPr>
        <w:t>Technický</w:t>
        <w:tab/>
        <w:t>: xxxxxxxxxx, vedoucí Odboru obchodní přípravy investic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w:t>
        <w:tab/>
        <w:t>70889988</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w:t>
        <w:tab/>
        <w:t>CZ70889988</w:t>
      </w:r>
    </w:p>
    <w:p>
      <w:pPr>
        <w:pStyle w:val="Style2"/>
        <w:keepNext w:val="0"/>
        <w:keepLines w:val="0"/>
        <w:widowControl w:val="0"/>
        <w:shd w:val="clear" w:color="auto" w:fill="auto"/>
        <w:tabs>
          <w:tab w:pos="2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w:t>
        <w:tab/>
        <w:t>xxxxxxxxxx</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tab/>
        <w:t>:</w:t>
        <w:tab/>
        <w:t>xxxxxxxxxx</w:t>
      </w:r>
    </w:p>
    <w:p>
      <w:pPr>
        <w:pStyle w:val="Style2"/>
        <w:keepNext w:val="0"/>
        <w:keepLines w:val="0"/>
        <w:widowControl w:val="0"/>
        <w:shd w:val="clear" w:color="auto" w:fill="auto"/>
        <w:tabs>
          <w:tab w:pos="2064" w:val="center"/>
          <w:tab w:pos="2317" w:val="left"/>
        </w:tabs>
        <w:bidi w:val="0"/>
        <w:spacing w:before="0" w:after="200" w:line="240" w:lineRule="auto"/>
        <w:ind w:left="0" w:right="0" w:firstLine="0"/>
        <w:jc w:val="left"/>
      </w:pPr>
      <w:r>
        <w:rPr>
          <w:color w:val="000000"/>
          <w:spacing w:val="0"/>
          <w:w w:val="100"/>
          <w:position w:val="0"/>
          <w:shd w:val="clear" w:color="auto" w:fill="auto"/>
          <w:lang w:val="cs-CZ" w:eastAsia="cs-CZ" w:bidi="cs-CZ"/>
        </w:rPr>
        <w:t>Telefon</w:t>
        <w:tab/>
        <w:t>:</w:t>
        <w:tab/>
        <w:t>xxxxxxxxxx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6"/>
        <w:keepNext/>
        <w:keepLines/>
        <w:widowControl w:val="0"/>
        <w:numPr>
          <w:ilvl w:val="0"/>
          <w:numId w:val="1"/>
        </w:numPr>
        <w:shd w:val="clear" w:color="auto" w:fill="auto"/>
        <w:tabs>
          <w:tab w:pos="363" w:val="left"/>
        </w:tabs>
        <w:bidi w:val="0"/>
        <w:spacing w:before="0" w:after="400" w:line="240" w:lineRule="auto"/>
        <w:ind w:right="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Předmětem této smlouvy je převod vlastnického práva k movité věci, a to nové a nepoužité UPS za podmínek podle této smlouvy (dále jen předmět této smlouvy).</w:t>
      </w:r>
      <w:bookmarkEnd w:id="3"/>
      <w:bookmarkEnd w:id="4"/>
      <w:bookmarkEnd w:id="6"/>
    </w:p>
    <w:p>
      <w:pPr>
        <w:pStyle w:val="Style2"/>
        <w:keepNext w:val="0"/>
        <w:keepLines w:val="0"/>
        <w:widowControl w:val="0"/>
        <w:shd w:val="clear" w:color="auto" w:fill="auto"/>
        <w:tabs>
          <w:tab w:pos="3609" w:val="left"/>
        </w:tabs>
        <w:bidi w:val="0"/>
        <w:spacing w:before="0" w:after="0" w:line="240" w:lineRule="auto"/>
        <w:ind w:left="0" w:right="0" w:firstLine="580"/>
        <w:jc w:val="both"/>
      </w:pPr>
      <w:r>
        <w:rPr>
          <w:color w:val="000000"/>
          <w:spacing w:val="0"/>
          <w:w w:val="100"/>
          <w:position w:val="0"/>
          <w:shd w:val="clear" w:color="auto" w:fill="auto"/>
          <w:lang w:val="cs-CZ" w:eastAsia="cs-CZ" w:bidi="cs-CZ"/>
        </w:rPr>
        <w:t>Typ/model:</w:t>
        <w:tab/>
        <w:t>Modelový kód:</w:t>
      </w:r>
    </w:p>
    <w:p>
      <w:pPr>
        <w:pStyle w:val="Style2"/>
        <w:keepNext w:val="0"/>
        <w:keepLines w:val="0"/>
        <w:widowControl w:val="0"/>
        <w:shd w:val="clear" w:color="auto" w:fill="auto"/>
        <w:tabs>
          <w:tab w:pos="3609" w:val="left"/>
        </w:tabs>
        <w:bidi w:val="0"/>
        <w:spacing w:before="0" w:after="60" w:line="240" w:lineRule="auto"/>
        <w:ind w:left="0" w:right="0" w:firstLine="580"/>
        <w:jc w:val="both"/>
      </w:pPr>
      <w:r>
        <w:rPr>
          <w:color w:val="000000"/>
          <w:spacing w:val="0"/>
          <w:w w:val="100"/>
          <w:position w:val="0"/>
          <w:shd w:val="clear" w:color="auto" w:fill="auto"/>
          <w:lang w:val="cs-CZ" w:eastAsia="cs-CZ" w:bidi="cs-CZ"/>
        </w:rPr>
        <w:t>AVARA Sentryum 30kVA</w:t>
        <w:tab/>
        <w:t>USS3T30XA0</w:t>
      </w:r>
    </w:p>
    <w:p>
      <w:pPr>
        <w:pStyle w:val="Style16"/>
        <w:keepNext/>
        <w:keepLines/>
        <w:widowControl w:val="0"/>
        <w:numPr>
          <w:ilvl w:val="0"/>
          <w:numId w:val="1"/>
        </w:numPr>
        <w:shd w:val="clear" w:color="auto" w:fill="auto"/>
        <w:tabs>
          <w:tab w:pos="363" w:val="left"/>
        </w:tabs>
        <w:bidi w:val="0"/>
        <w:spacing w:before="0" w:after="300" w:line="240" w:lineRule="auto"/>
        <w:ind w:right="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Podrobná specifikace 1 ks UPS a příslušenství je uvedena v příloze č. 1 kupní smlouvy – Technická specifikace, která je nedílnou součástí této smlouvy.</w:t>
      </w:r>
      <w:bookmarkEnd w:id="10"/>
      <w:bookmarkEnd w:id="7"/>
      <w:bookmarkEnd w:id="8"/>
    </w:p>
    <w:p>
      <w:pPr>
        <w:pStyle w:val="Style4"/>
        <w:keepNext/>
        <w:keepLines/>
        <w:widowControl w:val="0"/>
        <w:numPr>
          <w:ilvl w:val="0"/>
          <w:numId w:val="3"/>
        </w:numPr>
        <w:shd w:val="clear" w:color="auto" w:fill="auto"/>
        <w:tabs>
          <w:tab w:pos="382" w:val="left"/>
        </w:tabs>
        <w:bidi w:val="0"/>
        <w:spacing w:before="0" w:line="240" w:lineRule="auto"/>
        <w:ind w:left="0" w:right="0" w:firstLine="0"/>
        <w:jc w:val="center"/>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Cena</w:t>
      </w:r>
      <w:bookmarkEnd w:id="11"/>
      <w:bookmarkEnd w:id="12"/>
      <w:bookmarkEnd w:id="14"/>
    </w:p>
    <w:p>
      <w:pPr>
        <w:pStyle w:val="Style16"/>
        <w:keepNext/>
        <w:keepLines/>
        <w:widowControl w:val="0"/>
        <w:numPr>
          <w:ilvl w:val="0"/>
          <w:numId w:val="5"/>
        </w:numPr>
        <w:shd w:val="clear" w:color="auto" w:fill="auto"/>
        <w:tabs>
          <w:tab w:pos="363" w:val="left"/>
        </w:tabs>
        <w:bidi w:val="0"/>
        <w:spacing w:before="0" w:line="240" w:lineRule="auto"/>
        <w:ind w:right="0"/>
        <w:jc w:val="both"/>
      </w:pPr>
      <w:bookmarkStart w:id="15" w:name="bookmark15"/>
      <w:bookmarkStart w:id="16" w:name="bookmark16"/>
      <w:bookmarkStart w:id="17" w:name="bookmark17"/>
      <w:bookmarkStart w:id="18" w:name="bookmark18"/>
      <w:bookmarkEnd w:id="17"/>
      <w:r>
        <w:rPr>
          <w:color w:val="000000"/>
          <w:spacing w:val="0"/>
          <w:w w:val="100"/>
          <w:position w:val="0"/>
          <w:shd w:val="clear" w:color="auto" w:fill="auto"/>
          <w:lang w:val="cs-CZ" w:eastAsia="cs-CZ" w:bidi="cs-CZ"/>
        </w:rPr>
        <w:t xml:space="preserve">Kupní cena předmětu této smlouvy uvedeného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 včetně dodání na místo určené kupujícím je dohodnuta podle zákona č. 526/1990 Sb., o cenách, ve znění pozdějších předpisů, jako cena pevná.</w:t>
      </w:r>
      <w:bookmarkEnd w:id="15"/>
      <w:bookmarkEnd w:id="16"/>
      <w:bookmarkEnd w:id="18"/>
    </w:p>
    <w:p>
      <w:pPr>
        <w:pStyle w:val="Style16"/>
        <w:keepNext/>
        <w:keepLines/>
        <w:widowControl w:val="0"/>
        <w:numPr>
          <w:ilvl w:val="0"/>
          <w:numId w:val="5"/>
        </w:numPr>
        <w:shd w:val="clear" w:color="auto" w:fill="auto"/>
        <w:tabs>
          <w:tab w:pos="363" w:val="left"/>
        </w:tabs>
        <w:bidi w:val="0"/>
        <w:spacing w:before="0" w:line="240" w:lineRule="auto"/>
        <w:ind w:left="0" w:right="0" w:firstLine="0"/>
        <w:jc w:val="both"/>
      </w:pPr>
      <w:bookmarkStart w:id="19" w:name="bookmark19"/>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Kupní cena za předmět této smlouvy včetně výbavy uvedené v příloze této smlouvy</w:t>
      </w:r>
      <w:bookmarkEnd w:id="20"/>
      <w:bookmarkEnd w:id="21"/>
      <w:bookmarkEnd w:id="23"/>
      <w:bookmarkEnd w:id="19"/>
    </w:p>
    <w:p>
      <w:pPr>
        <w:pStyle w:val="Style2"/>
        <w:keepNext w:val="0"/>
        <w:keepLines w:val="0"/>
        <w:widowControl w:val="0"/>
        <w:shd w:val="clear" w:color="auto" w:fill="auto"/>
        <w:tabs>
          <w:tab w:pos="6359" w:val="left"/>
        </w:tabs>
        <w:bidi w:val="0"/>
        <w:spacing w:before="0" w:after="0" w:line="240" w:lineRule="auto"/>
        <w:ind w:left="0" w:right="0" w:firstLine="380"/>
        <w:jc w:val="both"/>
      </w:pPr>
      <w:r>
        <w:rPr>
          <w:color w:val="000000"/>
          <w:spacing w:val="0"/>
          <w:w w:val="100"/>
          <w:position w:val="0"/>
          <w:shd w:val="clear" w:color="auto" w:fill="auto"/>
          <w:lang w:val="cs-CZ" w:eastAsia="cs-CZ" w:bidi="cs-CZ"/>
        </w:rPr>
        <w:t>činí</w:t>
        <w:tab/>
      </w:r>
      <w:r>
        <w:rPr>
          <w:b/>
          <w:bCs/>
          <w:color w:val="000000"/>
          <w:spacing w:val="0"/>
          <w:w w:val="100"/>
          <w:position w:val="0"/>
          <w:shd w:val="clear" w:color="auto" w:fill="auto"/>
          <w:lang w:val="cs-CZ" w:eastAsia="cs-CZ" w:bidi="cs-CZ"/>
        </w:rPr>
        <w:t xml:space="preserve">309 644,00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tabs>
          <w:tab w:pos="6359" w:val="left"/>
        </w:tabs>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tab/>
      </w:r>
      <w:r>
        <w:rPr>
          <w:b/>
          <w:bCs/>
          <w:color w:val="000000"/>
          <w:spacing w:val="0"/>
          <w:w w:val="100"/>
          <w:position w:val="0"/>
          <w:shd w:val="clear" w:color="auto" w:fill="auto"/>
          <w:lang w:val="cs-CZ" w:eastAsia="cs-CZ" w:bidi="cs-CZ"/>
        </w:rPr>
        <w:t xml:space="preserve">65 025,24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(v zákonné výši stanovené ke dni zdanitelného plnění)</w:t>
      </w:r>
    </w:p>
    <w:p>
      <w:pPr>
        <w:pStyle w:val="Style2"/>
        <w:keepNext w:val="0"/>
        <w:keepLines w:val="0"/>
        <w:widowControl w:val="0"/>
        <w:shd w:val="clear" w:color="auto" w:fill="auto"/>
        <w:tabs>
          <w:tab w:pos="6359" w:val="left"/>
        </w:tabs>
        <w:bidi w:val="0"/>
        <w:spacing w:before="0" w:after="180" w:line="240" w:lineRule="auto"/>
        <w:ind w:left="0" w:right="0" w:firstLine="380"/>
        <w:jc w:val="both"/>
      </w:pPr>
      <w:r>
        <w:rPr>
          <w:color w:val="000000"/>
          <w:spacing w:val="0"/>
          <w:w w:val="100"/>
          <w:position w:val="0"/>
          <w:shd w:val="clear" w:color="auto" w:fill="auto"/>
          <w:lang w:val="cs-CZ" w:eastAsia="cs-CZ" w:bidi="cs-CZ"/>
        </w:rPr>
        <w:t>cena celkem</w:t>
        <w:tab/>
      </w:r>
      <w:r>
        <w:rPr>
          <w:b/>
          <w:bCs/>
          <w:color w:val="000000"/>
          <w:spacing w:val="0"/>
          <w:w w:val="100"/>
          <w:position w:val="0"/>
          <w:shd w:val="clear" w:color="auto" w:fill="auto"/>
          <w:lang w:val="cs-CZ" w:eastAsia="cs-CZ" w:bidi="cs-CZ"/>
        </w:rPr>
        <w:t xml:space="preserve">374 669,24 </w:t>
      </w:r>
      <w:r>
        <w:rPr>
          <w:color w:val="000000"/>
          <w:spacing w:val="0"/>
          <w:w w:val="100"/>
          <w:position w:val="0"/>
          <w:shd w:val="clear" w:color="auto" w:fill="auto"/>
          <w:lang w:val="cs-CZ" w:eastAsia="cs-CZ" w:bidi="cs-CZ"/>
        </w:rPr>
        <w:t>Kč včetně DPH</w:t>
      </w:r>
    </w:p>
    <w:p>
      <w:pPr>
        <w:pStyle w:val="Style16"/>
        <w:keepNext/>
        <w:keepLines/>
        <w:widowControl w:val="0"/>
        <w:numPr>
          <w:ilvl w:val="0"/>
          <w:numId w:val="5"/>
        </w:numPr>
        <w:shd w:val="clear" w:color="auto" w:fill="auto"/>
        <w:tabs>
          <w:tab w:pos="363" w:val="left"/>
        </w:tabs>
        <w:bidi w:val="0"/>
        <w:spacing w:before="0" w:after="300" w:line="240" w:lineRule="auto"/>
        <w:ind w:right="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Podrobně je cena za předmět této smlouvy, včetně příslušenství a výbavy uvedena v příloze č. 2 této smlouvy – cenová skladba.</w:t>
      </w:r>
      <w:bookmarkEnd w:id="24"/>
      <w:bookmarkEnd w:id="25"/>
      <w:bookmarkEnd w:id="27"/>
    </w:p>
    <w:p>
      <w:pPr>
        <w:pStyle w:val="Style4"/>
        <w:keepNext/>
        <w:keepLines/>
        <w:widowControl w:val="0"/>
        <w:numPr>
          <w:ilvl w:val="0"/>
          <w:numId w:val="3"/>
        </w:numPr>
        <w:shd w:val="clear" w:color="auto" w:fill="auto"/>
        <w:tabs>
          <w:tab w:pos="445" w:val="left"/>
        </w:tabs>
        <w:bidi w:val="0"/>
        <w:spacing w:before="0" w:line="240" w:lineRule="auto"/>
        <w:ind w:left="0" w:right="0" w:firstLine="0"/>
        <w:jc w:val="center"/>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Platební podmínky</w:t>
      </w:r>
      <w:bookmarkEnd w:id="28"/>
      <w:bookmarkEnd w:id="29"/>
      <w:bookmarkEnd w:id="31"/>
    </w:p>
    <w:p>
      <w:pPr>
        <w:pStyle w:val="Style16"/>
        <w:keepNext/>
        <w:keepLines/>
        <w:widowControl w:val="0"/>
        <w:numPr>
          <w:ilvl w:val="0"/>
          <w:numId w:val="7"/>
        </w:numPr>
        <w:shd w:val="clear" w:color="auto" w:fill="auto"/>
        <w:tabs>
          <w:tab w:pos="363" w:val="left"/>
        </w:tabs>
        <w:bidi w:val="0"/>
        <w:spacing w:before="0" w:line="240" w:lineRule="auto"/>
        <w:ind w:right="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 xml:space="preserve">Kupující prohlašuje, že má zajištěny finanční prostředky k úhradě kupní ceny a zavazuje se předmět této smlouvy převzít a zaplatit prodávajícímu dohodnutou cenu dle čl. </w:t>
      </w:r>
      <w:hyperlink w:anchor="bookmark19" w:tooltip="Current Document">
        <w:r>
          <w:rPr>
            <w:color w:val="000000"/>
            <w:spacing w:val="0"/>
            <w:w w:val="100"/>
            <w:position w:val="0"/>
            <w:shd w:val="clear" w:color="auto" w:fill="auto"/>
            <w:lang w:val="cs-CZ" w:eastAsia="cs-CZ" w:bidi="cs-CZ"/>
          </w:rPr>
          <w:t>II. 2.</w:t>
        </w:r>
      </w:hyperlink>
      <w:r>
        <w:rPr>
          <w:color w:val="000000"/>
          <w:spacing w:val="0"/>
          <w:w w:val="100"/>
          <w:position w:val="0"/>
          <w:shd w:val="clear" w:color="auto" w:fill="auto"/>
          <w:lang w:val="cs-CZ" w:eastAsia="cs-CZ" w:bidi="cs-CZ"/>
        </w:rPr>
        <w:t xml:space="preserve"> smlouvy, za podmínek dle této smlouvy.</w:t>
      </w:r>
      <w:bookmarkEnd w:id="32"/>
      <w:bookmarkEnd w:id="33"/>
      <w:bookmarkEnd w:id="35"/>
    </w:p>
    <w:p>
      <w:pPr>
        <w:pStyle w:val="Style16"/>
        <w:keepNext/>
        <w:keepLines/>
        <w:widowControl w:val="0"/>
        <w:numPr>
          <w:ilvl w:val="0"/>
          <w:numId w:val="7"/>
        </w:numPr>
        <w:shd w:val="clear" w:color="auto" w:fill="auto"/>
        <w:tabs>
          <w:tab w:pos="363" w:val="left"/>
        </w:tabs>
        <w:bidi w:val="0"/>
        <w:spacing w:before="0" w:line="240" w:lineRule="auto"/>
        <w:ind w:right="0"/>
        <w:jc w:val="both"/>
      </w:pPr>
      <w:bookmarkStart w:id="36" w:name="bookmark36"/>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37"/>
      <w:bookmarkEnd w:id="38"/>
      <w:bookmarkEnd w:id="40"/>
      <w:bookmarkEnd w:id="36"/>
    </w:p>
    <w:p>
      <w:pPr>
        <w:pStyle w:val="Style16"/>
        <w:keepNext/>
        <w:keepLines/>
        <w:widowControl w:val="0"/>
        <w:numPr>
          <w:ilvl w:val="0"/>
          <w:numId w:val="7"/>
        </w:numPr>
        <w:shd w:val="clear" w:color="auto" w:fill="auto"/>
        <w:tabs>
          <w:tab w:pos="363" w:val="left"/>
        </w:tabs>
        <w:bidi w:val="0"/>
        <w:spacing w:before="0" w:line="240" w:lineRule="auto"/>
        <w:ind w:right="0"/>
        <w:jc w:val="both"/>
      </w:pPr>
      <w:bookmarkStart w:id="41" w:name="bookmark41"/>
      <w:bookmarkStart w:id="42" w:name="bookmark42"/>
      <w:bookmarkStart w:id="43" w:name="bookmark43"/>
      <w:bookmarkStart w:id="44" w:name="bookmark44"/>
      <w:bookmarkEnd w:id="43"/>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41"/>
      <w:bookmarkEnd w:id="42"/>
      <w:bookmarkEnd w:id="44"/>
    </w:p>
    <w:p>
      <w:pPr>
        <w:pStyle w:val="Style16"/>
        <w:keepNext/>
        <w:keepLines/>
        <w:widowControl w:val="0"/>
        <w:numPr>
          <w:ilvl w:val="0"/>
          <w:numId w:val="7"/>
        </w:numPr>
        <w:shd w:val="clear" w:color="auto" w:fill="auto"/>
        <w:tabs>
          <w:tab w:pos="363" w:val="left"/>
        </w:tabs>
        <w:bidi w:val="0"/>
        <w:spacing w:before="0" w:line="240" w:lineRule="auto"/>
        <w:ind w:right="0"/>
        <w:jc w:val="both"/>
      </w:pPr>
      <w:bookmarkStart w:id="45" w:name="bookmark45"/>
      <w:bookmarkStart w:id="46" w:name="bookmark46"/>
      <w:bookmarkStart w:id="47" w:name="bookmark47"/>
      <w:bookmarkStart w:id="48" w:name="bookmark48"/>
      <w:bookmarkEnd w:id="47"/>
      <w:r>
        <w:rPr>
          <w:color w:val="000000"/>
          <w:spacing w:val="0"/>
          <w:w w:val="100"/>
          <w:position w:val="0"/>
          <w:shd w:val="clear" w:color="auto" w:fill="auto"/>
          <w:lang w:val="cs-CZ" w:eastAsia="cs-CZ" w:bidi="cs-CZ"/>
        </w:rPr>
        <w:t xml:space="preserve">V případě, že faktura nebude obsahovat všechny, dle čl. </w:t>
      </w:r>
      <w:hyperlink w:anchor="bookmark36" w:tooltip="Current Document">
        <w:r>
          <w:rPr>
            <w:color w:val="000000"/>
            <w:spacing w:val="0"/>
            <w:w w:val="100"/>
            <w:position w:val="0"/>
            <w:shd w:val="clear" w:color="auto" w:fill="auto"/>
            <w:lang w:val="cs-CZ" w:eastAsia="cs-CZ" w:bidi="cs-CZ"/>
          </w:rPr>
          <w:t>III. 2.</w:t>
        </w:r>
      </w:hyperlink>
      <w:r>
        <w:rPr>
          <w:color w:val="000000"/>
          <w:spacing w:val="0"/>
          <w:w w:val="100"/>
          <w:position w:val="0"/>
          <w:shd w:val="clear" w:color="auto" w:fill="auto"/>
          <w:lang w:val="cs-CZ" w:eastAsia="cs-CZ" w:bidi="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45"/>
      <w:bookmarkEnd w:id="46"/>
      <w:bookmarkEnd w:id="48"/>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363" w:val="left"/>
        </w:tabs>
        <w:bidi w:val="0"/>
        <w:spacing w:before="0" w:after="300" w:line="240" w:lineRule="auto"/>
        <w:ind w:left="380" w:right="0" w:hanging="380"/>
        <w:jc w:val="both"/>
      </w:pPr>
      <w:bookmarkStart w:id="49" w:name="bookmark49"/>
      <w:bookmarkStart w:id="50" w:name="bookmark50"/>
      <w:bookmarkEnd w:id="49"/>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w:t>
      </w:r>
      <w:bookmarkEnd w:id="5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vypořádání DPH, zavazuje se Prodávající zaplatit Kupujícímu smluvní pokutu ve výši 1,5 násobku částky, která bude správcem daně vyměřena Kupujícímu jako sankce.</w:t>
      </w:r>
    </w:p>
    <w:p>
      <w:pPr>
        <w:pStyle w:val="Style4"/>
        <w:keepNext/>
        <w:keepLines/>
        <w:widowControl w:val="0"/>
        <w:numPr>
          <w:ilvl w:val="0"/>
          <w:numId w:val="3"/>
        </w:numPr>
        <w:shd w:val="clear" w:color="auto" w:fill="auto"/>
        <w:tabs>
          <w:tab w:pos="469" w:val="left"/>
        </w:tabs>
        <w:bidi w:val="0"/>
        <w:spacing w:before="0" w:line="240" w:lineRule="auto"/>
        <w:ind w:left="0" w:right="0" w:firstLine="0"/>
        <w:jc w:val="center"/>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Podmínky dodávky předmětu smlouvy</w:t>
      </w:r>
      <w:bookmarkEnd w:id="51"/>
      <w:bookmarkEnd w:id="52"/>
      <w:bookmarkEnd w:id="54"/>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 xml:space="preserve">Prodávající se zavazuje dodat kupujícímu požadovaný předmět této smlouvy uvedený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smlouvy do 60 dnů od podpisu kupní smlouvy. Po uplynutí uvedené lhůty má kupující právo odstoupit od smlouvy.</w:t>
      </w:r>
      <w:bookmarkEnd w:id="55"/>
      <w:bookmarkEnd w:id="56"/>
      <w:bookmarkEnd w:id="58"/>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w:t>
      </w:r>
      <w:bookmarkEnd w:id="59"/>
      <w:bookmarkEnd w:id="60"/>
      <w:bookmarkEnd w:id="62"/>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Místem předání je Povodí Ohře, státní podnik, Vodohospodářské laboratoře, Novosedlická 758, 415 01 Teplice.</w:t>
      </w:r>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Kontaktní osoba Kupujícího ve věci předání a převzetí předmětu kupní smlouvy je: xxxxxxxxx, vedoucí VHL, e-mail: xxxxxxxxxx, tel.: + xxxxxxxxxx.</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Kontaktní osoba Prodávajícího je xxxxxxxxxx, vedoucí odd. UPS, e-mail: xxxxxxxxxx, tel.: xxxxxxxxxx.</w:t>
      </w:r>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Převzetí nastane po provedené kontrole dodávky v místě plnění, vyzkoušení funkčnosti a zaškolení obsluhy. Piktogramy a popisy na stroji musí odpovídat platným normám a být v českém jazyce.</w:t>
      </w:r>
      <w:bookmarkEnd w:id="63"/>
      <w:bookmarkEnd w:id="64"/>
      <w:bookmarkEnd w:id="66"/>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20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Prodávající při předání předmětu této smlouvy předá kupujícímu všechny potřebné doklady tj. zejména manuál, záruční list, prohlášení o shodě dle zákona 22/1997 Sb., nebo CE certifikát, veškeré návody nutné k řádnému a bezpečnému užívání předmětu této smlouvy, veškerou dokumentaci včetně schémat elektrických obvodů, a vybavení předmětu této smlouvy. Všechny doklady včetně dokumentace musí být v listinné podobě v českém jazyce a předány i na elektronickém nosiči dat.</w:t>
      </w:r>
      <w:bookmarkEnd w:id="67"/>
      <w:bookmarkEnd w:id="68"/>
      <w:bookmarkEnd w:id="70"/>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71"/>
      <w:bookmarkEnd w:id="72"/>
      <w:bookmarkEnd w:id="74"/>
    </w:p>
    <w:p>
      <w:pPr>
        <w:pStyle w:val="Style16"/>
        <w:keepNext/>
        <w:keepLines/>
        <w:widowControl w:val="0"/>
        <w:numPr>
          <w:ilvl w:val="0"/>
          <w:numId w:val="9"/>
        </w:numPr>
        <w:shd w:val="clear" w:color="auto" w:fill="auto"/>
        <w:tabs>
          <w:tab w:pos="363" w:val="left"/>
        </w:tabs>
        <w:bidi w:val="0"/>
        <w:spacing w:before="0" w:line="240" w:lineRule="auto"/>
        <w:ind w:left="360" w:right="0" w:hanging="360"/>
        <w:jc w:val="both"/>
      </w:pPr>
      <w:bookmarkStart w:id="75" w:name="bookmark75"/>
      <w:bookmarkStart w:id="76" w:name="bookmark76"/>
      <w:bookmarkStart w:id="77" w:name="bookmark77"/>
      <w:bookmarkStart w:id="78" w:name="bookmark78"/>
      <w:bookmarkEnd w:id="77"/>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75"/>
      <w:bookmarkEnd w:id="76"/>
      <w:bookmarkEnd w:id="78"/>
    </w:p>
    <w:p>
      <w:pPr>
        <w:pStyle w:val="Style16"/>
        <w:keepNext/>
        <w:keepLines/>
        <w:widowControl w:val="0"/>
        <w:numPr>
          <w:ilvl w:val="0"/>
          <w:numId w:val="9"/>
        </w:numPr>
        <w:shd w:val="clear" w:color="auto" w:fill="auto"/>
        <w:tabs>
          <w:tab w:pos="363" w:val="left"/>
        </w:tabs>
        <w:bidi w:val="0"/>
        <w:spacing w:before="0" w:after="300" w:line="240" w:lineRule="auto"/>
        <w:ind w:left="360" w:right="0" w:hanging="360"/>
        <w:jc w:val="both"/>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79"/>
      <w:bookmarkEnd w:id="80"/>
      <w:bookmarkEnd w:id="82"/>
    </w:p>
    <w:p>
      <w:pPr>
        <w:pStyle w:val="Style4"/>
        <w:keepNext/>
        <w:keepLines/>
        <w:widowControl w:val="0"/>
        <w:numPr>
          <w:ilvl w:val="0"/>
          <w:numId w:val="3"/>
        </w:numPr>
        <w:shd w:val="clear" w:color="auto" w:fill="auto"/>
        <w:tabs>
          <w:tab w:pos="406" w:val="left"/>
        </w:tabs>
        <w:bidi w:val="0"/>
        <w:spacing w:before="0" w:line="240" w:lineRule="auto"/>
        <w:ind w:left="0" w:right="0" w:firstLine="0"/>
        <w:jc w:val="center"/>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Smluvní sankce</w:t>
      </w:r>
      <w:bookmarkEnd w:id="83"/>
      <w:bookmarkEnd w:id="84"/>
      <w:bookmarkEnd w:id="86"/>
    </w:p>
    <w:p>
      <w:pPr>
        <w:pStyle w:val="Style16"/>
        <w:keepNext/>
        <w:keepLines/>
        <w:widowControl w:val="0"/>
        <w:numPr>
          <w:ilvl w:val="0"/>
          <w:numId w:val="11"/>
        </w:numPr>
        <w:shd w:val="clear" w:color="auto" w:fill="auto"/>
        <w:tabs>
          <w:tab w:pos="363" w:val="left"/>
        </w:tabs>
        <w:bidi w:val="0"/>
        <w:spacing w:before="0" w:line="240" w:lineRule="auto"/>
        <w:ind w:left="360" w:right="0" w:hanging="360"/>
        <w:jc w:val="both"/>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125" w:left="1394" w:right="1385" w:bottom="1366" w:header="0" w:footer="3" w:gutter="0"/>
          <w:pgNumType w:start="1"/>
          <w:cols w:space="720"/>
          <w:noEndnote/>
          <w:rtlGutter w:val="0"/>
          <w:docGrid w:linePitch="360"/>
        </w:sectPr>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87"/>
      <w:bookmarkEnd w:id="88"/>
      <w:bookmarkEnd w:id="90"/>
    </w:p>
    <w:p>
      <w:pPr>
        <w:pStyle w:val="Style16"/>
        <w:keepNext/>
        <w:keepLines/>
        <w:widowControl w:val="0"/>
        <w:numPr>
          <w:ilvl w:val="0"/>
          <w:numId w:val="11"/>
        </w:numPr>
        <w:shd w:val="clear" w:color="auto" w:fill="auto"/>
        <w:tabs>
          <w:tab w:pos="360" w:val="left"/>
        </w:tabs>
        <w:bidi w:val="0"/>
        <w:spacing w:before="0" w:line="240" w:lineRule="auto"/>
        <w:ind w:right="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91"/>
      <w:bookmarkEnd w:id="92"/>
      <w:bookmarkEnd w:id="94"/>
    </w:p>
    <w:p>
      <w:pPr>
        <w:pStyle w:val="Style16"/>
        <w:keepNext/>
        <w:keepLines/>
        <w:widowControl w:val="0"/>
        <w:numPr>
          <w:ilvl w:val="0"/>
          <w:numId w:val="11"/>
        </w:numPr>
        <w:shd w:val="clear" w:color="auto" w:fill="auto"/>
        <w:tabs>
          <w:tab w:pos="360" w:val="left"/>
        </w:tabs>
        <w:bidi w:val="0"/>
        <w:spacing w:before="0" w:line="240" w:lineRule="auto"/>
        <w:ind w:right="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95"/>
      <w:bookmarkEnd w:id="96"/>
      <w:bookmarkEnd w:id="98"/>
    </w:p>
    <w:p>
      <w:pPr>
        <w:pStyle w:val="Style16"/>
        <w:keepNext/>
        <w:keepLines/>
        <w:widowControl w:val="0"/>
        <w:numPr>
          <w:ilvl w:val="0"/>
          <w:numId w:val="11"/>
        </w:numPr>
        <w:shd w:val="clear" w:color="auto" w:fill="auto"/>
        <w:tabs>
          <w:tab w:pos="360" w:val="left"/>
        </w:tabs>
        <w:bidi w:val="0"/>
        <w:spacing w:before="0" w:line="240" w:lineRule="auto"/>
        <w:ind w:right="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100"/>
      <w:bookmarkEnd w:id="102"/>
      <w:bookmarkEnd w:id="99"/>
    </w:p>
    <w:p>
      <w:pPr>
        <w:pStyle w:val="Style16"/>
        <w:keepNext/>
        <w:keepLines/>
        <w:widowControl w:val="0"/>
        <w:numPr>
          <w:ilvl w:val="0"/>
          <w:numId w:val="11"/>
        </w:numPr>
        <w:shd w:val="clear" w:color="auto" w:fill="auto"/>
        <w:tabs>
          <w:tab w:pos="360" w:val="left"/>
        </w:tabs>
        <w:bidi w:val="0"/>
        <w:spacing w:before="0" w:line="240" w:lineRule="auto"/>
        <w:ind w:right="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03"/>
      <w:bookmarkEnd w:id="104"/>
      <w:bookmarkEnd w:id="106"/>
    </w:p>
    <w:p>
      <w:pPr>
        <w:pStyle w:val="Style16"/>
        <w:keepNext/>
        <w:keepLines/>
        <w:widowControl w:val="0"/>
        <w:numPr>
          <w:ilvl w:val="0"/>
          <w:numId w:val="11"/>
        </w:numPr>
        <w:shd w:val="clear" w:color="auto" w:fill="auto"/>
        <w:tabs>
          <w:tab w:pos="360" w:val="left"/>
        </w:tabs>
        <w:bidi w:val="0"/>
        <w:spacing w:before="0" w:line="240" w:lineRule="auto"/>
        <w:ind w:right="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07"/>
      <w:bookmarkEnd w:id="108"/>
      <w:bookmarkEnd w:id="110"/>
    </w:p>
    <w:p>
      <w:pPr>
        <w:pStyle w:val="Style16"/>
        <w:keepNext/>
        <w:keepLines/>
        <w:widowControl w:val="0"/>
        <w:numPr>
          <w:ilvl w:val="0"/>
          <w:numId w:val="11"/>
        </w:numPr>
        <w:shd w:val="clear" w:color="auto" w:fill="auto"/>
        <w:tabs>
          <w:tab w:pos="360" w:val="left"/>
        </w:tabs>
        <w:bidi w:val="0"/>
        <w:spacing w:before="0" w:after="300" w:line="240" w:lineRule="auto"/>
        <w:ind w:right="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11"/>
      <w:bookmarkEnd w:id="112"/>
      <w:bookmarkEnd w:id="114"/>
    </w:p>
    <w:p>
      <w:pPr>
        <w:pStyle w:val="Style4"/>
        <w:keepNext/>
        <w:keepLines/>
        <w:widowControl w:val="0"/>
        <w:numPr>
          <w:ilvl w:val="0"/>
          <w:numId w:val="3"/>
        </w:numPr>
        <w:shd w:val="clear" w:color="auto" w:fill="auto"/>
        <w:tabs>
          <w:tab w:pos="450" w:val="left"/>
        </w:tabs>
        <w:bidi w:val="0"/>
        <w:spacing w:before="0" w:line="240" w:lineRule="auto"/>
        <w:ind w:left="0" w:right="0" w:firstLine="0"/>
        <w:jc w:val="center"/>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Záruka</w:t>
      </w:r>
      <w:bookmarkEnd w:id="115"/>
      <w:bookmarkEnd w:id="116"/>
      <w:bookmarkEnd w:id="118"/>
    </w:p>
    <w:p>
      <w:pPr>
        <w:pStyle w:val="Style16"/>
        <w:keepNext/>
        <w:keepLines/>
        <w:widowControl w:val="0"/>
        <w:numPr>
          <w:ilvl w:val="0"/>
          <w:numId w:val="13"/>
        </w:numPr>
        <w:shd w:val="clear" w:color="auto" w:fill="auto"/>
        <w:tabs>
          <w:tab w:pos="360" w:val="left"/>
        </w:tabs>
        <w:bidi w:val="0"/>
        <w:spacing w:before="0" w:line="240" w:lineRule="auto"/>
        <w:ind w:right="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Záruka je poskytnuta v délce 24 měsíců od předání předmětu této smlouvy. Záruční doba začíná běžet dnem protokolárního předání a převzetí předmětu kupní smlouvy.</w:t>
      </w:r>
      <w:bookmarkEnd w:id="119"/>
      <w:bookmarkEnd w:id="120"/>
      <w:bookmarkEnd w:id="122"/>
    </w:p>
    <w:p>
      <w:pPr>
        <w:pStyle w:val="Style16"/>
        <w:keepNext/>
        <w:keepLines/>
        <w:widowControl w:val="0"/>
        <w:numPr>
          <w:ilvl w:val="0"/>
          <w:numId w:val="13"/>
        </w:numPr>
        <w:shd w:val="clear" w:color="auto" w:fill="auto"/>
        <w:tabs>
          <w:tab w:pos="360" w:val="left"/>
        </w:tabs>
        <w:bidi w:val="0"/>
        <w:spacing w:before="0" w:line="240" w:lineRule="auto"/>
        <w:ind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23"/>
      <w:bookmarkEnd w:id="124"/>
      <w:bookmarkEnd w:id="126"/>
    </w:p>
    <w:p>
      <w:pPr>
        <w:pStyle w:val="Style16"/>
        <w:keepNext/>
        <w:keepLines/>
        <w:widowControl w:val="0"/>
        <w:numPr>
          <w:ilvl w:val="0"/>
          <w:numId w:val="13"/>
        </w:numPr>
        <w:shd w:val="clear" w:color="auto" w:fill="auto"/>
        <w:tabs>
          <w:tab w:pos="360" w:val="left"/>
        </w:tabs>
        <w:bidi w:val="0"/>
        <w:spacing w:before="0" w:line="240" w:lineRule="auto"/>
        <w:ind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Pokud jde o právo z odpovědnosti za vady, má kupující vůči prodávajícímu tato práva a nároky:</w:t>
      </w:r>
      <w:bookmarkEnd w:id="127"/>
      <w:bookmarkEnd w:id="128"/>
      <w:bookmarkEnd w:id="130"/>
    </w:p>
    <w:p>
      <w:pPr>
        <w:pStyle w:val="Style16"/>
        <w:keepNext/>
        <w:keepLines/>
        <w:widowControl w:val="0"/>
        <w:numPr>
          <w:ilvl w:val="0"/>
          <w:numId w:val="15"/>
        </w:numPr>
        <w:shd w:val="clear" w:color="auto" w:fill="auto"/>
        <w:tabs>
          <w:tab w:pos="753" w:val="left"/>
        </w:tabs>
        <w:bidi w:val="0"/>
        <w:spacing w:before="0" w:line="240" w:lineRule="auto"/>
        <w:ind w:left="800" w:right="0" w:hanging="42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30 dnů od uplatnění reklamace.</w:t>
      </w:r>
      <w:bookmarkEnd w:id="131"/>
      <w:bookmarkEnd w:id="132"/>
      <w:bookmarkEnd w:id="134"/>
    </w:p>
    <w:p>
      <w:pPr>
        <w:pStyle w:val="Style16"/>
        <w:keepNext/>
        <w:keepLines/>
        <w:widowControl w:val="0"/>
        <w:numPr>
          <w:ilvl w:val="0"/>
          <w:numId w:val="15"/>
        </w:numPr>
        <w:shd w:val="clear" w:color="auto" w:fill="auto"/>
        <w:tabs>
          <w:tab w:pos="753" w:val="left"/>
        </w:tabs>
        <w:bidi w:val="0"/>
        <w:spacing w:before="0" w:line="240" w:lineRule="auto"/>
        <w:ind w:left="800" w:right="0" w:hanging="42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právo na poskytnutí slevy, odpovídající rozdílu ceny vadného a bezvadného předmětu smlouvy,</w:t>
      </w:r>
      <w:bookmarkEnd w:id="135"/>
      <w:bookmarkEnd w:id="136"/>
      <w:bookmarkEnd w:id="138"/>
    </w:p>
    <w:p>
      <w:pPr>
        <w:pStyle w:val="Style16"/>
        <w:keepNext/>
        <w:keepLines/>
        <w:widowControl w:val="0"/>
        <w:numPr>
          <w:ilvl w:val="0"/>
          <w:numId w:val="15"/>
        </w:numPr>
        <w:shd w:val="clear" w:color="auto" w:fill="auto"/>
        <w:tabs>
          <w:tab w:pos="753" w:val="left"/>
        </w:tabs>
        <w:bidi w:val="0"/>
        <w:spacing w:before="0" w:line="240" w:lineRule="auto"/>
        <w:ind w:left="800" w:right="0" w:hanging="42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39"/>
      <w:bookmarkEnd w:id="140"/>
      <w:bookmarkEnd w:id="142"/>
    </w:p>
    <w:p>
      <w:pPr>
        <w:pStyle w:val="Style16"/>
        <w:keepNext/>
        <w:keepLines/>
        <w:widowControl w:val="0"/>
        <w:numPr>
          <w:ilvl w:val="0"/>
          <w:numId w:val="13"/>
        </w:numPr>
        <w:shd w:val="clear" w:color="auto" w:fill="auto"/>
        <w:tabs>
          <w:tab w:pos="360" w:val="left"/>
        </w:tabs>
        <w:bidi w:val="0"/>
        <w:spacing w:before="0" w:after="300" w:line="254" w:lineRule="auto"/>
        <w:ind w:right="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43"/>
      <w:bookmarkEnd w:id="144"/>
      <w:bookmarkEnd w:id="146"/>
    </w:p>
    <w:p>
      <w:pPr>
        <w:pStyle w:val="Style4"/>
        <w:keepNext/>
        <w:keepLines/>
        <w:widowControl w:val="0"/>
        <w:numPr>
          <w:ilvl w:val="0"/>
          <w:numId w:val="3"/>
        </w:numPr>
        <w:shd w:val="clear" w:color="auto" w:fill="auto"/>
        <w:tabs>
          <w:tab w:pos="512" w:val="left"/>
        </w:tabs>
        <w:bidi w:val="0"/>
        <w:spacing w:before="0" w:line="240" w:lineRule="auto"/>
        <w:ind w:left="0" w:right="0" w:firstLine="0"/>
        <w:jc w:val="center"/>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Compliance doložka</w:t>
      </w:r>
      <w:bookmarkEnd w:id="147"/>
      <w:bookmarkEnd w:id="148"/>
      <w:bookmarkEnd w:id="150"/>
    </w:p>
    <w:p>
      <w:pPr>
        <w:pStyle w:val="Style16"/>
        <w:keepNext/>
        <w:keepLines/>
        <w:widowControl w:val="0"/>
        <w:numPr>
          <w:ilvl w:val="0"/>
          <w:numId w:val="17"/>
        </w:numPr>
        <w:shd w:val="clear" w:color="auto" w:fill="auto"/>
        <w:tabs>
          <w:tab w:pos="360" w:val="left"/>
        </w:tabs>
        <w:bidi w:val="0"/>
        <w:spacing w:before="0" w:line="240" w:lineRule="auto"/>
        <w:ind w:right="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51"/>
      <w:bookmarkEnd w:id="152"/>
      <w:bookmarkEnd w:id="154"/>
    </w:p>
    <w:p>
      <w:pPr>
        <w:pStyle w:val="Style2"/>
        <w:keepNext w:val="0"/>
        <w:keepLines w:val="0"/>
        <w:widowControl w:val="0"/>
        <w:numPr>
          <w:ilvl w:val="0"/>
          <w:numId w:val="17"/>
        </w:numPr>
        <w:shd w:val="clear" w:color="auto" w:fill="auto"/>
        <w:tabs>
          <w:tab w:pos="360" w:val="left"/>
        </w:tabs>
        <w:bidi w:val="0"/>
        <w:spacing w:before="0" w:line="240" w:lineRule="auto"/>
        <w:ind w:left="380" w:right="0" w:hanging="380"/>
        <w:jc w:val="both"/>
      </w:pPr>
      <w:bookmarkStart w:id="155" w:name="bookmark155"/>
      <w:bookmarkStart w:id="156" w:name="bookmark156"/>
      <w:bookmarkEnd w:id="15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w:t>
      </w:r>
      <w:bookmarkEnd w:id="156"/>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6"/>
        <w:keepNext/>
        <w:keepLines/>
        <w:widowControl w:val="0"/>
        <w:numPr>
          <w:ilvl w:val="0"/>
          <w:numId w:val="17"/>
        </w:numPr>
        <w:shd w:val="clear" w:color="auto" w:fill="auto"/>
        <w:tabs>
          <w:tab w:pos="370" w:val="left"/>
        </w:tabs>
        <w:bidi w:val="0"/>
        <w:spacing w:before="0" w:after="0" w:line="264" w:lineRule="auto"/>
        <w:ind w:left="0" w:right="0" w:firstLine="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Prodávající prohlašuje, že se seznámil se zásadami, hodnotami a cíli Compliance</w:t>
      </w:r>
      <w:bookmarkEnd w:id="157"/>
      <w:bookmarkEnd w:id="158"/>
      <w:bookmarkEnd w:id="160"/>
    </w:p>
    <w:p>
      <w:pPr>
        <w:pStyle w:val="Style2"/>
        <w:keepNext w:val="0"/>
        <w:keepLines w:val="0"/>
        <w:widowControl w:val="0"/>
        <w:shd w:val="clear" w:color="auto" w:fill="auto"/>
        <w:tabs>
          <w:tab w:pos="2755" w:val="left"/>
          <w:tab w:pos="4896" w:val="left"/>
          <w:tab w:pos="6907" w:val="left"/>
          <w:tab w:pos="8726" w:val="left"/>
        </w:tabs>
        <w:bidi w:val="0"/>
        <w:spacing w:before="0" w:after="0" w:line="240" w:lineRule="auto"/>
        <w:ind w:left="0" w:right="0" w:firstLine="360"/>
        <w:jc w:val="both"/>
      </w:pPr>
      <w:bookmarkStart w:id="161" w:name="bookmark161"/>
      <w:r>
        <w:rPr>
          <w:color w:val="000000"/>
          <w:spacing w:val="0"/>
          <w:w w:val="100"/>
          <w:position w:val="0"/>
          <w:shd w:val="clear" w:color="auto" w:fill="auto"/>
          <w:lang w:val="cs-CZ" w:eastAsia="cs-CZ" w:bidi="cs-CZ"/>
        </w:rPr>
        <w:t>programu</w:t>
        <w:tab/>
        <w:t>Povodí</w:t>
        <w:tab/>
        <w:t>Ohře,</w:t>
        <w:tab/>
        <w:t>s.p.</w:t>
        <w:tab/>
        <w:t>(viz</w:t>
      </w:r>
      <w:bookmarkEnd w:id="161"/>
    </w:p>
    <w:p>
      <w:pPr>
        <w:pStyle w:val="Style2"/>
        <w:keepNext w:val="0"/>
        <w:keepLines w:val="0"/>
        <w:widowControl w:val="0"/>
        <w:shd w:val="clear" w:color="auto" w:fill="auto"/>
        <w:bidi w:val="0"/>
        <w:spacing w:before="0" w:line="240" w:lineRule="auto"/>
        <w:ind w:left="360" w:right="0" w:firstLine="20"/>
        <w:jc w:val="both"/>
      </w:pPr>
      <w:r>
        <w:fldChar w:fldCharType="begin"/>
      </w:r>
      <w:r>
        <w:rPr/>
        <w:instrText> HYPERLINK "http://www.poh.cz/protikorupcni-a-compliance-program/d-1346/p1=1458" </w:instrText>
      </w:r>
      <w:r>
        <w:fldChar w:fldCharType="separate"/>
      </w:r>
      <w:bookmarkStart w:id="162" w:name="bookmark162"/>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162"/>
    </w:p>
    <w:p>
      <w:pPr>
        <w:pStyle w:val="Style16"/>
        <w:keepNext/>
        <w:keepLines/>
        <w:widowControl w:val="0"/>
        <w:numPr>
          <w:ilvl w:val="0"/>
          <w:numId w:val="17"/>
        </w:numPr>
        <w:shd w:val="clear" w:color="auto" w:fill="auto"/>
        <w:tabs>
          <w:tab w:pos="370" w:val="left"/>
        </w:tabs>
        <w:bidi w:val="0"/>
        <w:spacing w:before="0" w:after="300" w:line="240" w:lineRule="auto"/>
        <w:ind w:left="360" w:right="0" w:hanging="36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63"/>
      <w:bookmarkEnd w:id="164"/>
      <w:bookmarkEnd w:id="166"/>
    </w:p>
    <w:p>
      <w:pPr>
        <w:pStyle w:val="Style4"/>
        <w:keepNext/>
        <w:keepLines/>
        <w:widowControl w:val="0"/>
        <w:numPr>
          <w:ilvl w:val="0"/>
          <w:numId w:val="3"/>
        </w:numPr>
        <w:shd w:val="clear" w:color="auto" w:fill="auto"/>
        <w:tabs>
          <w:tab w:pos="529" w:val="left"/>
        </w:tabs>
        <w:bidi w:val="0"/>
        <w:spacing w:before="0" w:line="240" w:lineRule="auto"/>
        <w:ind w:left="0" w:right="0" w:firstLine="0"/>
        <w:jc w:val="center"/>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Ochrana a zpracování osobních údajů</w:t>
      </w:r>
      <w:bookmarkEnd w:id="167"/>
      <w:bookmarkEnd w:id="168"/>
      <w:bookmarkEnd w:id="170"/>
    </w:p>
    <w:p>
      <w:pPr>
        <w:pStyle w:val="Style16"/>
        <w:keepNext/>
        <w:keepLines/>
        <w:widowControl w:val="0"/>
        <w:shd w:val="clear" w:color="auto" w:fill="auto"/>
        <w:bidi w:val="0"/>
        <w:spacing w:before="0" w:after="300" w:line="240" w:lineRule="auto"/>
        <w:ind w:left="360" w:right="0" w:firstLine="20"/>
        <w:jc w:val="both"/>
      </w:pPr>
      <w:bookmarkStart w:id="171" w:name="bookmark171"/>
      <w:bookmarkStart w:id="172" w:name="bookmark172"/>
      <w:bookmarkStart w:id="173" w:name="bookmark17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71"/>
      <w:bookmarkEnd w:id="172"/>
      <w:bookmarkEnd w:id="173"/>
    </w:p>
    <w:p>
      <w:pPr>
        <w:pStyle w:val="Style4"/>
        <w:keepNext/>
        <w:keepLines/>
        <w:widowControl w:val="0"/>
        <w:numPr>
          <w:ilvl w:val="0"/>
          <w:numId w:val="3"/>
        </w:numPr>
        <w:shd w:val="clear" w:color="auto" w:fill="auto"/>
        <w:tabs>
          <w:tab w:pos="409" w:val="left"/>
        </w:tabs>
        <w:bidi w:val="0"/>
        <w:spacing w:before="0" w:line="240" w:lineRule="auto"/>
        <w:ind w:left="0" w:right="0" w:firstLine="0"/>
        <w:jc w:val="center"/>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Závěrečná ujednání</w:t>
      </w:r>
      <w:bookmarkEnd w:id="174"/>
      <w:bookmarkEnd w:id="175"/>
      <w:bookmarkEnd w:id="177"/>
    </w:p>
    <w:p>
      <w:pPr>
        <w:pStyle w:val="Style16"/>
        <w:keepNext/>
        <w:keepLines/>
        <w:widowControl w:val="0"/>
        <w:numPr>
          <w:ilvl w:val="0"/>
          <w:numId w:val="19"/>
        </w:numPr>
        <w:shd w:val="clear" w:color="auto" w:fill="auto"/>
        <w:tabs>
          <w:tab w:pos="370" w:val="left"/>
        </w:tabs>
        <w:bidi w:val="0"/>
        <w:spacing w:before="0" w:line="240" w:lineRule="auto"/>
        <w:ind w:left="360" w:right="0" w:hanging="360"/>
        <w:jc w:val="both"/>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78"/>
      <w:bookmarkEnd w:id="179"/>
      <w:bookmarkEnd w:id="181"/>
    </w:p>
    <w:p>
      <w:pPr>
        <w:pStyle w:val="Style16"/>
        <w:keepNext/>
        <w:keepLines/>
        <w:widowControl w:val="0"/>
        <w:numPr>
          <w:ilvl w:val="0"/>
          <w:numId w:val="19"/>
        </w:numPr>
        <w:shd w:val="clear" w:color="auto" w:fill="auto"/>
        <w:tabs>
          <w:tab w:pos="370" w:val="left"/>
        </w:tabs>
        <w:bidi w:val="0"/>
        <w:spacing w:before="0" w:line="240" w:lineRule="auto"/>
        <w:ind w:left="360" w:right="0" w:hanging="360"/>
        <w:jc w:val="both"/>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82"/>
      <w:bookmarkEnd w:id="183"/>
      <w:bookmarkEnd w:id="185"/>
    </w:p>
    <w:p>
      <w:pPr>
        <w:pStyle w:val="Style16"/>
        <w:keepNext/>
        <w:keepLines/>
        <w:widowControl w:val="0"/>
        <w:numPr>
          <w:ilvl w:val="0"/>
          <w:numId w:val="19"/>
        </w:numPr>
        <w:shd w:val="clear" w:color="auto" w:fill="auto"/>
        <w:tabs>
          <w:tab w:pos="370" w:val="left"/>
        </w:tabs>
        <w:bidi w:val="0"/>
        <w:spacing w:before="0" w:line="240" w:lineRule="auto"/>
        <w:ind w:left="360" w:right="0" w:hanging="360"/>
        <w:jc w:val="both"/>
      </w:pPr>
      <w:bookmarkStart w:id="186" w:name="bookmark186"/>
      <w:bookmarkStart w:id="187" w:name="bookmark187"/>
      <w:bookmarkStart w:id="188" w:name="bookmark188"/>
      <w:bookmarkStart w:id="189" w:name="bookmark189"/>
      <w:bookmarkEnd w:id="188"/>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186"/>
      <w:bookmarkEnd w:id="187"/>
      <w:bookmarkEnd w:id="189"/>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r>
        <w:br w:type="page"/>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16"/>
        <w:keepNext/>
        <w:keepLines/>
        <w:widowControl w:val="0"/>
        <w:numPr>
          <w:ilvl w:val="0"/>
          <w:numId w:val="19"/>
        </w:numPr>
        <w:shd w:val="clear" w:color="auto" w:fill="auto"/>
        <w:tabs>
          <w:tab w:pos="363" w:val="left"/>
        </w:tabs>
        <w:bidi w:val="0"/>
        <w:spacing w:before="0" w:line="240" w:lineRule="auto"/>
        <w:ind w:left="360" w:right="0" w:hanging="360"/>
        <w:jc w:val="both"/>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190"/>
      <w:bookmarkEnd w:id="191"/>
      <w:bookmarkEnd w:id="193"/>
    </w:p>
    <w:p>
      <w:pPr>
        <w:pStyle w:val="Style16"/>
        <w:keepNext/>
        <w:keepLines/>
        <w:widowControl w:val="0"/>
        <w:numPr>
          <w:ilvl w:val="0"/>
          <w:numId w:val="19"/>
        </w:numPr>
        <w:shd w:val="clear" w:color="auto" w:fill="auto"/>
        <w:tabs>
          <w:tab w:pos="363" w:val="left"/>
        </w:tabs>
        <w:bidi w:val="0"/>
        <w:spacing w:before="0" w:line="252" w:lineRule="auto"/>
        <w:ind w:left="440" w:right="0" w:hanging="440"/>
        <w:jc w:val="both"/>
      </w:pPr>
      <w:bookmarkStart w:id="194" w:name="bookmark194"/>
      <w:bookmarkStart w:id="195" w:name="bookmark195"/>
      <w:bookmarkStart w:id="196" w:name="bookmark196"/>
      <w:bookmarkStart w:id="197" w:name="bookmark197"/>
      <w:bookmarkEnd w:id="19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bookmarkEnd w:id="194"/>
      <w:bookmarkEnd w:id="195"/>
      <w:bookmarkEnd w:id="197"/>
    </w:p>
    <w:p>
      <w:pPr>
        <w:pStyle w:val="Style16"/>
        <w:keepNext/>
        <w:keepLines/>
        <w:widowControl w:val="0"/>
        <w:numPr>
          <w:ilvl w:val="0"/>
          <w:numId w:val="19"/>
        </w:numPr>
        <w:shd w:val="clear" w:color="auto" w:fill="auto"/>
        <w:tabs>
          <w:tab w:pos="363" w:val="left"/>
        </w:tabs>
        <w:bidi w:val="0"/>
        <w:spacing w:before="0" w:line="240" w:lineRule="auto"/>
        <w:ind w:left="360" w:right="0" w:hanging="360"/>
        <w:jc w:val="both"/>
      </w:pPr>
      <w:bookmarkStart w:id="198" w:name="bookmark198"/>
      <w:bookmarkStart w:id="199" w:name="bookmark199"/>
      <w:bookmarkStart w:id="200" w:name="bookmark200"/>
      <w:bookmarkStart w:id="201" w:name="bookmark201"/>
      <w:bookmarkEnd w:id="20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198"/>
      <w:bookmarkEnd w:id="199"/>
      <w:bookmarkEnd w:id="201"/>
    </w:p>
    <w:p>
      <w:pPr>
        <w:pStyle w:val="Style16"/>
        <w:keepNext/>
        <w:keepLines/>
        <w:widowControl w:val="0"/>
        <w:numPr>
          <w:ilvl w:val="0"/>
          <w:numId w:val="19"/>
        </w:numPr>
        <w:shd w:val="clear" w:color="auto" w:fill="auto"/>
        <w:tabs>
          <w:tab w:pos="363" w:val="left"/>
        </w:tabs>
        <w:bidi w:val="0"/>
        <w:spacing w:before="0" w:line="240" w:lineRule="auto"/>
        <w:ind w:left="360" w:right="0" w:hanging="360"/>
        <w:jc w:val="both"/>
      </w:pPr>
      <w:bookmarkStart w:id="202" w:name="bookmark202"/>
      <w:bookmarkStart w:id="203" w:name="bookmark203"/>
      <w:bookmarkStart w:id="204" w:name="bookmark204"/>
      <w:bookmarkStart w:id="205" w:name="bookmark205"/>
      <w:bookmarkEnd w:id="204"/>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202"/>
      <w:bookmarkEnd w:id="203"/>
      <w:bookmarkEnd w:id="205"/>
    </w:p>
    <w:p>
      <w:pPr>
        <w:pStyle w:val="Style16"/>
        <w:keepNext/>
        <w:keepLines/>
        <w:widowControl w:val="0"/>
        <w:numPr>
          <w:ilvl w:val="0"/>
          <w:numId w:val="19"/>
        </w:numPr>
        <w:shd w:val="clear" w:color="auto" w:fill="auto"/>
        <w:tabs>
          <w:tab w:pos="363" w:val="left"/>
        </w:tabs>
        <w:bidi w:val="0"/>
        <w:spacing w:before="0" w:after="340" w:line="240" w:lineRule="auto"/>
        <w:ind w:left="0" w:right="0" w:firstLine="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Smluvní strany nepovažují žádné ustanovení smlouvy za obchodní tajemství.</w:t>
      </w:r>
      <w:bookmarkEnd w:id="206"/>
      <w:bookmarkEnd w:id="207"/>
      <w:bookmarkEnd w:id="209"/>
    </w:p>
    <w:p>
      <w:pPr>
        <w:pStyle w:val="Style16"/>
        <w:keepNext/>
        <w:keepLines/>
        <w:widowControl w:val="0"/>
        <w:numPr>
          <w:ilvl w:val="0"/>
          <w:numId w:val="19"/>
        </w:numPr>
        <w:shd w:val="clear" w:color="auto" w:fill="auto"/>
        <w:tabs>
          <w:tab w:pos="363" w:val="left"/>
        </w:tabs>
        <w:bidi w:val="0"/>
        <w:spacing w:before="0" w:line="240" w:lineRule="auto"/>
        <w:ind w:left="0" w:right="0" w:firstLine="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Nedílnou součástí kupní smlouvy je:</w:t>
      </w:r>
      <w:bookmarkEnd w:id="210"/>
      <w:bookmarkEnd w:id="211"/>
      <w:bookmarkEnd w:id="213"/>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příloha č. 1 - Technická specifikace</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příloha č. 2 - Cenová skladba.</w:t>
      </w:r>
    </w:p>
    <w:p>
      <w:pPr>
        <w:pStyle w:val="Style16"/>
        <w:keepNext/>
        <w:keepLines/>
        <w:widowControl w:val="0"/>
        <w:numPr>
          <w:ilvl w:val="0"/>
          <w:numId w:val="19"/>
        </w:numPr>
        <w:shd w:val="clear" w:color="auto" w:fill="auto"/>
        <w:tabs>
          <w:tab w:pos="478" w:val="left"/>
        </w:tabs>
        <w:bidi w:val="0"/>
        <w:spacing w:before="0" w:after="500" w:line="240" w:lineRule="auto"/>
        <w:ind w:left="360" w:right="0" w:hanging="36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14"/>
      <w:bookmarkEnd w:id="215"/>
      <w:bookmarkEnd w:id="217"/>
    </w:p>
    <w:p>
      <w:pPr>
        <w:pStyle w:val="Style2"/>
        <w:keepNext w:val="0"/>
        <w:keepLines w:val="0"/>
        <w:widowControl w:val="0"/>
        <w:shd w:val="clear" w:color="auto" w:fill="auto"/>
        <w:bidi w:val="0"/>
        <w:spacing w:before="0" w:line="240" w:lineRule="auto"/>
        <w:ind w:left="2620" w:right="0" w:firstLine="0"/>
        <w:jc w:val="left"/>
      </w:pPr>
      <w:r>
        <mc:AlternateContent>
          <mc:Choice Requires="wps">
            <w:drawing>
              <wp:anchor distT="0" distB="0" distL="114300" distR="114300" simplePos="0" relativeHeight="125829380" behindDoc="0" locked="0" layoutInCell="1" allowOverlap="1">
                <wp:simplePos x="0" y="0"/>
                <wp:positionH relativeFrom="page">
                  <wp:posOffset>929005</wp:posOffset>
                </wp:positionH>
                <wp:positionV relativeFrom="paragraph">
                  <wp:posOffset>12700</wp:posOffset>
                </wp:positionV>
                <wp:extent cx="1337945" cy="393065"/>
                <wp:wrapSquare wrapText="right"/>
                <wp:docPr id="13" name="Shape 13"/>
                <a:graphic xmlns:a="http://schemas.openxmlformats.org/drawingml/2006/main">
                  <a:graphicData uri="http://schemas.microsoft.com/office/word/2010/wordprocessingShape">
                    <wps:wsp>
                      <wps:cNvSpPr txBox="1"/>
                      <wps:spPr>
                        <a:xfrm>
                          <a:ext cx="1337945" cy="3930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10.9. za Prodávajícího:</w:t>
                            </w:r>
                          </w:p>
                        </w:txbxContent>
                      </wps:txbx>
                      <wps:bodyPr lIns="0" tIns="0" rIns="0" bIns="0">
                        <a:noAutoFit/>
                      </wps:bodyPr>
                    </wps:wsp>
                  </a:graphicData>
                </a:graphic>
              </wp:anchor>
            </w:drawing>
          </mc:Choice>
          <mc:Fallback>
            <w:pict>
              <v:shape id="_x0000_s1039" type="#_x0000_t202" style="position:absolute;margin-left:73.150000000000006pt;margin-top:1.pt;width:105.35000000000001pt;height:30.94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10.9. za Prodávajícího:</w:t>
                      </w:r>
                    </w:p>
                  </w:txbxContent>
                </v:textbox>
                <w10:wrap type="square" side="right" anchorx="page"/>
              </v:shape>
            </w:pict>
          </mc:Fallback>
        </mc:AlternateContent>
      </w:r>
      <w:r>
        <w:rPr>
          <w:color w:val="000000"/>
          <w:spacing w:val="0"/>
          <w:w w:val="100"/>
          <w:position w:val="0"/>
          <w:shd w:val="clear" w:color="auto" w:fill="auto"/>
          <w:lang w:val="cs-CZ" w:eastAsia="cs-CZ" w:bidi="cs-CZ"/>
        </w:rPr>
        <w:t>V Chomutově dne 12.9. za Kupujícího:</w:t>
      </w:r>
    </w:p>
    <w:p>
      <w:pPr>
        <w:widowControl w:val="0"/>
        <w:spacing w:line="1" w:lineRule="exact"/>
      </w:pPr>
      <w:r>
        <mc:AlternateContent>
          <mc:Choice Requires="wps">
            <w:drawing>
              <wp:anchor distT="838200" distB="0" distL="0" distR="0" simplePos="0" relativeHeight="125829382" behindDoc="0" locked="0" layoutInCell="1" allowOverlap="1">
                <wp:simplePos x="0" y="0"/>
                <wp:positionH relativeFrom="page">
                  <wp:posOffset>1102995</wp:posOffset>
                </wp:positionH>
                <wp:positionV relativeFrom="paragraph">
                  <wp:posOffset>838200</wp:posOffset>
                </wp:positionV>
                <wp:extent cx="1938655" cy="536575"/>
                <wp:wrapTopAndBottom/>
                <wp:docPr id="15" name="Shape 15"/>
                <a:graphic xmlns:a="http://schemas.openxmlformats.org/drawingml/2006/main">
                  <a:graphicData uri="http://schemas.microsoft.com/office/word/2010/wordprocessingShape">
                    <wps:wsp>
                      <wps:cNvSpPr txBox="1"/>
                      <wps:spPr>
                        <a:xfrm>
                          <a:ext cx="1938655" cy="536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UNISMINI – služby, spol. s r.o.</w:t>
                              <w:br/>
                              <w:t>xxxxxxxxxx</w:t>
                              <w:br/>
                              <w:t>jednatelka</w:t>
                            </w:r>
                          </w:p>
                        </w:txbxContent>
                      </wps:txbx>
                      <wps:bodyPr lIns="0" tIns="0" rIns="0" bIns="0">
                        <a:noAutoFit/>
                      </wps:bodyPr>
                    </wps:wsp>
                  </a:graphicData>
                </a:graphic>
              </wp:anchor>
            </w:drawing>
          </mc:Choice>
          <mc:Fallback>
            <w:pict>
              <v:shape id="_x0000_s1041" type="#_x0000_t202" style="position:absolute;margin-left:86.850000000000009pt;margin-top:66.pt;width:152.65000000000001pt;height:42.25pt;z-index:-125829371;mso-wrap-distance-left:0;mso-wrap-distance-top:66.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UNISMINI – služby, spol. s r.o.</w:t>
                        <w:br/>
                        <w:t>xxxxxxxxxx</w:t>
                        <w:br/>
                        <w:t>jednatelka</w:t>
                      </w:r>
                    </w:p>
                  </w:txbxContent>
                </v:textbox>
                <w10:wrap type="topAndBottom" anchorx="page"/>
              </v:shape>
            </w:pict>
          </mc:Fallback>
        </mc:AlternateContent>
      </w:r>
      <w:r>
        <mc:AlternateContent>
          <mc:Choice Requires="wps">
            <w:drawing>
              <wp:anchor distT="838200" distB="0" distL="0" distR="0" simplePos="0" relativeHeight="125829384" behindDoc="0" locked="0" layoutInCell="1" allowOverlap="1">
                <wp:simplePos x="0" y="0"/>
                <wp:positionH relativeFrom="page">
                  <wp:posOffset>4535170</wp:posOffset>
                </wp:positionH>
                <wp:positionV relativeFrom="paragraph">
                  <wp:posOffset>838200</wp:posOffset>
                </wp:positionV>
                <wp:extent cx="1688465" cy="536575"/>
                <wp:wrapTopAndBottom/>
                <wp:docPr id="17" name="Shape 17"/>
                <a:graphic xmlns:a="http://schemas.openxmlformats.org/drawingml/2006/main">
                  <a:graphicData uri="http://schemas.microsoft.com/office/word/2010/wordprocessingShape">
                    <wps:wsp>
                      <wps:cNvSpPr txBox="1"/>
                      <wps:spPr>
                        <a:xfrm>
                          <a:ext cx="1688465" cy="536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xxxxxxxxxx</w:t>
                              <w:br/>
                              <w:t>ekonomický ředitel</w:t>
                            </w:r>
                          </w:p>
                        </w:txbxContent>
                      </wps:txbx>
                      <wps:bodyPr lIns="0" tIns="0" rIns="0" bIns="0">
                        <a:noAutoFit/>
                      </wps:bodyPr>
                    </wps:wsp>
                  </a:graphicData>
                </a:graphic>
              </wp:anchor>
            </w:drawing>
          </mc:Choice>
          <mc:Fallback>
            <w:pict>
              <v:shape id="_x0000_s1043" type="#_x0000_t202" style="position:absolute;margin-left:357.10000000000002pt;margin-top:66.pt;width:132.94999999999999pt;height:42.25pt;z-index:-125829369;mso-wrap-distance-left:0;mso-wrap-distance-top:66.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xxxxxxxxxx</w:t>
                        <w:br/>
                        <w:t>ekonomický ředitel</w:t>
                      </w:r>
                    </w:p>
                  </w:txbxContent>
                </v:textbox>
                <w10:wrap type="topAndBottom" anchorx="page"/>
              </v:shape>
            </w:pict>
          </mc:Fallback>
        </mc:AlternateContent>
      </w:r>
      <w:r>
        <w:br w:type="page"/>
      </w:r>
    </w:p>
    <w:p>
      <w:pPr>
        <w:pStyle w:val="Style23"/>
        <w:keepNext/>
        <w:keepLines/>
        <w:widowControl w:val="0"/>
        <w:shd w:val="clear" w:color="auto" w:fill="auto"/>
        <w:bidi w:val="0"/>
        <w:spacing w:before="0" w:after="440" w:line="240" w:lineRule="auto"/>
        <w:ind w:left="0" w:right="0" w:firstLine="320"/>
        <w:jc w:val="both"/>
      </w:pPr>
      <w:bookmarkStart w:id="218" w:name="bookmark218"/>
      <w:bookmarkStart w:id="219" w:name="bookmark219"/>
      <w:bookmarkStart w:id="220" w:name="bookmark220"/>
      <w:r>
        <w:rPr>
          <w:color w:val="000000"/>
          <w:spacing w:val="0"/>
          <w:w w:val="100"/>
          <w:position w:val="0"/>
          <w:shd w:val="clear" w:color="auto" w:fill="auto"/>
          <w:lang w:val="cs-CZ" w:eastAsia="cs-CZ" w:bidi="cs-CZ"/>
        </w:rPr>
        <w:t>Příloha č. 1 ke Kupní smlouvě prodávajícího č. UNM24/0017 a kupujícího č. 971/2024</w:t>
      </w:r>
      <w:bookmarkEnd w:id="218"/>
      <w:bookmarkEnd w:id="219"/>
      <w:bookmarkEnd w:id="220"/>
    </w:p>
    <w:p>
      <w:pPr>
        <w:pStyle w:val="Style25"/>
        <w:keepNext w:val="0"/>
        <w:keepLines w:val="0"/>
        <w:widowControl w:val="0"/>
        <w:shd w:val="clear" w:color="auto" w:fill="auto"/>
        <w:bidi w:val="0"/>
        <w:spacing w:before="0" w:after="380" w:line="240" w:lineRule="auto"/>
        <w:ind w:left="0" w:right="0" w:firstLine="0"/>
        <w:jc w:val="center"/>
      </w:pPr>
      <w:r>
        <w:rPr>
          <w:color w:val="000000"/>
          <w:spacing w:val="0"/>
          <w:w w:val="100"/>
          <w:position w:val="0"/>
          <w:shd w:val="clear" w:color="auto" w:fill="auto"/>
          <w:lang w:val="cs-CZ" w:eastAsia="cs-CZ" w:bidi="cs-CZ"/>
        </w:rPr>
        <w:t>Technická specifikace</w:t>
      </w:r>
    </w:p>
    <w:p>
      <w:pPr>
        <w:pStyle w:val="Style2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UPS Schrack AVARA Sentryum 30kVA od Rakouského výrobce Schrack Technik s těmito technickými parametry:</w:t>
      </w:r>
    </w:p>
    <w:tbl>
      <w:tblPr>
        <w:tblOverlap w:val="never"/>
        <w:jc w:val="center"/>
        <w:tblLayout w:type="fixed"/>
      </w:tblPr>
      <w:tblGrid>
        <w:gridCol w:w="2688"/>
        <w:gridCol w:w="6442"/>
      </w:tblGrid>
      <w:tr>
        <w:trPr>
          <w:trHeight w:val="2270" w:hRule="exact"/>
        </w:trPr>
        <w:tc>
          <w:tcPr>
            <w:tcBorders/>
            <w:shd w:val="clear" w:color="auto" w:fill="FFFFFF"/>
            <w:vAlign w:val="top"/>
          </w:tcPr>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Šířka:</w:t>
            </w:r>
          </w:p>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Výška:</w:t>
            </w:r>
          </w:p>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Hloubka:</w:t>
            </w:r>
          </w:p>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Hmotnost bez aku:</w:t>
            </w:r>
          </w:p>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Hmotnost s aku:</w:t>
            </w:r>
          </w:p>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Ztrátový výkon:</w:t>
            </w:r>
          </w:p>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Pracovní napájecí napětí: Klasifikace:</w:t>
            </w:r>
          </w:p>
        </w:tc>
        <w:tc>
          <w:tcPr>
            <w:tcBorders/>
            <w:shd w:val="clear" w:color="auto" w:fill="FFFFFF"/>
            <w:vAlign w:val="top"/>
          </w:tcPr>
          <w:p>
            <w:pPr>
              <w:pStyle w:val="Style13"/>
              <w:keepNext w:val="0"/>
              <w:keepLines w:val="0"/>
              <w:widowControl w:val="0"/>
              <w:shd w:val="clear" w:color="auto" w:fill="auto"/>
              <w:bidi w:val="0"/>
              <w:spacing w:before="0" w:after="0" w:line="259" w:lineRule="auto"/>
              <w:ind w:left="160" w:right="0" w:firstLine="0"/>
              <w:jc w:val="left"/>
            </w:pPr>
            <w:r>
              <w:rPr>
                <w:color w:val="000000"/>
                <w:spacing w:val="0"/>
                <w:w w:val="100"/>
                <w:position w:val="0"/>
                <w:shd w:val="clear" w:color="auto" w:fill="auto"/>
                <w:lang w:val="cs-CZ" w:eastAsia="cs-CZ" w:bidi="cs-CZ"/>
              </w:rPr>
              <w:t>440,00mm 1320,00mm 840,00mm 112,00kg 415,00kg 1210,00W 400/400V VFI (On-line)</w:t>
            </w:r>
          </w:p>
        </w:tc>
      </w:tr>
    </w:tbl>
    <w:p>
      <w:pPr>
        <w:widowControl w:val="0"/>
        <w:spacing w:after="379" w:line="1" w:lineRule="exact"/>
      </w:pPr>
    </w:p>
    <w:p>
      <w:pPr>
        <w:pStyle w:val="Style2"/>
        <w:keepNext w:val="0"/>
        <w:keepLines w:val="0"/>
        <w:widowControl w:val="0"/>
        <w:shd w:val="clear" w:color="auto" w:fill="auto"/>
        <w:bidi w:val="0"/>
        <w:spacing w:before="0" w:line="259" w:lineRule="auto"/>
        <w:ind w:left="0" w:right="0" w:firstLine="0"/>
        <w:jc w:val="both"/>
      </w:pPr>
      <w:r>
        <w:rPr>
          <w:color w:val="000000"/>
          <w:spacing w:val="0"/>
          <w:w w:val="100"/>
          <w:position w:val="0"/>
          <w:shd w:val="clear" w:color="auto" w:fill="auto"/>
          <w:lang w:val="cs-CZ" w:eastAsia="cs-CZ" w:bidi="cs-CZ"/>
        </w:rPr>
        <w:t>Pro dodržení požadované doby zálohy, připojíme k UPS bateriový box. Akumulátory se využijí stávající – z demontované UPS. Celková doba zálohy je podobná jako u předchozího modelu.</w:t>
      </w:r>
    </w:p>
    <w:p>
      <w:pPr>
        <w:pStyle w:val="Style2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Technické parametry bateriového boxu:</w:t>
      </w:r>
    </w:p>
    <w:tbl>
      <w:tblPr>
        <w:tblOverlap w:val="never"/>
        <w:jc w:val="center"/>
        <w:tblLayout w:type="fixed"/>
      </w:tblPr>
      <w:tblGrid>
        <w:gridCol w:w="2314"/>
        <w:gridCol w:w="6811"/>
      </w:tblGrid>
      <w:tr>
        <w:trPr>
          <w:trHeight w:val="1450"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Šířka:</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Výška:</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Hloubka:</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Hmotnost bez aku:</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Hmotnost s aku:</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400,00mm</w:t>
            </w:r>
          </w:p>
          <w:p>
            <w:pPr>
              <w:pStyle w:val="Style13"/>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1320,00mm</w:t>
            </w:r>
          </w:p>
          <w:p>
            <w:pPr>
              <w:pStyle w:val="Style13"/>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815,00mm</w:t>
            </w:r>
          </w:p>
          <w:p>
            <w:pPr>
              <w:pStyle w:val="Style13"/>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90,00kg</w:t>
            </w:r>
          </w:p>
          <w:p>
            <w:pPr>
              <w:pStyle w:val="Style13"/>
              <w:keepNext w:val="0"/>
              <w:keepLines w:val="0"/>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400,00kg</w:t>
            </w:r>
          </w:p>
        </w:tc>
      </w:tr>
    </w:tbl>
    <w:p>
      <w:pPr>
        <w:widowControl w:val="0"/>
        <w:spacing w:after="199" w:line="1" w:lineRule="exact"/>
      </w:pPr>
    </w:p>
    <w:p>
      <w:pPr>
        <w:pStyle w:val="Style2"/>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Do UPS bude instalována komunikační karta SNMP.</w:t>
      </w:r>
    </w:p>
    <w:p>
      <w:pPr>
        <w:pStyle w:val="Style2"/>
        <w:keepNext w:val="0"/>
        <w:keepLines w:val="0"/>
        <w:widowControl w:val="0"/>
        <w:shd w:val="clear" w:color="auto" w:fill="auto"/>
        <w:bidi w:val="0"/>
        <w:spacing w:before="0" w:after="380" w:line="257" w:lineRule="auto"/>
        <w:ind w:left="0" w:right="0" w:firstLine="0"/>
        <w:jc w:val="both"/>
        <w:sectPr>
          <w:headerReference w:type="default" r:id="rId9"/>
          <w:footerReference w:type="default" r:id="rId10"/>
          <w:headerReference w:type="even" r:id="rId11"/>
          <w:footerReference w:type="even" r:id="rId12"/>
          <w:footnotePr>
            <w:pos w:val="pageBottom"/>
            <w:numFmt w:val="decimal"/>
            <w:numRestart w:val="continuous"/>
          </w:footnotePr>
          <w:type w:val="continuous"/>
          <w:pgSz w:w="11909" w:h="16838"/>
          <w:pgMar w:top="1125" w:left="1394" w:right="1385" w:bottom="1366" w:header="0" w:footer="3" w:gutter="0"/>
          <w:cols w:space="720"/>
          <w:noEndnote/>
          <w:rtlGutter w:val="0"/>
          <w:docGrid w:linePitch="360"/>
        </w:sectPr>
      </w:pPr>
      <w:r>
        <w:rPr>
          <w:color w:val="000000"/>
          <w:spacing w:val="0"/>
          <w:w w:val="100"/>
          <w:position w:val="0"/>
          <w:shd w:val="clear" w:color="auto" w:fill="auto"/>
          <w:lang w:val="cs-CZ" w:eastAsia="cs-CZ" w:bidi="cs-CZ"/>
        </w:rPr>
        <w:t>Součástí cenové nabídky je deinstalace a ekologická likvidace původního nefunkčního zařízení UPS. Cenová nabídka je kalkulována na instalaci v pracovní době a takto s ní počítáme.</w:t>
      </w:r>
    </w:p>
    <w:p>
      <w:pPr>
        <w:pStyle w:val="Style23"/>
        <w:keepNext/>
        <w:keepLines/>
        <w:framePr w:w="8837" w:h="1166" w:wrap="none" w:hAnchor="page" w:x="1688" w:y="93"/>
        <w:widowControl w:val="0"/>
        <w:shd w:val="clear" w:color="auto" w:fill="auto"/>
        <w:bidi w:val="0"/>
        <w:spacing w:before="0" w:after="380" w:line="240" w:lineRule="auto"/>
        <w:ind w:left="0" w:right="0" w:firstLine="0"/>
        <w:jc w:val="center"/>
      </w:pPr>
      <w:bookmarkStart w:id="221" w:name="bookmark221"/>
      <w:bookmarkStart w:id="222" w:name="bookmark222"/>
      <w:bookmarkStart w:id="223" w:name="bookmark223"/>
      <w:r>
        <w:rPr>
          <w:color w:val="000000"/>
          <w:spacing w:val="0"/>
          <w:w w:val="100"/>
          <w:position w:val="0"/>
          <w:shd w:val="clear" w:color="auto" w:fill="auto"/>
          <w:lang w:val="cs-CZ" w:eastAsia="cs-CZ" w:bidi="cs-CZ"/>
        </w:rPr>
        <w:t>Příloha č. 2 ke Kupní smlouvě prodávajícího č. UNM24/0017 a kupujícího č. 971/2024</w:t>
      </w:r>
      <w:bookmarkEnd w:id="221"/>
      <w:bookmarkEnd w:id="222"/>
      <w:bookmarkEnd w:id="223"/>
    </w:p>
    <w:p>
      <w:pPr>
        <w:pStyle w:val="Style25"/>
        <w:keepNext w:val="0"/>
        <w:keepLines w:val="0"/>
        <w:framePr w:w="8837" w:h="1166" w:wrap="none" w:hAnchor="page" w:x="1688" w:y="9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Cenová skladba</w:t>
      </w:r>
    </w:p>
    <w:p>
      <w:pPr>
        <w:pStyle w:val="Style29"/>
        <w:keepNext w:val="0"/>
        <w:keepLines w:val="0"/>
        <w:framePr w:w="5083" w:h="898" w:wrap="none" w:hAnchor="page" w:x="5264" w:y="6636"/>
        <w:widowControl w:val="0"/>
        <w:shd w:val="clear" w:color="auto" w:fill="auto"/>
        <w:tabs>
          <w:tab w:pos="3802" w:val="left"/>
        </w:tabs>
        <w:bidi w:val="0"/>
        <w:spacing w:before="0" w:line="240" w:lineRule="auto"/>
        <w:ind w:left="0" w:right="0" w:firstLine="0"/>
        <w:jc w:val="left"/>
      </w:pPr>
      <w:r>
        <w:rPr>
          <w:color w:val="000000"/>
          <w:spacing w:val="0"/>
          <w:w w:val="100"/>
          <w:position w:val="0"/>
          <w:shd w:val="clear" w:color="auto" w:fill="auto"/>
          <w:lang w:val="cs-CZ" w:eastAsia="cs-CZ" w:bidi="cs-CZ"/>
        </w:rPr>
        <w:t>CELKEM BEZ DPH:</w:t>
        <w:tab/>
        <w:t>309 644,00 Kč</w:t>
      </w:r>
    </w:p>
    <w:p>
      <w:pPr>
        <w:pStyle w:val="Style29"/>
        <w:keepNext w:val="0"/>
        <w:keepLines w:val="0"/>
        <w:framePr w:w="5083" w:h="898" w:wrap="none" w:hAnchor="page" w:x="5264" w:y="6636"/>
        <w:widowControl w:val="0"/>
        <w:shd w:val="clear" w:color="auto" w:fill="auto"/>
        <w:tabs>
          <w:tab w:pos="3806" w:val="left"/>
        </w:tabs>
        <w:bidi w:val="0"/>
        <w:spacing w:before="0" w:line="240" w:lineRule="auto"/>
        <w:ind w:left="0" w:right="0" w:firstLine="0"/>
        <w:jc w:val="left"/>
      </w:pPr>
      <w:r>
        <w:rPr>
          <w:color w:val="000000"/>
          <w:spacing w:val="0"/>
          <w:w w:val="100"/>
          <w:position w:val="0"/>
          <w:shd w:val="clear" w:color="auto" w:fill="auto"/>
          <w:lang w:val="cs-CZ" w:eastAsia="cs-CZ" w:bidi="cs-CZ"/>
        </w:rPr>
        <w:t>CELKEM DPH 21 %</w:t>
        <w:tab/>
        <w:t>65 025,24 Kč</w:t>
      </w:r>
    </w:p>
    <w:p>
      <w:pPr>
        <w:pStyle w:val="Style29"/>
        <w:keepNext w:val="0"/>
        <w:keepLines w:val="0"/>
        <w:framePr w:w="5083" w:h="898" w:wrap="none" w:hAnchor="page" w:x="5264" w:y="6636"/>
        <w:widowControl w:val="0"/>
        <w:shd w:val="clear" w:color="auto" w:fill="auto"/>
        <w:tabs>
          <w:tab w:pos="3811" w:val="left"/>
        </w:tabs>
        <w:bidi w:val="0"/>
        <w:spacing w:before="0" w:line="240" w:lineRule="auto"/>
        <w:ind w:left="0" w:right="0" w:firstLine="0"/>
        <w:jc w:val="left"/>
      </w:pPr>
      <w:r>
        <w:rPr>
          <w:color w:val="000000"/>
          <w:spacing w:val="0"/>
          <w:w w:val="100"/>
          <w:position w:val="0"/>
          <w:shd w:val="clear" w:color="auto" w:fill="auto"/>
          <w:lang w:val="cs-CZ" w:eastAsia="cs-CZ" w:bidi="cs-CZ"/>
        </w:rPr>
        <w:t>CELKEM VČETNĚ DPH:</w:t>
        <w:tab/>
        <w:t>374 669,24 Kč</w:t>
      </w:r>
    </w:p>
    <w:tbl>
      <w:tblPr>
        <w:tblOverlap w:val="never"/>
        <w:jc w:val="left"/>
        <w:tblLayout w:type="fixed"/>
      </w:tblPr>
      <w:tblGrid>
        <w:gridCol w:w="4642"/>
        <w:gridCol w:w="1315"/>
        <w:gridCol w:w="1550"/>
        <w:gridCol w:w="1440"/>
      </w:tblGrid>
      <w:tr>
        <w:trPr>
          <w:trHeight w:val="456" w:hRule="exact"/>
        </w:trPr>
        <w:tc>
          <w:tcPr>
            <w:tcBorders/>
            <w:shd w:val="clear" w:color="auto" w:fill="E9E9E9"/>
            <w:vAlign w:val="top"/>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NÁZEV</w:t>
            </w:r>
          </w:p>
        </w:tc>
        <w:tc>
          <w:tcPr>
            <w:tcBorders/>
            <w:shd w:val="clear" w:color="auto" w:fill="E9E9E9"/>
            <w:vAlign w:val="top"/>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MNOŽSTVÍ</w:t>
            </w:r>
          </w:p>
        </w:tc>
        <w:tc>
          <w:tcPr>
            <w:tcBorders/>
            <w:shd w:val="clear" w:color="auto" w:fill="E9E9E9"/>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160" w:firstLine="0"/>
              <w:jc w:val="right"/>
              <w:rPr>
                <w:sz w:val="15"/>
                <w:szCs w:val="15"/>
              </w:rPr>
            </w:pPr>
            <w:r>
              <w:rPr>
                <w:color w:val="000000"/>
                <w:spacing w:val="0"/>
                <w:w w:val="100"/>
                <w:position w:val="0"/>
                <w:sz w:val="15"/>
                <w:szCs w:val="15"/>
                <w:shd w:val="clear" w:color="auto" w:fill="auto"/>
                <w:lang w:val="cs-CZ" w:eastAsia="cs-CZ" w:bidi="cs-CZ"/>
              </w:rPr>
              <w:t>CENA/MJ</w:t>
            </w:r>
          </w:p>
          <w:p>
            <w:pPr>
              <w:pStyle w:val="Style13"/>
              <w:keepNext w:val="0"/>
              <w:keepLines w:val="0"/>
              <w:framePr w:w="8947" w:h="4901" w:wrap="none" w:hAnchor="page" w:x="1448" w:y="1648"/>
              <w:widowControl w:val="0"/>
              <w:shd w:val="clear" w:color="auto" w:fill="auto"/>
              <w:bidi w:val="0"/>
              <w:spacing w:before="0" w:after="0" w:line="240" w:lineRule="auto"/>
              <w:ind w:left="0" w:right="160" w:firstLine="0"/>
              <w:jc w:val="right"/>
              <w:rPr>
                <w:sz w:val="15"/>
                <w:szCs w:val="15"/>
              </w:rPr>
            </w:pPr>
            <w:r>
              <w:rPr>
                <w:color w:val="000000"/>
                <w:spacing w:val="0"/>
                <w:w w:val="100"/>
                <w:position w:val="0"/>
                <w:sz w:val="15"/>
                <w:szCs w:val="15"/>
                <w:shd w:val="clear" w:color="auto" w:fill="auto"/>
                <w:lang w:val="cs-CZ" w:eastAsia="cs-CZ" w:bidi="cs-CZ"/>
              </w:rPr>
              <w:t>BEZ DPH</w:t>
            </w:r>
          </w:p>
        </w:tc>
        <w:tc>
          <w:tcPr>
            <w:tcBorders/>
            <w:shd w:val="clear" w:color="auto" w:fill="E9E9E9"/>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260"/>
              <w:jc w:val="both"/>
              <w:rPr>
                <w:sz w:val="15"/>
                <w:szCs w:val="15"/>
              </w:rPr>
            </w:pPr>
            <w:r>
              <w:rPr>
                <w:color w:val="000000"/>
                <w:spacing w:val="0"/>
                <w:w w:val="100"/>
                <w:position w:val="0"/>
                <w:sz w:val="15"/>
                <w:szCs w:val="15"/>
                <w:shd w:val="clear" w:color="auto" w:fill="auto"/>
                <w:lang w:val="cs-CZ" w:eastAsia="cs-CZ" w:bidi="cs-CZ"/>
              </w:rPr>
              <w:t>CENA CELKEM</w:t>
            </w:r>
          </w:p>
          <w:p>
            <w:pPr>
              <w:pStyle w:val="Style13"/>
              <w:keepNext w:val="0"/>
              <w:keepLines w:val="0"/>
              <w:framePr w:w="8947" w:h="4901" w:wrap="none" w:hAnchor="page" w:x="1448" w:y="1648"/>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BEZ DPH</w:t>
            </w:r>
          </w:p>
        </w:tc>
      </w:tr>
      <w:tr>
        <w:trPr>
          <w:trHeight w:val="370" w:hRule="exact"/>
        </w:trPr>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UPS o výkonu 30kVA</w:t>
            </w:r>
          </w:p>
        </w:tc>
        <w:tc>
          <w:tcPr>
            <w:tcBorders/>
            <w:shd w:val="clear" w:color="auto" w:fill="FFFFFF"/>
            <w:vAlign w:val="top"/>
          </w:tcPr>
          <w:p>
            <w:pPr>
              <w:framePr w:w="8947" w:h="4901" w:wrap="none" w:hAnchor="page" w:x="1448" w:y="1648"/>
              <w:widowControl w:val="0"/>
              <w:rPr>
                <w:sz w:val="10"/>
                <w:szCs w:val="10"/>
              </w:rPr>
            </w:pPr>
          </w:p>
        </w:tc>
        <w:tc>
          <w:tcPr>
            <w:tcBorders/>
            <w:shd w:val="clear" w:color="auto" w:fill="FFFFFF"/>
            <w:vAlign w:val="top"/>
          </w:tcPr>
          <w:p>
            <w:pPr>
              <w:framePr w:w="8947" w:h="4901" w:wrap="none" w:hAnchor="page" w:x="1448" w:y="1648"/>
              <w:widowControl w:val="0"/>
              <w:rPr>
                <w:sz w:val="10"/>
                <w:szCs w:val="10"/>
              </w:rPr>
            </w:pPr>
          </w:p>
        </w:tc>
        <w:tc>
          <w:tcPr>
            <w:tcBorders/>
            <w:shd w:val="clear" w:color="auto" w:fill="FFFFFF"/>
            <w:vAlign w:val="top"/>
          </w:tcPr>
          <w:p>
            <w:pPr>
              <w:framePr w:w="8947" w:h="4901" w:wrap="none" w:hAnchor="page" w:x="1448" w:y="1648"/>
              <w:widowControl w:val="0"/>
              <w:rPr>
                <w:sz w:val="10"/>
                <w:szCs w:val="10"/>
              </w:rPr>
            </w:pPr>
          </w:p>
        </w:tc>
      </w:tr>
      <w:tr>
        <w:trPr>
          <w:trHeight w:val="1032" w:hRule="exact"/>
        </w:trPr>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57" w:lineRule="auto"/>
              <w:ind w:left="0" w:right="0" w:firstLine="0"/>
              <w:jc w:val="left"/>
              <w:rPr>
                <w:sz w:val="18"/>
                <w:szCs w:val="18"/>
              </w:rPr>
            </w:pPr>
            <w:r>
              <w:rPr>
                <w:color w:val="000000"/>
                <w:spacing w:val="0"/>
                <w:w w:val="100"/>
                <w:position w:val="0"/>
                <w:sz w:val="18"/>
                <w:szCs w:val="18"/>
                <w:shd w:val="clear" w:color="auto" w:fill="auto"/>
                <w:lang w:val="cs-CZ" w:eastAsia="cs-CZ" w:bidi="cs-CZ"/>
              </w:rPr>
              <w:t>UPS AVARA Sentryum Xtend 30kVA 30kW Omin. 3f/3f/Online</w:t>
            </w:r>
          </w:p>
          <w:p>
            <w:pPr>
              <w:pStyle w:val="Style13"/>
              <w:keepNext w:val="0"/>
              <w:keepLines w:val="0"/>
              <w:framePr w:w="8947" w:h="4901" w:wrap="none" w:hAnchor="page" w:x="1448" w:y="1648"/>
              <w:widowControl w:val="0"/>
              <w:shd w:val="clear" w:color="auto" w:fill="auto"/>
              <w:bidi w:val="0"/>
              <w:spacing w:before="0" w:after="0" w:line="257" w:lineRule="auto"/>
              <w:ind w:left="0" w:right="0" w:firstLine="0"/>
              <w:jc w:val="left"/>
              <w:rPr>
                <w:sz w:val="18"/>
                <w:szCs w:val="18"/>
              </w:rPr>
            </w:pPr>
            <w:r>
              <w:rPr>
                <w:color w:val="000000"/>
                <w:spacing w:val="0"/>
                <w:w w:val="100"/>
                <w:position w:val="0"/>
                <w:sz w:val="18"/>
                <w:szCs w:val="18"/>
                <w:shd w:val="clear" w:color="auto" w:fill="auto"/>
                <w:lang w:val="cs-CZ" w:eastAsia="cs-CZ" w:bidi="cs-CZ"/>
              </w:rPr>
              <w:t>Rozměry: šhv: 440x840x1320mm, hmotnosti 12kg</w:t>
            </w:r>
          </w:p>
        </w:tc>
        <w:tc>
          <w:tcPr>
            <w:tcBorders/>
            <w:shd w:val="clear" w:color="auto" w:fill="FFFFFF"/>
            <w:vAlign w:val="top"/>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 ks</w:t>
            </w:r>
          </w:p>
        </w:tc>
        <w:tc>
          <w:tcPr>
            <w:tcBorders/>
            <w:shd w:val="clear" w:color="auto" w:fill="FFFFFF"/>
            <w:vAlign w:val="top"/>
          </w:tcPr>
          <w:p>
            <w:pPr>
              <w:pStyle w:val="Style13"/>
              <w:keepNext w:val="0"/>
              <w:keepLines w:val="0"/>
              <w:framePr w:w="8947" w:h="4901" w:wrap="none" w:hAnchor="page" w:x="1448" w:y="1648"/>
              <w:widowControl w:val="0"/>
              <w:shd w:val="clear" w:color="auto" w:fill="auto"/>
              <w:bidi w:val="0"/>
              <w:spacing w:before="0" w:after="0" w:line="240" w:lineRule="auto"/>
              <w:ind w:left="0" w:right="0" w:firstLine="160"/>
              <w:jc w:val="left"/>
              <w:rPr>
                <w:sz w:val="18"/>
                <w:szCs w:val="18"/>
              </w:rPr>
            </w:pPr>
            <w:r>
              <w:rPr>
                <w:color w:val="000000"/>
                <w:spacing w:val="0"/>
                <w:w w:val="100"/>
                <w:position w:val="0"/>
                <w:sz w:val="18"/>
                <w:szCs w:val="18"/>
                <w:shd w:val="clear" w:color="auto" w:fill="auto"/>
                <w:lang w:val="cs-CZ" w:eastAsia="cs-CZ" w:bidi="cs-CZ"/>
              </w:rPr>
              <w:t>220 545,00 Kč</w:t>
            </w:r>
          </w:p>
        </w:tc>
        <w:tc>
          <w:tcPr>
            <w:tcBorders/>
            <w:shd w:val="clear" w:color="auto" w:fill="FFFFFF"/>
            <w:vAlign w:val="top"/>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220 545,00 Kč</w:t>
            </w:r>
          </w:p>
        </w:tc>
      </w:tr>
      <w:tr>
        <w:trPr>
          <w:trHeight w:val="331" w:hRule="exact"/>
        </w:trPr>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Kit pro instalaci baterií</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 ks</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8 197,00 Kč</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360"/>
              <w:jc w:val="both"/>
              <w:rPr>
                <w:sz w:val="18"/>
                <w:szCs w:val="18"/>
              </w:rPr>
            </w:pPr>
            <w:r>
              <w:rPr>
                <w:color w:val="000000"/>
                <w:spacing w:val="0"/>
                <w:w w:val="100"/>
                <w:position w:val="0"/>
                <w:sz w:val="18"/>
                <w:szCs w:val="18"/>
                <w:shd w:val="clear" w:color="auto" w:fill="auto"/>
                <w:lang w:val="cs-CZ" w:eastAsia="cs-CZ" w:bidi="cs-CZ"/>
              </w:rPr>
              <w:t>8 197,00 Kč</w:t>
            </w:r>
          </w:p>
        </w:tc>
      </w:tr>
      <w:tr>
        <w:trPr>
          <w:trHeight w:val="331" w:hRule="exact"/>
        </w:trPr>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komunikační karta SNMP</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 ks</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5 192,00 Kč</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360"/>
              <w:jc w:val="both"/>
              <w:rPr>
                <w:sz w:val="18"/>
                <w:szCs w:val="18"/>
              </w:rPr>
            </w:pPr>
            <w:r>
              <w:rPr>
                <w:color w:val="000000"/>
                <w:spacing w:val="0"/>
                <w:w w:val="100"/>
                <w:position w:val="0"/>
                <w:sz w:val="18"/>
                <w:szCs w:val="18"/>
                <w:shd w:val="clear" w:color="auto" w:fill="auto"/>
                <w:lang w:val="cs-CZ" w:eastAsia="cs-CZ" w:bidi="cs-CZ"/>
              </w:rPr>
              <w:t>5 192,00 Kč</w:t>
            </w:r>
          </w:p>
        </w:tc>
      </w:tr>
      <w:tr>
        <w:trPr>
          <w:trHeight w:val="336" w:hRule="exact"/>
        </w:trPr>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Box na AKU pro UPS AVARA bez akumulátorů</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 ks</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shd w:val="clear" w:color="auto" w:fill="auto"/>
                <w:lang w:val="cs-CZ" w:eastAsia="cs-CZ" w:bidi="cs-CZ"/>
              </w:rPr>
              <w:t>28 600,00 Kč</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260"/>
              <w:jc w:val="both"/>
              <w:rPr>
                <w:sz w:val="18"/>
                <w:szCs w:val="18"/>
              </w:rPr>
            </w:pPr>
            <w:r>
              <w:rPr>
                <w:color w:val="000000"/>
                <w:spacing w:val="0"/>
                <w:w w:val="100"/>
                <w:position w:val="0"/>
                <w:sz w:val="18"/>
                <w:szCs w:val="18"/>
                <w:shd w:val="clear" w:color="auto" w:fill="auto"/>
                <w:lang w:val="cs-CZ" w:eastAsia="cs-CZ" w:bidi="cs-CZ"/>
              </w:rPr>
              <w:t>28 600,00 Kč</w:t>
            </w:r>
          </w:p>
        </w:tc>
      </w:tr>
      <w:tr>
        <w:trPr>
          <w:trHeight w:val="336" w:hRule="exact"/>
        </w:trPr>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Elektromateriál pro připojení</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 ks</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6 350,00 Kč</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360"/>
              <w:jc w:val="both"/>
              <w:rPr>
                <w:sz w:val="18"/>
                <w:szCs w:val="18"/>
              </w:rPr>
            </w:pPr>
            <w:r>
              <w:rPr>
                <w:color w:val="000000"/>
                <w:spacing w:val="0"/>
                <w:w w:val="100"/>
                <w:position w:val="0"/>
                <w:sz w:val="18"/>
                <w:szCs w:val="18"/>
                <w:shd w:val="clear" w:color="auto" w:fill="auto"/>
                <w:lang w:val="cs-CZ" w:eastAsia="cs-CZ" w:bidi="cs-CZ"/>
              </w:rPr>
              <w:t>6 350,00 Kč</w:t>
            </w:r>
          </w:p>
        </w:tc>
      </w:tr>
      <w:tr>
        <w:trPr>
          <w:trHeight w:val="806" w:hRule="exact"/>
        </w:trPr>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Deinstalace původní UPS a ekologická likvidace včetně demontáže akumulátorů pro budoucí použití a stěhovacích služeb</w:t>
            </w:r>
          </w:p>
        </w:tc>
        <w:tc>
          <w:tcPr>
            <w:tcBorders/>
            <w:shd w:val="clear" w:color="auto" w:fill="FFFFFF"/>
            <w:vAlign w:val="top"/>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 ks</w:t>
            </w:r>
          </w:p>
        </w:tc>
        <w:tc>
          <w:tcPr>
            <w:tcBorders/>
            <w:shd w:val="clear" w:color="auto" w:fill="FFFFFF"/>
            <w:vAlign w:val="top"/>
          </w:tcPr>
          <w:p>
            <w:pPr>
              <w:pStyle w:val="Style13"/>
              <w:keepNext w:val="0"/>
              <w:keepLines w:val="0"/>
              <w:framePr w:w="8947" w:h="4901" w:wrap="none" w:hAnchor="page" w:x="1448" w:y="1648"/>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shd w:val="clear" w:color="auto" w:fill="auto"/>
                <w:lang w:val="cs-CZ" w:eastAsia="cs-CZ" w:bidi="cs-CZ"/>
              </w:rPr>
              <w:t>13 700,00 Kč</w:t>
            </w:r>
          </w:p>
        </w:tc>
        <w:tc>
          <w:tcPr>
            <w:tcBorders/>
            <w:shd w:val="clear" w:color="auto" w:fill="FFFFFF"/>
            <w:vAlign w:val="top"/>
          </w:tcPr>
          <w:p>
            <w:pPr>
              <w:pStyle w:val="Style13"/>
              <w:keepNext w:val="0"/>
              <w:keepLines w:val="0"/>
              <w:framePr w:w="8947" w:h="4901" w:wrap="none" w:hAnchor="page" w:x="1448" w:y="1648"/>
              <w:widowControl w:val="0"/>
              <w:shd w:val="clear" w:color="auto" w:fill="auto"/>
              <w:bidi w:val="0"/>
              <w:spacing w:before="0" w:after="0" w:line="240" w:lineRule="auto"/>
              <w:ind w:left="0" w:right="0" w:firstLine="260"/>
              <w:jc w:val="both"/>
              <w:rPr>
                <w:sz w:val="18"/>
                <w:szCs w:val="18"/>
              </w:rPr>
            </w:pPr>
            <w:r>
              <w:rPr>
                <w:color w:val="000000"/>
                <w:spacing w:val="0"/>
                <w:w w:val="100"/>
                <w:position w:val="0"/>
                <w:sz w:val="18"/>
                <w:szCs w:val="18"/>
                <w:shd w:val="clear" w:color="auto" w:fill="auto"/>
                <w:lang w:val="cs-CZ" w:eastAsia="cs-CZ" w:bidi="cs-CZ"/>
              </w:rPr>
              <w:t>13 700,00 Kč</w:t>
            </w:r>
          </w:p>
        </w:tc>
      </w:tr>
      <w:tr>
        <w:trPr>
          <w:trHeight w:val="547" w:hRule="exact"/>
        </w:trPr>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33" w:lineRule="auto"/>
              <w:ind w:left="0" w:right="0" w:firstLine="0"/>
              <w:jc w:val="left"/>
              <w:rPr>
                <w:sz w:val="18"/>
                <w:szCs w:val="18"/>
              </w:rPr>
            </w:pPr>
            <w:r>
              <w:rPr>
                <w:color w:val="000000"/>
                <w:spacing w:val="0"/>
                <w:w w:val="100"/>
                <w:position w:val="0"/>
                <w:sz w:val="18"/>
                <w:szCs w:val="18"/>
                <w:shd w:val="clear" w:color="auto" w:fill="auto"/>
                <w:lang w:val="cs-CZ" w:eastAsia="cs-CZ" w:bidi="cs-CZ"/>
              </w:rPr>
              <w:t>Certifikovaná instalace UPS, včetně přesunu akumulátorů</w:t>
            </w:r>
          </w:p>
        </w:tc>
        <w:tc>
          <w:tcPr>
            <w:tcBorders/>
            <w:shd w:val="clear" w:color="auto" w:fill="FFFFFF"/>
            <w:vAlign w:val="top"/>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 ks</w:t>
            </w:r>
          </w:p>
        </w:tc>
        <w:tc>
          <w:tcPr>
            <w:tcBorders/>
            <w:shd w:val="clear" w:color="auto" w:fill="FFFFFF"/>
            <w:vAlign w:val="top"/>
          </w:tcPr>
          <w:p>
            <w:pPr>
              <w:pStyle w:val="Style13"/>
              <w:keepNext w:val="0"/>
              <w:keepLines w:val="0"/>
              <w:framePr w:w="8947" w:h="4901" w:wrap="none" w:hAnchor="page" w:x="1448" w:y="1648"/>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shd w:val="clear" w:color="auto" w:fill="auto"/>
                <w:lang w:val="cs-CZ" w:eastAsia="cs-CZ" w:bidi="cs-CZ"/>
              </w:rPr>
              <w:t>18 700,00 Kč</w:t>
            </w:r>
          </w:p>
        </w:tc>
        <w:tc>
          <w:tcPr>
            <w:tcBorders/>
            <w:shd w:val="clear" w:color="auto" w:fill="FFFFFF"/>
            <w:vAlign w:val="top"/>
          </w:tcPr>
          <w:p>
            <w:pPr>
              <w:pStyle w:val="Style13"/>
              <w:keepNext w:val="0"/>
              <w:keepLines w:val="0"/>
              <w:framePr w:w="8947" w:h="4901" w:wrap="none" w:hAnchor="page" w:x="1448" w:y="1648"/>
              <w:widowControl w:val="0"/>
              <w:shd w:val="clear" w:color="auto" w:fill="auto"/>
              <w:bidi w:val="0"/>
              <w:spacing w:before="0" w:after="0" w:line="240" w:lineRule="auto"/>
              <w:ind w:left="0" w:right="0" w:firstLine="260"/>
              <w:jc w:val="both"/>
              <w:rPr>
                <w:sz w:val="18"/>
                <w:szCs w:val="18"/>
              </w:rPr>
            </w:pPr>
            <w:r>
              <w:rPr>
                <w:color w:val="000000"/>
                <w:spacing w:val="0"/>
                <w:w w:val="100"/>
                <w:position w:val="0"/>
                <w:sz w:val="18"/>
                <w:szCs w:val="18"/>
                <w:shd w:val="clear" w:color="auto" w:fill="auto"/>
                <w:lang w:val="cs-CZ" w:eastAsia="cs-CZ" w:bidi="cs-CZ"/>
              </w:rPr>
              <w:t>18 700,00 Kč</w:t>
            </w:r>
          </w:p>
        </w:tc>
      </w:tr>
      <w:tr>
        <w:trPr>
          <w:trHeight w:val="355" w:hRule="exact"/>
        </w:trPr>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Dopravní náklady technici + odvoz UPS</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 ks</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360"/>
              <w:jc w:val="left"/>
              <w:rPr>
                <w:sz w:val="18"/>
                <w:szCs w:val="18"/>
              </w:rPr>
            </w:pPr>
            <w:r>
              <w:rPr>
                <w:color w:val="000000"/>
                <w:spacing w:val="0"/>
                <w:w w:val="100"/>
                <w:position w:val="0"/>
                <w:sz w:val="18"/>
                <w:szCs w:val="18"/>
                <w:shd w:val="clear" w:color="auto" w:fill="auto"/>
                <w:lang w:val="cs-CZ" w:eastAsia="cs-CZ" w:bidi="cs-CZ"/>
              </w:rPr>
              <w:t>8 360,00 Kč</w:t>
            </w:r>
          </w:p>
        </w:tc>
        <w:tc>
          <w:tcPr>
            <w:tcBorders/>
            <w:shd w:val="clear" w:color="auto" w:fill="FFFFFF"/>
            <w:vAlign w:val="bottom"/>
          </w:tcPr>
          <w:p>
            <w:pPr>
              <w:pStyle w:val="Style13"/>
              <w:keepNext w:val="0"/>
              <w:keepLines w:val="0"/>
              <w:framePr w:w="8947" w:h="4901" w:wrap="none" w:hAnchor="page" w:x="1448" w:y="1648"/>
              <w:widowControl w:val="0"/>
              <w:shd w:val="clear" w:color="auto" w:fill="auto"/>
              <w:bidi w:val="0"/>
              <w:spacing w:before="0" w:after="0" w:line="240" w:lineRule="auto"/>
              <w:ind w:left="0" w:right="0" w:firstLine="360"/>
              <w:jc w:val="both"/>
              <w:rPr>
                <w:sz w:val="18"/>
                <w:szCs w:val="18"/>
              </w:rPr>
            </w:pPr>
            <w:r>
              <w:rPr>
                <w:color w:val="000000"/>
                <w:spacing w:val="0"/>
                <w:w w:val="100"/>
                <w:position w:val="0"/>
                <w:sz w:val="18"/>
                <w:szCs w:val="18"/>
                <w:shd w:val="clear" w:color="auto" w:fill="auto"/>
                <w:lang w:val="cs-CZ" w:eastAsia="cs-CZ" w:bidi="cs-CZ"/>
              </w:rPr>
              <w:t>8 360,00 Kč</w:t>
            </w:r>
          </w:p>
        </w:tc>
      </w:tr>
    </w:tbl>
    <w:p>
      <w:pPr>
        <w:framePr w:w="8947" w:h="4901" w:wrap="none" w:hAnchor="page" w:x="1448" w:y="1648"/>
        <w:widowControl w:val="0"/>
        <w:spacing w:line="1" w:lineRule="exact"/>
      </w:pPr>
    </w:p>
    <w:p>
      <w:pPr>
        <w:widowControl w:val="0"/>
        <w:spacing w:line="360" w:lineRule="exact"/>
      </w:pPr>
      <w:r>
        <w:drawing>
          <wp:anchor distT="0" distB="0" distL="0" distR="0" simplePos="0" relativeHeight="62914708" behindDoc="1" locked="0" layoutInCell="1" allowOverlap="1">
            <wp:simplePos x="0" y="0"/>
            <wp:positionH relativeFrom="page">
              <wp:posOffset>900430</wp:posOffset>
            </wp:positionH>
            <wp:positionV relativeFrom="margin">
              <wp:posOffset>1040130</wp:posOffset>
            </wp:positionV>
            <wp:extent cx="5763895" cy="3767455"/>
            <wp:wrapNone/>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3"/>
                    <a:stretch/>
                  </pic:blipFill>
                  <pic:spPr>
                    <a:xfrm>
                      <a:ext cx="5763895" cy="37674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7" w:line="1" w:lineRule="exact"/>
      </w:pPr>
    </w:p>
    <w:p>
      <w:pPr>
        <w:widowControl w:val="0"/>
        <w:spacing w:line="1" w:lineRule="exact"/>
      </w:pPr>
    </w:p>
    <w:sectPr>
      <w:footnotePr>
        <w:pos w:val="pageBottom"/>
        <w:numFmt w:val="decimal"/>
        <w:numRestart w:val="continuous"/>
      </w:footnotePr>
      <w:pgSz w:w="11909" w:h="16838"/>
      <w:pgMar w:top="1084" w:left="1418" w:right="1384" w:bottom="125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5841365</wp:posOffset>
              </wp:positionH>
              <wp:positionV relativeFrom="page">
                <wp:posOffset>9922510</wp:posOffset>
              </wp:positionV>
              <wp:extent cx="822960" cy="201295"/>
              <wp:wrapNone/>
              <wp:docPr id="5" name="Shape 5"/>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31" type="#_x0000_t202" style="position:absolute;margin-left:459.94999999999999pt;margin-top:781.30000000000007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5841365</wp:posOffset>
              </wp:positionH>
              <wp:positionV relativeFrom="page">
                <wp:posOffset>9735185</wp:posOffset>
              </wp:positionV>
              <wp:extent cx="822960" cy="201295"/>
              <wp:wrapNone/>
              <wp:docPr id="11" name="Shape 1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37" type="#_x0000_t202" style="position:absolute;margin-left:459.94999999999999pt;margin-top:766.55000000000007pt;width:64.799999999999997pt;height:15.85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5841365</wp:posOffset>
              </wp:positionH>
              <wp:positionV relativeFrom="page">
                <wp:posOffset>9922510</wp:posOffset>
              </wp:positionV>
              <wp:extent cx="822960" cy="201295"/>
              <wp:wrapNone/>
              <wp:docPr id="21" name="Shape 2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47" type="#_x0000_t202" style="position:absolute;margin-left:459.94999999999999pt;margin-top:781.30000000000007pt;width:64.799999999999997pt;height:15.85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5841365</wp:posOffset>
              </wp:positionH>
              <wp:positionV relativeFrom="page">
                <wp:posOffset>9922510</wp:posOffset>
              </wp:positionV>
              <wp:extent cx="822960" cy="201295"/>
              <wp:wrapNone/>
              <wp:docPr id="25" name="Shape 25"/>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51" type="#_x0000_t202" style="position:absolute;margin-left:459.94999999999999pt;margin-top:781.30000000000007pt;width:64.799999999999997pt;height:15.85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435610</wp:posOffset>
              </wp:positionV>
              <wp:extent cx="920750" cy="189230"/>
              <wp:wrapNone/>
              <wp:docPr id="3" name="Shape 3"/>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29" type="#_x0000_t202" style="position:absolute;margin-left:452.pt;margin-top:34.300000000000004pt;width:72.5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276860</wp:posOffset>
              </wp:positionV>
              <wp:extent cx="920750" cy="189230"/>
              <wp:wrapNone/>
              <wp:docPr id="7" name="Shape 7"/>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3" type="#_x0000_t202" style="position:absolute;margin-left:452.pt;margin-top:21.800000000000001pt;width:72.5pt;height:14.9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2710815</wp:posOffset>
              </wp:positionH>
              <wp:positionV relativeFrom="page">
                <wp:posOffset>606425</wp:posOffset>
              </wp:positionV>
              <wp:extent cx="2267585" cy="198120"/>
              <wp:wrapNone/>
              <wp:docPr id="9" name="Shape 9"/>
              <a:graphic xmlns:a="http://schemas.openxmlformats.org/drawingml/2006/main">
                <a:graphicData uri="http://schemas.microsoft.com/office/word/2010/wordprocessingShape">
                  <wps:wsp>
                    <wps:cNvSpPr txBox="1"/>
                    <wps:spPr>
                      <a:xfrm>
                        <a:ext cx="2267585" cy="1981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wps:txbx>
                    <wps:bodyPr wrap="none" lIns="0" tIns="0" rIns="0" bIns="0">
                      <a:spAutoFit/>
                    </wps:bodyPr>
                  </wps:wsp>
                </a:graphicData>
              </a:graphic>
            </wp:anchor>
          </w:drawing>
        </mc:Choice>
        <mc:Fallback>
          <w:pict>
            <v:shape id="_x0000_s1035" type="#_x0000_t202" style="position:absolute;margin-left:213.45000000000002pt;margin-top:47.75pt;width:178.55000000000001pt;height:15.6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5740400</wp:posOffset>
              </wp:positionH>
              <wp:positionV relativeFrom="page">
                <wp:posOffset>435610</wp:posOffset>
              </wp:positionV>
              <wp:extent cx="920750" cy="189230"/>
              <wp:wrapNone/>
              <wp:docPr id="19" name="Shape 19"/>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45" type="#_x0000_t202" style="position:absolute;margin-left:452.pt;margin-top:34.300000000000004pt;width:72.5pt;height:14.9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5740400</wp:posOffset>
              </wp:positionH>
              <wp:positionV relativeFrom="page">
                <wp:posOffset>435610</wp:posOffset>
              </wp:positionV>
              <wp:extent cx="920750" cy="189230"/>
              <wp:wrapNone/>
              <wp:docPr id="23" name="Shape 23"/>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49" type="#_x0000_t202" style="position:absolute;margin-left:452.pt;margin-top:34.300000000000004pt;width:72.5pt;height:14.9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4">
    <w:name w:val="Char Style 24"/>
    <w:basedOn w:val="DefaultParagraphFont"/>
    <w:link w:val="Style23"/>
    <w:rPr>
      <w:rFonts w:ascii="Arial" w:eastAsia="Arial" w:hAnsi="Arial" w:cs="Arial"/>
      <w:b/>
      <w:bCs/>
      <w:i w:val="0"/>
      <w:iCs w:val="0"/>
      <w:smallCaps w:val="0"/>
      <w:strike w:val="0"/>
      <w:sz w:val="22"/>
      <w:szCs w:val="22"/>
      <w:u w:val="none"/>
    </w:rPr>
  </w:style>
  <w:style w:type="character" w:customStyle="1" w:styleId="CharStyle26">
    <w:name w:val="Char Style 26"/>
    <w:basedOn w:val="DefaultParagraphFont"/>
    <w:link w:val="Style25"/>
    <w:rPr>
      <w:rFonts w:ascii="Arial" w:eastAsia="Arial" w:hAnsi="Arial" w:cs="Arial"/>
      <w:b/>
      <w:bCs/>
      <w:i w:val="0"/>
      <w:iCs w:val="0"/>
      <w:smallCaps w:val="0"/>
      <w:strike w:val="0"/>
      <w:sz w:val="28"/>
      <w:szCs w:val="28"/>
      <w:u w:val="none"/>
    </w:rPr>
  </w:style>
  <w:style w:type="character" w:customStyle="1" w:styleId="CharStyle28">
    <w:name w:val="Char Style 28"/>
    <w:basedOn w:val="DefaultParagraphFont"/>
    <w:link w:val="Style27"/>
    <w:rPr>
      <w:rFonts w:ascii="Arial" w:eastAsia="Arial" w:hAnsi="Arial" w:cs="Arial"/>
      <w:b w:val="0"/>
      <w:bCs w:val="0"/>
      <w:i w:val="0"/>
      <w:iCs w:val="0"/>
      <w:smallCaps w:val="0"/>
      <w:strike w:val="0"/>
      <w:sz w:val="22"/>
      <w:szCs w:val="22"/>
      <w:u w:val="none"/>
    </w:rPr>
  </w:style>
  <w:style w:type="character" w:customStyle="1" w:styleId="CharStyle30">
    <w:name w:val="Char Style 30"/>
    <w:basedOn w:val="DefaultParagraphFont"/>
    <w:link w:val="Style29"/>
    <w:rPr>
      <w:rFonts w:ascii="Arial" w:eastAsia="Arial" w:hAnsi="Arial" w:cs="Arial"/>
      <w:b w:val="0"/>
      <w:bCs w:val="0"/>
      <w:i w:val="0"/>
      <w:iCs w:val="0"/>
      <w:smallCaps w:val="0"/>
      <w:strike w:val="0"/>
      <w:sz w:val="18"/>
      <w:szCs w:val="18"/>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23">
    <w:name w:val="Style 23"/>
    <w:basedOn w:val="Normal"/>
    <w:link w:val="CharStyle24"/>
    <w:pPr>
      <w:widowControl w:val="0"/>
      <w:shd w:val="clear" w:color="auto" w:fill="FFFFFF"/>
      <w:spacing w:after="410"/>
      <w:ind w:firstLine="160"/>
      <w:outlineLvl w:val="2"/>
    </w:pPr>
    <w:rPr>
      <w:rFonts w:ascii="Arial" w:eastAsia="Arial" w:hAnsi="Arial" w:cs="Arial"/>
      <w:b/>
      <w:bCs/>
      <w:i w:val="0"/>
      <w:iCs w:val="0"/>
      <w:smallCaps w:val="0"/>
      <w:strike w:val="0"/>
      <w:sz w:val="22"/>
      <w:szCs w:val="22"/>
      <w:u w:val="none"/>
    </w:rPr>
  </w:style>
  <w:style w:type="paragraph" w:customStyle="1" w:styleId="Style25">
    <w:name w:val="Style 25"/>
    <w:basedOn w:val="Normal"/>
    <w:link w:val="CharStyle26"/>
    <w:pPr>
      <w:widowControl w:val="0"/>
      <w:shd w:val="clear" w:color="auto" w:fill="FFFFFF"/>
      <w:spacing w:after="190"/>
      <w:jc w:val="center"/>
    </w:pPr>
    <w:rPr>
      <w:rFonts w:ascii="Arial" w:eastAsia="Arial" w:hAnsi="Arial" w:cs="Arial"/>
      <w:b/>
      <w:bCs/>
      <w:i w:val="0"/>
      <w:iCs w:val="0"/>
      <w:smallCaps w:val="0"/>
      <w:strike w:val="0"/>
      <w:sz w:val="28"/>
      <w:szCs w:val="28"/>
      <w:u w:val="none"/>
    </w:rPr>
  </w:style>
  <w:style w:type="paragraph" w:customStyle="1" w:styleId="Style27">
    <w:name w:val="Style 27"/>
    <w:basedOn w:val="Normal"/>
    <w:link w:val="CharStyle28"/>
    <w:pPr>
      <w:widowControl w:val="0"/>
      <w:shd w:val="clear" w:color="auto" w:fill="FFFFFF"/>
      <w:spacing w:line="259" w:lineRule="auto"/>
    </w:pPr>
    <w:rPr>
      <w:rFonts w:ascii="Arial" w:eastAsia="Arial" w:hAnsi="Arial" w:cs="Arial"/>
      <w:b w:val="0"/>
      <w:bCs w:val="0"/>
      <w:i w:val="0"/>
      <w:iCs w:val="0"/>
      <w:smallCaps w:val="0"/>
      <w:strike w:val="0"/>
      <w:sz w:val="22"/>
      <w:szCs w:val="22"/>
      <w:u w:val="none"/>
    </w:rPr>
  </w:style>
  <w:style w:type="paragraph" w:customStyle="1" w:styleId="Style29">
    <w:name w:val="Style 29"/>
    <w:basedOn w:val="Normal"/>
    <w:link w:val="CharStyle30"/>
    <w:pPr>
      <w:widowControl w:val="0"/>
      <w:shd w:val="clear" w:color="auto" w:fill="FFFFFF"/>
      <w:spacing w:after="40"/>
    </w:pPr>
    <w:rPr>
      <w:rFonts w:ascii="Arial" w:eastAsia="Arial" w:hAnsi="Arial" w:cs="Arial"/>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image" Target="media/image1.jpeg"/><Relationship Id="rId14"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Beržinský Miroslav</dc:creator>
  <cp:keywords/>
</cp:coreProperties>
</file>