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4162" w:h="326" w:wrap="none" w:hAnchor="page" w:x="1016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Příloha č. 1 SOD č. 994/2024 Oceněný soupis prací</w:t>
      </w:r>
    </w:p>
    <w:tbl>
      <w:tblPr>
        <w:tblOverlap w:val="never"/>
        <w:jc w:val="left"/>
        <w:tblLayout w:type="fixed"/>
      </w:tblPr>
      <w:tblGrid>
        <w:gridCol w:w="643"/>
        <w:gridCol w:w="4152"/>
        <w:gridCol w:w="1075"/>
        <w:gridCol w:w="787"/>
        <w:gridCol w:w="955"/>
        <w:gridCol w:w="898"/>
      </w:tblGrid>
      <w:tr>
        <w:trPr>
          <w:trHeight w:val="35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gridSpan w:val="3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204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Ceník potápěčských prací - 2023-2024</w:t>
            </w:r>
          </w:p>
        </w:tc>
        <w:tc>
          <w:tcPr>
            <w:gridSpan w:val="2"/>
            <w:vMerge w:val="restart"/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bez DPH</w:t>
            </w:r>
          </w:p>
        </w:tc>
      </w:tr>
      <w:tr>
        <w:trPr>
          <w:trHeight w:val="442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gridSpan w:val="2"/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1480" w:right="0" w:firstLine="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položka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6"/>
                <w:szCs w:val="16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6"/>
                <w:szCs w:val="16"/>
                <w:shd w:val="clear" w:color="auto" w:fill="auto"/>
                <w:lang w:val="cs-CZ" w:eastAsia="cs-CZ" w:bidi="cs-CZ"/>
              </w:rPr>
              <w:t>cena Kč</w:t>
            </w:r>
          </w:p>
        </w:tc>
        <w:tc>
          <w:tcPr>
            <w:gridSpan w:val="2"/>
            <w:vMerge/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framePr w:w="8510" w:h="13114" w:wrap="none" w:hAnchor="page" w:x="1040" w:y="755"/>
            </w:pPr>
          </w:p>
        </w:tc>
      </w:tr>
      <w:tr>
        <w:trPr>
          <w:trHeight w:val="437" w:hRule="exact"/>
        </w:trPr>
        <w:tc>
          <w:tcPr>
            <w:gridSpan w:val="2"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stavební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celkem</w:t>
            </w:r>
          </w:p>
        </w:tc>
      </w:tr>
      <w:tr>
        <w:trPr>
          <w:trHeight w:val="437" w:hRule="exact"/>
        </w:trPr>
        <w:tc>
          <w:tcPr>
            <w:gridSpan w:val="4"/>
            <w:tcBorders>
              <w:left w:val="single" w:sz="4"/>
            </w:tcBorders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Celkem: Potápěčské práce stavební - VD Újezd - kontrola a oprava rozmraz zařízení potápěčské práce akce 202 745</w:t>
            </w:r>
          </w:p>
        </w:tc>
        <w:tc>
          <w:tcPr>
            <w:tcBorders/>
            <w:shd w:val="clear" w:color="auto" w:fill="FFFF02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2024, č.</w:t>
            </w:r>
          </w:p>
        </w:tc>
        <w:tc>
          <w:tcPr>
            <w:tcBorders>
              <w:right w:val="single" w:sz="4"/>
            </w:tcBorders>
            <w:shd w:val="clear" w:color="auto" w:fill="FFFF02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189 115,00</w:t>
            </w:r>
          </w:p>
        </w:tc>
      </w:tr>
      <w:tr>
        <w:trPr>
          <w:trHeight w:val="2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nad hladinou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137 931,00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do 13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31 984,00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13 m do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2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Potápěčské práce prováděné pod hladinou od 40 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osobohodin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42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Potápěčská technika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stavební kompresor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nákladní přívěs do 3,5 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mini jeřab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3 000,00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plast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vč. motoru 115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3 199,00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pracovní člun hliník vč. motoru 40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lodní motor do 10 HP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skládací plovoucí plošina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400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700 bar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4 099,00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vysokotlaký vodní zdroj 200 bar - elektro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elektro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100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odsávací zařízení vzduchové průměr 150 mm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100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výtlačná hadice průměr 150 mm (každých započatých 20 m)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ponorné čerpadlo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speciální přilbová souprava do kontaminované vody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technická souprava pro umělé dýchací směsi NITROX-TRIMIX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elektrocentrála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600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elektrická svářečka do 300 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svářecí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pálicí souprava pod vodu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ocelový pracovní ponton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vrátek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27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vzduchový otloukač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sbíjecí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vrtací kladivo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2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bruska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vrtačka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vzduchová řetězová pila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vzduchová UW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jádrová vrtačka s diam. vrtákem, elektrická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fotoaparát pod vodou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videosystém pod vodou</w:t>
            </w:r>
          </w:p>
        </w:tc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1 998,00</w:t>
            </w:r>
          </w:p>
        </w:tc>
      </w:tr>
      <w:tr>
        <w:trPr>
          <w:trHeight w:val="221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5 Potápěčská technika</w:t>
            </w:r>
          </w:p>
        </w:tc>
        <w:tc>
          <w:tcPr>
            <w:vMerge/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3 996,00</w:t>
            </w:r>
          </w:p>
        </w:tc>
      </w:tr>
      <w:tr>
        <w:trPr>
          <w:trHeight w:val="427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Ostatní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cena Kč za jednotku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Kč bez DPH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videozáznamu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hod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499,00</w:t>
            </w: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1 497,00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zpracování plánu BOZP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aktualizace plánu BOPZ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1 499,00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ubytování pracovníků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den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0,00</w:t>
            </w:r>
          </w:p>
        </w:tc>
      </w:tr>
      <w:tr>
        <w:trPr>
          <w:trHeight w:val="21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vypracování nálezové zprávy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8 899,00</w:t>
            </w:r>
          </w:p>
        </w:tc>
      </w:tr>
      <w:tr>
        <w:trPr>
          <w:trHeight w:val="20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doprava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km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55,00</w:t>
            </w:r>
          </w:p>
        </w:tc>
        <w:tc>
          <w:tcPr>
            <w:tcBorders>
              <w:right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4 400,00</w:t>
            </w:r>
          </w:p>
        </w:tc>
      </w:tr>
      <w:tr>
        <w:trPr>
          <w:trHeight w:val="288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 6 Ostatní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8510" w:h="13114" w:wrap="none" w:hAnchor="page" w:x="1040" w:y="755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14 796,00</w:t>
            </w:r>
          </w:p>
        </w:tc>
      </w:tr>
      <w:tr>
        <w:trPr>
          <w:trHeight w:val="418" w:hRule="exact"/>
        </w:trPr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Materiál: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těsnící gumičky a "O" kroužky trysek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ks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24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17,00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4"/>
              <w:keepNext w:val="0"/>
              <w:keepLines w:val="0"/>
              <w:framePr w:w="8510" w:h="13114" w:wrap="none" w:hAnchor="page" w:x="1040" w:y="755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408,00</w:t>
            </w:r>
          </w:p>
        </w:tc>
      </w:tr>
    </w:tbl>
    <w:p>
      <w:pPr>
        <w:framePr w:w="8510" w:h="13114" w:wrap="none" w:hAnchor="page" w:x="1040" w:y="755"/>
        <w:widowControl w:val="0"/>
        <w:spacing w:line="1" w:lineRule="exact"/>
      </w:pPr>
    </w:p>
    <w:p>
      <w:pPr>
        <w:pStyle w:val="Style8"/>
        <w:keepNext w:val="0"/>
        <w:keepLines w:val="0"/>
        <w:framePr w:w="7973" w:h="494" w:wrap="none" w:hAnchor="page" w:x="1040" w:y="14713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Pozn.: Práce budou prováděny 5 kvalifikovanými pracovníky v časovém fondu 2 pracovní dny. V každém pracovnímu dnu se provedou 2 ponory. Veškeré ponory musí být realizovány potápěčem a zajištěny jisticím potápěčem.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632460</wp:posOffset>
            </wp:positionH>
            <wp:positionV relativeFrom="margin">
              <wp:posOffset>426720</wp:posOffset>
            </wp:positionV>
            <wp:extent cx="5452745" cy="811403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5452745" cy="811403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45" w:line="1" w:lineRule="exact"/>
      </w:pPr>
    </w:p>
    <w:p>
      <w:pPr>
        <w:widowControl w:val="0"/>
        <w:spacing w:line="1" w:lineRule="exact"/>
      </w:pPr>
    </w:p>
    <w:sectPr>
      <w:footerReference w:type="default" r:id="rId7"/>
      <w:footnotePr>
        <w:pos w:val="pageBottom"/>
        <w:numFmt w:val="decimal"/>
        <w:numRestart w:val="continuous"/>
      </w:footnotePr>
      <w:pgSz w:w="11909" w:h="16834"/>
      <w:pgMar w:top="420" w:left="996" w:right="1034" w:bottom="598" w:header="0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6852920</wp:posOffset>
              </wp:positionH>
              <wp:positionV relativeFrom="page">
                <wp:posOffset>10245725</wp:posOffset>
              </wp:positionV>
              <wp:extent cx="52070" cy="13398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2070" cy="13398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4"/>
                              <w:szCs w:val="14"/>
                              <w:shd w:val="clear" w:color="auto" w:fill="auto"/>
                              <w:lang w:val="cs-CZ" w:eastAsia="cs-CZ" w:bidi="cs-CZ"/>
                            </w:rPr>
                            <w:t>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39.60000000000002pt;margin-top:806.75pt;width:4.0999999999999996pt;height:10.550000000000001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4"/>
                        <w:szCs w:val="14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4"/>
                        <w:szCs w:val="14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9">
    <w:name w:val="Char Style 9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11">
    <w:name w:val="Char Style 11"/>
    <w:basedOn w:val="DefaultParagraphFont"/>
    <w:link w:val="Style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8">
    <w:name w:val="Style 8"/>
    <w:basedOn w:val="Normal"/>
    <w:link w:val="CharStyle9"/>
    <w:pPr>
      <w:widowControl w:val="0"/>
      <w:shd w:val="clear" w:color="auto" w:fill="FFFFFF"/>
      <w:spacing w:line="307" w:lineRule="auto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stepankova</dc:creator>
  <cp:keywords/>
</cp:coreProperties>
</file>