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Na Poříčí 1047/26,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Akademie múzických umění v Praze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veřejná vysoká škola dle z.č. 111/1998 Sb., v platném znění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sídlo: Malostranské náměstí 259/12, 118 00 Praha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součást: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Divadelní fakulta (DAMU)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adresa: Karlova 26, 116 65 Praha 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61384984, DIČ:CZ61384984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doc. MgA. et Mgr. Karlem Františkem Tománkem, děkanem DAMU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“DAMU”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PŘI USPOŘÁDÁNÍ PŘEDSTAVENÍ GARDEN OF LABOUR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premiéry </w:t>
      </w:r>
      <w:r w:rsidDel="00000000" w:rsidR="00000000" w:rsidRPr="00000000">
        <w:rPr>
          <w:rFonts w:ascii="Arial" w:cs="Arial" w:eastAsia="Arial" w:hAnsi="Arial"/>
          <w:color w:val="050505"/>
          <w:sz w:val="23"/>
          <w:szCs w:val="23"/>
          <w:highlight w:val="white"/>
          <w:rtl w:val="0"/>
        </w:rPr>
        <w:t xml:space="preserve">autorského představení studentů KALD DAMU pod názvem </w:t>
      </w:r>
      <w:r w:rsidDel="00000000" w:rsidR="00000000" w:rsidRPr="00000000">
        <w:rPr>
          <w:rFonts w:ascii="Arial" w:cs="Arial" w:eastAsia="Arial" w:hAnsi="Arial"/>
          <w:b w:val="1"/>
          <w:color w:val="050505"/>
          <w:sz w:val="23"/>
          <w:szCs w:val="23"/>
          <w:highlight w:val="white"/>
          <w:rtl w:val="0"/>
        </w:rPr>
        <w:t xml:space="preserve">Garden of Labour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Představení).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Premiéra Představení se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uskuteční 23. 10. 2024. ARCHA+ umožní studentům DAMU Představení zkoušet ve svých prostorách v období od června do října 2024 a uskutečnit také generálku pro veřejnost. Rozpis dnů a časů určených pro zkoušení, generálku a premiéru představení je uveden v příloze č. 1 této smlouvy. Předmětem této smlouvy je úprava vzájemných práv a povinností smluvních stran souvisejících s uspořádáním Představení dle tohoto článku. </w:t>
      </w:r>
    </w:p>
    <w:p w:rsidR="00000000" w:rsidDel="00000000" w:rsidP="00000000" w:rsidRDefault="00000000" w:rsidRPr="00000000" w14:paraId="0000001A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poskytnout pro zkoušky, generálku  a pro premi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érové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uvedení Představení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dle článku I.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sál a jeho zázemí v Divadle Archa Na Poříčí 26, Praha 1 včetně dodávky energií a vody. Prostory budou poskytnuty pro zkouškové bloky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uvedení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ředstavení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generálce a premiéře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harmonogramu uvedeného v příloze 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pro domluvu a případné změny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harmonogramu je Jakub Hykeš, jakub.hykes@archa-plus.cz.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zajistit pro uvedení Představení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osvětlovací, zvukařské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jevištní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služby včetně poskytnutí zvukařské a osvětlovací techniky, vše v rozsahu vybavení divadla ARCHA+. Smluvní strany se shodují, že vybavení ARCHY+ je dostačující pro uvedení Představení.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ARCHA+ zajistí catering pro účinkující v hodnotě do ??? Kč.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propagaci Představení dle běžného standardu a uhradí náklady s tím spojené.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předprodej vstupenek na generálku a premiéru Představení. Cen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vstupenek a dělení vstupného bude předmětem dohody ARCHY+ a vedení školy. Dohoda bude součástí jiné samostatné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poskytne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domluvený počet volných vstupenek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generálku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Kontaktní osobou pro jednání 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volných vstupenkách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Barbora Prokopová –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tel. 604 208 494. Využití volných vstupenek je možné rezervovat nejpozději do 15.00 v den Představení. V 15.30 budou nevyužité volné vstupenky vráceny do prodeje.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nenese odpovědnost za škody (na zdraví a majetku) účinkujících a dalších osob zajištěných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nákladech souvisejících s uspořádáním Představení a jeho repríz způsobem dle podmínek uvedených v článku V.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DAMU</w:t>
      </w:r>
    </w:p>
    <w:p w:rsidR="00000000" w:rsidDel="00000000" w:rsidP="00000000" w:rsidRDefault="00000000" w:rsidRPr="00000000" w14:paraId="0000002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na své náklady a svým jménem zajistit zkoušení a real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Představení dle podmínek stanovených touto smlouvou.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na své náklady přípravu Představení včetně zajištění všech účinkujících, výkonných umělců a dalších osob podílejících se na Představení, kostýmů, dekorací, rekvizit, přepravného, případně občerstvení pro účinkující.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uhradit všechny honoráře a další náklady spojené se zajištěním osob a služeb dle odstavce 2. Honoráře a odměny budou vyplaceny na základě samostatných smluv uzavřených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náklady budou uhrazeny na základě faktur uhrazených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ověřit technické možnosti a vybavení ARCHY+ a na své náklady případně zapůjčit techniku a další potřebné vybavení, které nemá ARCHA+ k dispozici a nemůže je pro Představení poskytnout.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všechny autorské odměny včetně licencí a jiných autorských poplatků. V případě užití audiozáznamu či audiovizuálního záznamu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nahlásit užití záznamů kolektivním správcům OSA, Dilia a Intergram. ARCHA+ nenese odpovědnost za případná porušení autorských a dalších práv vyplývajících z autorského zákona souvisejících s uvedením Představení v prostoru ARCHA+ dle této smlouvy.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 souhlasí s pořízením fotografií z Představení a jejich užitím ARCHOU+ výhradně pro nekomerční účely. ARCHA+ není povinna fotografie z Představení pořídit ani zveřejnit.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zajistit, aby kostýmy, dekorace a scéna užité v Představení splňovaly požadavky platných bezpečnostních a protipožárních norem. Jakékoliv rizikové skutečnosti související s BOZP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nahlásit s dostatečným předstihem.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propagaci Představení dle běžného standardu a dodat v dostatečném předstihu ARŠE+ propagační materiály vztahující se k Představení.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chce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před nebo po Představení prodávat své propagační předměty, zajistí si prodej na vlastní náklady.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 se zavazuje podílet na nákladech souvisejících s uspořádáním Představení a jeho reprízy způsobem dle podmínek uvedených v článku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3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3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budou na základě vzájemné dohody podílet na přípravě a uspořádání Představení koprodukčními vklady formou zajištění části služeb dle článků II a III na vlastní náklady.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 rámec úhrady nákladů na zajištění služeb dle odstavce 1 uhradí DAMU část nákladů souvisejících s uspořádáním Představení dle článku I v dohodnuté výši 82.490 Kč. V případě, že dojde během přípravy a realizace Představení k úspoře nákladů, nebo budou vynaloženy více náklady, sjednají smluvní strany na základě vyúčtování nižší nebo vyšší částku k úhradě. Vyúčtování bude zasláno na email kontaktní osoby DAMU nejpozději týden po uskutečnění druhé reprízy. Fakturovaná částka bude odsouhlasena a  potvrzena emailovou komunikací, která se stane přílohou této smlouvy. Částka bude uhrazena bankovním převodem na základě faktury vystavené ARCHOU+ se splatností 14 dní. Za ARCHU+ jedná ve věci vyúčtování skutečných nákladů a fakturace Radka Kareisová - radka.kareisova@archa-plus.cz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3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Představení neuskuteční z důvodu vyšší moci, nemá žádná ze smluvních stran nárok na náhradu dosud vynaložených nákladů souvisejících s plněním dle této smlouvy a ani na náhradu škody. Obě strany v takovém případě vynaloží úsilí najít náhradní termíny pro konání premiéry Představení.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jedna ze stran odstoupí od smlouvy v době, kdy byl již zahájen předprodej vstupenek, zavazuje se tato strana uhradit náklady za zrušení prodeje a částku 20 000 Kč jako náhradu za náklady související se zrušením Představení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4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4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4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10. 7. 2024</w:t>
      </w:r>
    </w:p>
    <w:p w:rsidR="00000000" w:rsidDel="00000000" w:rsidP="00000000" w:rsidRDefault="00000000" w:rsidRPr="00000000" w14:paraId="0000004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                     DAMU</w:t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pPr>
      <w:spacing w:after="0" w:line="240" w:lineRule="auto"/>
    </w:pPr>
    <w:rPr>
      <w:rFonts w:ascii="RomanEES" w:cs="Times New Roman" w:eastAsia="Times New Roman" w:hAnsi="RomanEES"/>
      <w:kern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CC19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c902ReCX8KM1q18STNMrOX5Hg==">CgMxLjAyCGguZ2pkZ3hzOAByITF2VDE5WWE5Q1ljWUQ3Nnp0VmNndE1aM19CNi1KVjhhVw==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2024-05-01T05:10:00Z</dcterms:created>
  <dc:creator>Radka Kareisová</dc:creator>
</cp:coreProperties>
</file>