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Český rozhlas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Vinohradská 12, 120 99 Praha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0"/>
          <w:color w:val="333333"/>
          <w:sz w:val="22"/>
          <w:szCs w:val="22"/>
          <w:highlight w:val="white"/>
          <w:rtl w:val="0"/>
        </w:rPr>
        <w:t xml:space="preserve">zastoupen Malinou Jiřím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t xml:space="preserve">, ředitel Marketingu a digitálních služeb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 45245053 | DIČ CZ45245053</w:t>
        <w:br w:type="textWrapping"/>
        <w:t xml:space="preserve">kontaktní osoba: Barbora Sklenářová, e-mail: barbora.sklenarova@rozhlas.cz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686"/>
        </w:tabs>
        <w:spacing w:line="218" w:lineRule="auto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(ČR Wave a ARCHA+ dále též společně jako „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(dále jen „OZ“)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SPOLUPRÁCI A SPOLUPOŘADATELSTVÍ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akce: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18. narozeniny Radia Wave + Czeching Showcase 2024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Akce), která se uskuteční 12. 9. 2024 od 20. hodin. Podrobný popis Czeching Showcase tvoří přílohu č. 1 této smlouvy. Předmětem smlouvy je úprava vzájemných práv a povinností smluvních stran souvisejících s uspořádáním Akce dle tohoto článku. </w:t>
      </w:r>
    </w:p>
    <w:p w:rsidR="00000000" w:rsidDel="00000000" w:rsidP="00000000" w:rsidRDefault="00000000" w:rsidRPr="00000000" w14:paraId="0000001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poskytnout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přípravu a realizaci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článku I. velký a malý sál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zázemí obou sálů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 Divadle Archa Na Poříčí 26, Praha 1. Součástí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poskytnutých služeb je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dodávk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energií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vody a rovněž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úklid prostor před Akcí a po Akci.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Prostory budou poskytnuty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dne 12. 9. 2024 od 9.00 hodin, předpokládaná likvidace proběhne po akci mezi 3. a 5. hodinou ranní dne 13. 9. 2024.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Kontaktní osobou pro domluvu na harmonogramu, který lze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měnit na základě dohody obou stran,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je Jakub Hykeš, jakub.hykes@archa-plus.cz.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zajistit pro 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osvětlovací, zvukařské, jevištní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další technické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služby včetně poskytnutí a zapůjčení technik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 rozsahu vybavení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prostoru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ARCH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+.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Smluvní strany se shodují, že vybavení ARCHY+ je dostačující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realizaci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produkční, uvaděče a hledištní personál v dostatečném počtu.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běžného standardu (uv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edení v tištěném programovém přehledu (plakát) a dále na svých webových stránkách a sociálních sítích)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uhradí náklady s tím spojené. Strany se budou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vzájemně propagovat především uvedením log na prezentačních materiálech a dále dle předchozí vzájemné dohody kompetentních zástupů Stran.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je povinna veškeré propagační materiály nejprve předložit ČR Wave ke schválení, a to kontaktní osobě uvedené v hlavičce smlouvy.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předprodej vstupenek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 prostřednictvím internetového serveru GoOut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nabídce budou pouze vstupenky na stání, kapacita max. 1000 vstupenek.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Ceny vstupenek jsou stanoveny takto: </w:t>
      </w:r>
    </w:p>
    <w:p w:rsidR="00000000" w:rsidDel="00000000" w:rsidP="00000000" w:rsidRDefault="00000000" w:rsidRPr="00000000" w14:paraId="00000020">
      <w:pPr>
        <w:shd w:fill="ffffff" w:val="clear"/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early birds: prvních 50 ks za 100,-</w:t>
      </w:r>
    </w:p>
    <w:p w:rsidR="00000000" w:rsidDel="00000000" w:rsidP="00000000" w:rsidRDefault="00000000" w:rsidRPr="00000000" w14:paraId="00000021">
      <w:pPr>
        <w:shd w:fill="ffffff" w:val="clear"/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první vlna: 100 ks za 200,-</w:t>
      </w:r>
    </w:p>
    <w:p w:rsidR="00000000" w:rsidDel="00000000" w:rsidP="00000000" w:rsidRDefault="00000000" w:rsidRPr="00000000" w14:paraId="00000022">
      <w:pPr>
        <w:shd w:fill="ffffff" w:val="clear"/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druhá vlna do 12.9., 19:59 za 250,-</w:t>
      </w:r>
    </w:p>
    <w:p w:rsidR="00000000" w:rsidDel="00000000" w:rsidP="00000000" w:rsidRDefault="00000000" w:rsidRPr="00000000" w14:paraId="00000023">
      <w:pPr>
        <w:shd w:fill="ffffff" w:val="clear"/>
        <w:ind w:left="360" w:right="-226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třetí vlna od 12.9. 20.00 za 300,-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mohou využít pro své účely volné vstupenky v předem dohodnutém počtu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Kontaktní osobou pro jednání o předprodeji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počtech volných vstupenek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je Barbora Prokopová –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tel. 604 208 494.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Nevyužité volné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vstupen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budou nejpozději v 17 hodin vráceny do prodeje.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zašle nejpozději 5 pracovních dnů po uskutečnění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vyúčtování tržeb ze vstupného. Čistá tržba ze vstupného, tj tržba po odečtení poplatků Go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ut, náleží ARŠE+ ve výši 50% 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ve výši 50%.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nenese odpovědnost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úhradu autorských poplatků především OSA, které hradí ČR Wave dle čl. III. odst. 5., ani za případná porušení autorských a dalších práv vyplývajících z autorského zákona souvisejících s uspořádáním Akce dle této smlouvy.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2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ČR Wave</w:t>
      </w:r>
    </w:p>
    <w:p w:rsidR="00000000" w:rsidDel="00000000" w:rsidP="00000000" w:rsidRDefault="00000000" w:rsidRPr="00000000" w14:paraId="0000002A">
      <w:pPr>
        <w:ind w:right="-2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dramaturgii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program narozeninového večírku Rádia Wave včetně zajištění všech účinkujících, výkonných umělců a dalších osob podílejících se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vyjma osob zajišťující služby dle článku II. smlouvy.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 se zavazuje uspořádat Czeching 2024 (oslovení nominovaných umělců, sestavení porotyatd.), a pro Czeching Showcase - event pro veřejnost, uspořádaný Stranami ve spolupráci v rámci Akce, zajistit vystoupení nominovaných interpretů ročníku 2024. Více o Akci v příloze č. 1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uhradit všechny honoráře pro vystupující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umělc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interprety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odstavce 1 a 2. Honoráře a odměny budou vyplaceny na základě samostatných smluv uzavřených ze 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ČR Wave se třetími stranami.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smlouvách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bude rovněž zohledněno, že Akce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bude natočena na zvukový, případně zvukově - obrazový záznam.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věřit technické možnosti a vybavení ARCHY+ a na své náklady případně zapůjčit techniku a další potřebné vybavení, které nemá ARCHA+ k dispozici a nemůže je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poskytnout.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uhradí všechny příslušné autorské odměny a příslušné odměny kolektivním správcům. ARCHA+ nenese odpovědnost za případná porušení autorských a dalších práv souvisejících s plněním ze strany ČR Wave dle této smlouvy vyplývajících z autorského zákona souvisejících s 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spořádáním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 prostoru ARCHA+ dle této smlouvy.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zavazuje zajistit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běžného standardu a dodat v dostatečném předstihu ARŠE+ propagační materiály vztahující se 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se budou vzájemně propagovat především uvedením log na prezentačních materiálech a dále dle vzájemné dohody kompetentních zástupů Stran, k žádnému jinému užití log nejsou Strany oprávněny.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 Wave je oprávněn v prostorách ARCHA+ pořídit zvukový a zvukově obrazový záznam Akce. Archa+ se zavazuje zajistit spolupracujícího zvukaře k pořizování zvukového záznamu a vhodné podmínky (zejména technické) pro pořizování zvukového a zvukově obrazového záznamu. Práva výrobce zvukového a zvukově obrazového záznamu Akce náleží výhradně CR Wave. Případné oprávnění k užití zvukového a zvukově obrazového záznamu Akce ze strany Archa+ bude upraveno zvláštní smlouvou.</w:t>
      </w:r>
    </w:p>
    <w:p w:rsidR="00000000" w:rsidDel="00000000" w:rsidP="00000000" w:rsidRDefault="00000000" w:rsidRPr="00000000" w14:paraId="00000032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01" w:right="-226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3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Služby posky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tnuté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článk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II v hodnotě 215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000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Kč (dle předloženého rozpočtu)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zajišťuje ARCHA+ částečně na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vlastní náklady.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Služby poskytnuté dle článku III. zajišťuje ČR Wave na vlastní náklady. 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 uhradí za služby dle článku II část nákladů ve výši 80 000 Kč. Cena za služby bude uhrazena na základě faktury vystavené ARCHOU+ nejdříve den po uskutečnění Akce.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Čisté tržby ze vstupného si dělí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trany rovným dílem. Informaci o tržbách („vyúčtování tržeb“) zašle 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článku II. odst. 7.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ČR Wave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vystaví ARŠE+ fakturu na částku rovnající se 50% čistých tržeb dle vyúčtování. </w:t>
      </w:r>
    </w:p>
    <w:p w:rsidR="00000000" w:rsidDel="00000000" w:rsidP="00000000" w:rsidRDefault="00000000" w:rsidRPr="00000000" w14:paraId="0000003B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-2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3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neuskuteční z důvodu vyšší moci, nemá žádná ze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tran nárok na náhradu dosud vynaložených nákladů souvisejících s plněním dle této smlouvy a ani na náhradu škody. Obě strany v takovém případě vynaloží úsilí najít náhradní termíny pro konání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Pokud jedna ze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tran odstoupí od smlouvy v době, kdy byl již zahájen předprodej vstupenek, zavazuje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odstupující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strana uhradit náklady za zrušení prodeje v systému Go out a částku 20 000 Kč jako náhradu za náklady související se zrušením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Náklady dle odst. 2 budou uhrazeny na základě faktur vystavených poškozenou smluvní stranou. </w:t>
      </w:r>
    </w:p>
    <w:p w:rsidR="00000000" w:rsidDel="00000000" w:rsidP="00000000" w:rsidRDefault="00000000" w:rsidRPr="00000000" w14:paraId="00000043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4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oprávněnými zástupci obou smluvních stran a účinnosti</w:t>
      </w:r>
      <w:r w:rsidDel="00000000" w:rsidR="00000000" w:rsidRPr="00000000">
        <w:rPr>
          <w:rFonts w:ascii="RomanEES" w:cs="RomanEES" w:eastAsia="RomanEES" w:hAnsi="RomanE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dnem jejího uveřejnění v registru smluv v souladu se zákonem č. 340/2015 Sb., o zvláštních podmínkách účinnosti některých smluv, uveřejňování těchto smluv a o registru smluv (zákon o registru smluv), ve znění pozdějších předpisů a je uzavírána do doby vyrovnání veškerých vzájemných závazků z této smlouvy vyplývajících.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before="120" w:lineRule="auto"/>
        <w:ind w:left="502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 Povinnost zveřejnění splní dle dohody Stran ČR Wave.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before="120" w:lineRule="auto"/>
        <w:ind w:left="502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tímto bere na vědomí, že v důsledku specifického organizačního uspořádání ČR Wave smluvní strany vylučují pravidla dle ustanovení § 1728 až 1729 OZ o předsmluvní odpovědnosti a ARCHA+ nemá právo ve smyslu § 2910 OZ po ČR Wave požadovat při neuzavření smlouvy náhradu škody. Pro případ, že si smluvní strany mezi sebou v rámci jednání o podmínkách návrhu této smlouvy opakovaně tento návrh zašlou, platí, že i odpověď nebo úprava návrhu smlouvy s dodatkem nebo odchylkou, které podstatně nemění podmínky nabídky, jsou novou nabídkou.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4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26. 8. 2024</w:t>
      </w:r>
    </w:p>
    <w:p w:rsidR="00000000" w:rsidDel="00000000" w:rsidP="00000000" w:rsidRDefault="00000000" w:rsidRPr="00000000" w14:paraId="0000005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5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 ČR Wave</w:t>
      </w:r>
    </w:p>
    <w:p w:rsidR="00000000" w:rsidDel="00000000" w:rsidP="00000000" w:rsidRDefault="00000000" w:rsidRPr="00000000" w14:paraId="0000005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Příloha č. 1</w:t>
      </w:r>
    </w:p>
    <w:p w:rsidR="00000000" w:rsidDel="00000000" w:rsidP="00000000" w:rsidRDefault="00000000" w:rsidRPr="00000000" w14:paraId="0000005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226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Czeching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je hudebně exportní projekt, jehož prostřednictvím stanice Českého rozhlasu pro mladé Radio Wave poskytuje podporu vybraným nadějným a progresivním hudebním skupinám s cílem podpořit jejich snahu o prosazení na mezinárodní hudební scéně, zejména na evropských pódiích a v evropském rozhlasovém vysílání. Czeching svým vítězům umožňuje pořídit a vydat profesionální singl, natočit videoklip, zajišťuje jim mediální podporu, umožňuje představit se na největším evropském showcasovém festivalu Eurosonic Noorderslag a otevírá jim cestu do evropských rozhlasů.</w:t>
      </w:r>
    </w:p>
    <w:p w:rsidR="00000000" w:rsidDel="00000000" w:rsidP="00000000" w:rsidRDefault="00000000" w:rsidRPr="00000000" w14:paraId="0000005E">
      <w:pPr>
        <w:ind w:right="-226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226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V pořadí již dvanáctý ročník Czechingu představí domácímu publiku i mezinárodně složené porotě výběr tří výrazných interpretů současné tuzemské scény - David Žbirka alias sunnbrella s moderním pojetím žánru shoegaze, skandinávským popem ovlivněné trio We Are Domi a audiovizuální projekt NIVVA (spojující hudbu s digitálním uměním). Uvedení interpreti společně vystoupí 12. září 2024 v prostoru ARCHA+. </w:t>
      </w:r>
    </w:p>
    <w:p w:rsidR="00000000" w:rsidDel="00000000" w:rsidP="00000000" w:rsidRDefault="00000000" w:rsidRPr="00000000" w14:paraId="00000060">
      <w:pPr>
        <w:ind w:right="-226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-226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Slavnostní vyhlášení proběhne ve čtvrtek 12. září 2024 v rámci akce 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highlight w:val="white"/>
            <w:rtl w:val="0"/>
          </w:rPr>
          <w:t xml:space="preserve">Czeching Showcase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spolu s koncerty všech nominovaných a velkým hudebním večírkem k 18. narozeninám Radia Wave. Na letošním showcasu a narozeninách se představí celá řada kapel a DJs. Vedle jmen jako Kewu, STEADY nebo Kluci z garáže (digitálního boybandu ve složení Toyota Vangelis, BoLs/sLoB a sxilence) vystoupí také vítězka hitparády neobjevených Startér Máří. Jako zahraniční headliner se potom představí marocko-britský zpěvák, producent a performer Babymorocco. </w:t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rPr>
      <w:rFonts w:cs="Times New Roman" w:eastAsia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qFormat w:val="1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qFormat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qFormat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qFormat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qFormat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qFormat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qFormat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qFormat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qFormat w:val="1"/>
    <w:rsid w:val="00CC19FB"/>
    <w:rPr>
      <w:rFonts w:cstheme="majorBidi" w:eastAsiaTheme="majorEastAsia"/>
      <w:color w:val="272727" w:themeColor="text1" w:themeTint="0000D8"/>
    </w:rPr>
  </w:style>
  <w:style w:type="character" w:styleId="NzevChar" w:customStyle="1">
    <w:name w:val="Název Char"/>
    <w:basedOn w:val="Standardnpsmoodstavce"/>
    <w:link w:val="Nzev"/>
    <w:uiPriority w:val="10"/>
    <w:qFormat w:val="1"/>
    <w:rsid w:val="00CC19FB"/>
    <w:rPr>
      <w:rFonts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qFormat w:val="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CittChar" w:customStyle="1">
    <w:name w:val="Citát Char"/>
    <w:basedOn w:val="Standardnpsmoodstavce"/>
    <w:link w:val="Citt"/>
    <w:uiPriority w:val="29"/>
    <w:qFormat w:val="1"/>
    <w:rsid w:val="00CC19FB"/>
    <w:rPr>
      <w:i w:val="1"/>
      <w:iCs w:val="1"/>
      <w:color w:val="404040" w:themeColor="text1" w:themeTint="0000BF"/>
    </w:r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qFormat w:val="1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character" w:styleId="ZkladntextChar" w:customStyle="1">
    <w:name w:val="Základní text Char"/>
    <w:basedOn w:val="Standardnpsmoodstavce"/>
    <w:link w:val="Zkladntext"/>
    <w:semiHidden w:val="1"/>
    <w:qFormat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qFormat w:val="1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qFormat w:val="1"/>
    <w:rsid w:val="00EA6DFF"/>
  </w:style>
  <w:style w:type="paragraph" w:styleId="Nadpis" w:customStyle="1">
    <w:name w:val="Nadpis"/>
    <w:basedOn w:val="Normln"/>
    <w:next w:val="Zkladn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Lucida Sans"/>
      <w:i w:val="1"/>
      <w:iCs w:val="1"/>
      <w:szCs w:val="24"/>
    </w:rPr>
  </w:style>
  <w:style w:type="paragraph" w:styleId="Rejstk" w:customStyle="1">
    <w:name w:val="Rejstřík"/>
    <w:basedOn w:val="Normln"/>
    <w:qFormat w:val="1"/>
    <w:pPr>
      <w:suppressLineNumbers w:val="1"/>
    </w:pPr>
    <w:rPr>
      <w:rFonts w:cs="Lucida Sans"/>
    </w:rPr>
  </w:style>
  <w:style w:type="paragraph" w:styleId="normal1" w:customStyle="1">
    <w:name w:val="normal1"/>
    <w:qFormat w:val="1"/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dpis">
    <w:name w:val="Subtitle"/>
    <w:basedOn w:val="normal1"/>
    <w:next w:val="normal1"/>
    <w:link w:val="PodnadpisChar"/>
    <w:uiPriority w:val="11"/>
    <w:qFormat w:val="1"/>
    <w:rsid w:val="00CC19FB"/>
    <w:rPr>
      <w:color w:val="595959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paragraph" w:styleId="Normlnweb">
    <w:name w:val="Normal (Web)"/>
    <w:basedOn w:val="Normln"/>
    <w:uiPriority w:val="99"/>
    <w:unhideWhenUsed w:val="1"/>
    <w:qFormat w:val="1"/>
    <w:rsid w:val="00CC19FB"/>
    <w:pPr>
      <w:spacing w:afterAutospacing="1" w:beforeAutospacing="1"/>
    </w:pPr>
    <w:rPr>
      <w:rFonts w:ascii="Times New Roman" w:hAnsi="Times New Roman"/>
      <w:szCs w:val="24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A41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A41B15"/>
    <w:rPr>
      <w:rFonts w:cs="Mangal"/>
      <w:sz w:val="20"/>
      <w:szCs w:val="18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A41B15"/>
    <w:rPr>
      <w:rFonts w:cs="Mangal" w:eastAsia="Times New Roman"/>
      <w:sz w:val="20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41B1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A41B15"/>
    <w:rPr>
      <w:rFonts w:cs="Mangal" w:eastAsia="Times New Roman"/>
      <w:b w:val="1"/>
      <w:bCs w:val="1"/>
      <w:sz w:val="20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41B15"/>
    <w:rPr>
      <w:rFonts w:ascii="Segoe UI" w:cs="Mangal" w:hAnsi="Segoe UI"/>
      <w:sz w:val="18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41B15"/>
    <w:rPr>
      <w:rFonts w:ascii="Segoe UI" w:cs="Mangal" w:eastAsia="Times New Roman" w:hAnsi="Segoe UI"/>
      <w:sz w:val="18"/>
      <w:szCs w:val="16"/>
      <w:lang w:eastAsia="cs-CZ"/>
    </w:rPr>
  </w:style>
  <w:style w:type="paragraph" w:styleId="ListNumber-ContractCzechRadio" w:customStyle="1">
    <w:name w:val="List Number - Contract (Czech Radio)"/>
    <w:basedOn w:val="Normln"/>
    <w:uiPriority w:val="13"/>
    <w:qFormat w:val="1"/>
    <w:rsid w:val="000403F3"/>
    <w:pPr>
      <w:numPr>
        <w:ilvl w:val="1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ascii="Arial" w:hAnsi="Arial" w:cstheme="minorBidi" w:eastAsiaTheme="minorHAnsi"/>
      <w:sz w:val="20"/>
      <w:szCs w:val="22"/>
      <w:lang w:bidi="ar-SA" w:eastAsia="en-US"/>
    </w:rPr>
  </w:style>
  <w:style w:type="paragraph" w:styleId="ListLetter-ContractCzechRadio" w:customStyle="1">
    <w:name w:val="List Letter - Contract (Czech Radio)"/>
    <w:basedOn w:val="Normln"/>
    <w:uiPriority w:val="15"/>
    <w:qFormat w:val="1"/>
    <w:rsid w:val="000403F3"/>
    <w:pPr>
      <w:numPr>
        <w:ilvl w:val="2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ascii="Arial" w:hAnsi="Arial" w:cstheme="minorBidi" w:eastAsiaTheme="minorHAnsi"/>
      <w:sz w:val="20"/>
      <w:szCs w:val="22"/>
      <w:lang w:bidi="ar-SA" w:eastAsia="en-US"/>
    </w:rPr>
  </w:style>
  <w:style w:type="paragraph" w:styleId="Heading-Number-ContractCzechRadio" w:customStyle="1">
    <w:name w:val="Heading-Number - Contract (Czech Radio)"/>
    <w:basedOn w:val="Normln"/>
    <w:next w:val="ListNumber-ContractCzechRadio"/>
    <w:uiPriority w:val="11"/>
    <w:qFormat w:val="1"/>
    <w:rsid w:val="000403F3"/>
    <w:pPr>
      <w:keepNext w:val="1"/>
      <w:keepLines w:val="1"/>
      <w:numPr>
        <w:numId w:val="8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before="250" w:line="250" w:lineRule="exact"/>
      <w:jc w:val="center"/>
      <w:outlineLvl w:val="0"/>
    </w:pPr>
    <w:rPr>
      <w:rFonts w:ascii="Arial" w:hAnsi="Arial" w:cstheme="majorBidi" w:eastAsiaTheme="majorEastAsia"/>
      <w:b w:val="1"/>
      <w:color w:val="000f37"/>
      <w:sz w:val="20"/>
      <w:szCs w:val="26"/>
      <w:lang w:bidi="ar-SA" w:eastAsia="en-US"/>
    </w:rPr>
  </w:style>
  <w:style w:type="numbering" w:styleId="List-Contract" w:customStyle="1">
    <w:name w:val="List - Contract"/>
    <w:uiPriority w:val="99"/>
    <w:rsid w:val="000403F3"/>
    <w:pPr>
      <w:numPr>
        <w:numId w:val="8"/>
      </w:numPr>
    </w:pPr>
  </w:style>
  <w:style w:type="paragraph" w:styleId="Revize">
    <w:name w:val="Revision"/>
    <w:hidden w:val="1"/>
    <w:uiPriority w:val="99"/>
    <w:semiHidden w:val="1"/>
    <w:rsid w:val="006007B2"/>
    <w:pPr>
      <w:suppressAutoHyphens w:val="0"/>
    </w:pPr>
    <w:rPr>
      <w:rFonts w:cs="Mangal" w:eastAsia="Times New Roman"/>
      <w:szCs w:val="20"/>
      <w:lang w:eastAsia="cs-CZ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a.prokopova@archa-plus.cz" TargetMode="External"/><Relationship Id="rId8" Type="http://schemas.openxmlformats.org/officeDocument/2006/relationships/hyperlink" Target="https://www.facebook.com/events/880888017251166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ecU3izqsx1u9RWn7BHu+abtrA==">CgMxLjAyCGguZ2pkZ3hzOABqSQo1c3VnZ2VzdElkSW1wb3J0MTllNWNmYWEtYWY3MC00YjI2LWJlMTMtNThlNTBkNmE3ZjMzXzISEFJhZGthIEthcmVpc292w6FqSQo1c3VnZ2VzdElkSW1wb3J0MTllNWNmYWEtYWY3MC00YjI2LWJlMTMtNThlNTBkNmE3ZjMzXzESEFJhZGthIEthcmVpc292w6FyITFFV3NsTWRCMFc4a0M2NS1NXy1GZHVZQnRsUlA0dmxPZA==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2024-08-23T10:28:00Z</dcterms:created>
  <dc:creator>Radka Kareisová</dc:creator>
</cp:coreProperties>
</file>