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9"/>
        <w:ind w:left="3423" w:right="3148"/>
      </w:pPr>
      <w:r>
        <w:rPr>
          <w:color w:val="808080"/>
        </w:rPr>
        <w:t>Smlouva</w:t>
      </w:r>
      <w:r>
        <w:rPr>
          <w:color w:val="808080"/>
          <w:spacing w:val="-20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5230200075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9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jc w:val="left"/>
      </w:pPr>
      <w:r>
        <w:rPr/>
        <w:t>Zelený</w:t>
      </w:r>
      <w:r>
        <w:rPr>
          <w:spacing w:val="-7"/>
        </w:rPr>
        <w:t> </w:t>
      </w:r>
      <w:r>
        <w:rPr>
          <w:spacing w:val="-4"/>
        </w:rPr>
        <w:t>kruh</w:t>
      </w:r>
    </w:p>
    <w:p>
      <w:pPr>
        <w:pStyle w:val="BodyText"/>
        <w:spacing w:before="1"/>
        <w:ind w:left="382"/>
        <w:jc w:val="left"/>
      </w:pPr>
      <w:r>
        <w:rPr>
          <w:spacing w:val="-2"/>
        </w:rPr>
        <w:t>spolek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Lublaňská</w:t>
      </w:r>
      <w:r>
        <w:rPr>
          <w:spacing w:val="-7"/>
        </w:rPr>
        <w:t> </w:t>
      </w:r>
      <w:r>
        <w:rPr/>
        <w:t>398/18,</w:t>
      </w:r>
      <w:r>
        <w:rPr>
          <w:spacing w:val="-7"/>
        </w:rPr>
        <w:t> </w:t>
      </w:r>
      <w:r>
        <w:rPr/>
        <w:t>Vinohrady,</w:t>
      </w:r>
      <w:r>
        <w:rPr>
          <w:spacing w:val="-7"/>
        </w:rPr>
        <w:t> </w:t>
      </w:r>
      <w:r>
        <w:rPr/>
        <w:t>120</w:t>
      </w:r>
      <w:r>
        <w:rPr>
          <w:spacing w:val="-4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  <w:t>148</w:t>
      </w:r>
      <w:r>
        <w:rPr>
          <w:spacing w:val="-2"/>
        </w:rPr>
        <w:t> </w:t>
      </w:r>
      <w:r>
        <w:rPr/>
        <w:t>88</w:t>
      </w:r>
      <w:r>
        <w:rPr>
          <w:spacing w:val="-2"/>
        </w:rPr>
        <w:t> </w:t>
      </w:r>
      <w:r>
        <w:rPr>
          <w:spacing w:val="-5"/>
        </w:rPr>
        <w:t>009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2"/>
        </w:rPr>
        <w:t> </w:t>
      </w:r>
      <w:r>
        <w:rPr/>
        <w:t>Petrou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í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s k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046"/>
        <w:jc w:val="left"/>
      </w:pPr>
      <w:r>
        <w:rPr/>
        <w:t>číslo účtu:</w:t>
        <w:tab/>
      </w:r>
      <w:r>
        <w:rPr>
          <w:spacing w:val="-2"/>
        </w:rPr>
        <w:t>2900031696/2010 </w:t>
      </w:r>
      <w:r>
        <w:rPr/>
        <w:t>(dále jen „příjemce 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6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left="665" w:right="107"/>
      </w:pPr>
      <w:r>
        <w:rPr/>
        <w:t>„Smlouva“) se uzavírá na základě Rozhodnutí ministra životního prostředí č. 5230200075 o poskytnutí finančních prostředků ze Státního fondu životního prostředí ČR ze dne 19.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2023,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5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ind w:left="665" w:right="113"/>
      </w:pPr>
      <w:r>
        <w:rPr/>
        <w:t>„Směrnice MŽP“), platné ke dni podání žádosti a Směrnice MŽP č. 9/2023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8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</w:t>
      </w:r>
      <w:r>
        <w:rPr>
          <w:spacing w:val="17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Výzvou č. 2/2023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99"/>
        <w:jc w:val="both"/>
      </w:pPr>
      <w:r>
        <w:rPr/>
        <w:t>„Územní</w:t>
      </w:r>
      <w:r>
        <w:rPr>
          <w:spacing w:val="-7"/>
        </w:rPr>
        <w:t> </w:t>
      </w:r>
      <w:r>
        <w:rPr/>
        <w:t>plánování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nástroj</w:t>
      </w:r>
      <w:r>
        <w:rPr>
          <w:spacing w:val="-7"/>
        </w:rPr>
        <w:t> </w:t>
      </w:r>
      <w:r>
        <w:rPr/>
        <w:t>pro</w:t>
      </w:r>
      <w:r>
        <w:rPr>
          <w:spacing w:val="-7"/>
        </w:rPr>
        <w:t> </w:t>
      </w:r>
      <w:r>
        <w:rPr/>
        <w:t>řešení</w:t>
      </w:r>
      <w:r>
        <w:rPr>
          <w:spacing w:val="-5"/>
        </w:rPr>
        <w:t> </w:t>
      </w:r>
      <w:r>
        <w:rPr/>
        <w:t>klimatických</w:t>
      </w:r>
      <w:r>
        <w:rPr>
          <w:spacing w:val="-7"/>
        </w:rPr>
        <w:t> </w:t>
      </w:r>
      <w:r>
        <w:rPr>
          <w:spacing w:val="-2"/>
        </w:rPr>
        <w:t>výzev“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 použití článků 107 a 108 Smlouvy o fungování Evropské unie na podporu de minimis", zveřejněným v Úředním věstníku EU dne 15. 12. 2023.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spacing w:before="1"/>
        <w:ind w:left="3416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322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163,03 Kč </w:t>
      </w:r>
      <w:r>
        <w:rPr>
          <w:sz w:val="20"/>
        </w:rPr>
        <w:t>(slovy: dva miliony tři sta dvacet dva tisíc jedno sto šedesát tři korun českých a tři haléře).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9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2 580 181,15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mzdy, cestovní výlohy, služby</w:t>
      </w:r>
      <w:r>
        <w:rPr>
          <w:spacing w:val="40"/>
          <w:sz w:val="20"/>
        </w:rPr>
        <w:t> </w:t>
      </w:r>
      <w:r>
        <w:rPr>
          <w:sz w:val="20"/>
        </w:rPr>
        <w:t>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 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spacing w:before="1"/>
      </w:pPr>
      <w:r>
        <w:rPr>
          <w:spacing w:val="-4"/>
        </w:rPr>
        <w:t>III.</w:t>
      </w:r>
    </w:p>
    <w:p>
      <w:pPr>
        <w:pStyle w:val="Heading2"/>
        <w:ind w:left="1302" w:right="1039"/>
      </w:pPr>
      <w:r>
        <w:rPr/>
        <w:t>Režim</w:t>
      </w:r>
      <w:r>
        <w:rPr>
          <w:spacing w:val="-8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českých</w:t>
      </w:r>
      <w:r>
        <w:rPr>
          <w:spacing w:val="40"/>
          <w:sz w:val="20"/>
        </w:rPr>
        <w:t> </w:t>
      </w:r>
      <w:r>
        <w:rPr>
          <w:sz w:val="20"/>
        </w:rPr>
        <w:t>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1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ČR“)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665" w:right="113"/>
      </w:pP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předkládá</w:t>
      </w:r>
      <w:r>
        <w:rPr>
          <w:spacing w:val="-11"/>
        </w:rPr>
        <w:t> </w:t>
      </w:r>
      <w:r>
        <w:rPr/>
        <w:t>žádost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platbu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formě</w:t>
      </w:r>
      <w:r>
        <w:rPr>
          <w:spacing w:val="-9"/>
        </w:rPr>
        <w:t> </w:t>
      </w:r>
      <w:r>
        <w:rPr/>
        <w:t>ex-post</w:t>
      </w:r>
      <w:r>
        <w:rPr>
          <w:spacing w:val="-11"/>
        </w:rPr>
        <w:t> </w:t>
      </w:r>
      <w:r>
        <w:rPr/>
        <w:t>plateb</w:t>
      </w:r>
      <w:r>
        <w:rPr>
          <w:spacing w:val="-10"/>
        </w:rPr>
        <w:t> </w:t>
      </w:r>
      <w:r>
        <w:rPr/>
        <w:t>(tj.</w:t>
      </w:r>
      <w:r>
        <w:rPr>
          <w:spacing w:val="-11"/>
        </w:rPr>
        <w:t> </w:t>
      </w:r>
      <w:r>
        <w:rPr/>
        <w:t>doložené</w:t>
      </w:r>
      <w:r>
        <w:rPr>
          <w:spacing w:val="-9"/>
        </w:rPr>
        <w:t> </w:t>
      </w:r>
      <w:r>
        <w:rPr/>
        <w:t>uhrazenými</w:t>
      </w:r>
      <w:r>
        <w:rPr>
          <w:spacing w:val="-8"/>
        </w:rPr>
        <w:t> </w:t>
      </w:r>
      <w:r>
        <w:rPr/>
        <w:t>fakturami a bankovními výpisy, popř. dalšími doklady ve smyslu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-3"/>
          <w:sz w:val="20"/>
        </w:rPr>
        <w:t> </w:t>
      </w:r>
      <w:r>
        <w:rPr>
          <w:sz w:val="20"/>
        </w:rPr>
        <w:t>poměru</w:t>
      </w:r>
      <w:r>
        <w:rPr>
          <w:spacing w:val="-11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celkové</w:t>
      </w:r>
      <w:r>
        <w:rPr>
          <w:spacing w:val="-13"/>
          <w:sz w:val="20"/>
        </w:rPr>
        <w:t> </w:t>
      </w:r>
      <w:r>
        <w:rPr>
          <w:sz w:val="20"/>
        </w:rPr>
        <w:t>dotace,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 článku</w:t>
      </w:r>
      <w:r>
        <w:rPr>
          <w:spacing w:val="-12"/>
          <w:sz w:val="20"/>
        </w:rPr>
        <w:t> </w:t>
      </w:r>
      <w:r>
        <w:rPr>
          <w:sz w:val="20"/>
        </w:rPr>
        <w:t>II,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696</w:t>
      </w:r>
      <w:r>
        <w:rPr>
          <w:spacing w:val="-1"/>
          <w:sz w:val="20"/>
        </w:rPr>
        <w:t> </w:t>
      </w:r>
      <w:r>
        <w:rPr>
          <w:sz w:val="20"/>
        </w:rPr>
        <w:t>648,90Kč</w:t>
      </w:r>
      <w:r>
        <w:rPr>
          <w:spacing w:val="-13"/>
          <w:sz w:val="20"/>
        </w:rPr>
        <w:t> </w:t>
      </w:r>
      <w:r>
        <w:rPr>
          <w:sz w:val="20"/>
        </w:rPr>
        <w:t>(tj.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celkové </w:t>
      </w:r>
      <w:r>
        <w:rPr>
          <w:spacing w:val="-2"/>
          <w:sz w:val="20"/>
        </w:rPr>
        <w:t>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4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3"/>
          <w:sz w:val="20"/>
        </w:rPr>
        <w:t> </w:t>
      </w:r>
      <w:r>
        <w:rPr>
          <w:sz w:val="20"/>
        </w:rPr>
        <w:t>rozpočtu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ČR.</w:t>
      </w:r>
      <w:r>
        <w:rPr>
          <w:spacing w:val="-12"/>
          <w:sz w:val="20"/>
        </w:rPr>
        <w:t> </w:t>
      </w:r>
      <w:r>
        <w:rPr>
          <w:sz w:val="20"/>
        </w:rPr>
        <w:t>Vyúčtování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zálohy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odpovídat</w:t>
      </w:r>
      <w:r>
        <w:rPr>
          <w:spacing w:val="-12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podle skutečné realizace. Nedodržení vyplaceného typu prostředků prostřednictvím zálohové 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 příjemce podpory povinen vrátit nevyužité finanční prostředky do 30 dnů od vyzvání na bankovní 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7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ind w:left="665" w:right="114"/>
      </w:pPr>
      <w:r>
        <w:rPr/>
        <w:t>„AIS SFŽP ČR s</w:t>
      </w:r>
      <w:r>
        <w:rPr>
          <w:spacing w:val="-3"/>
        </w:rPr>
        <w:t> </w:t>
      </w:r>
      <w:r>
        <w:rPr/>
        <w:t>každou žádostí o 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2"/>
          <w:sz w:val="20"/>
        </w:rPr>
        <w:t> </w:t>
      </w:r>
      <w:r>
        <w:rPr>
          <w:sz w:val="20"/>
        </w:rPr>
        <w:t>platí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v 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5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mohou</w:t>
      </w:r>
      <w:r>
        <w:rPr>
          <w:spacing w:val="11"/>
          <w:sz w:val="20"/>
        </w:rPr>
        <w:t> </w:t>
      </w:r>
      <w:r>
        <w:rPr>
          <w:sz w:val="20"/>
        </w:rPr>
        <w:t>být</w:t>
      </w:r>
      <w:r>
        <w:rPr>
          <w:spacing w:val="11"/>
          <w:sz w:val="20"/>
        </w:rPr>
        <w:t> </w:t>
      </w:r>
      <w:r>
        <w:rPr>
          <w:sz w:val="20"/>
        </w:rPr>
        <w:t>předloženy</w:t>
      </w:r>
      <w:r>
        <w:rPr>
          <w:spacing w:val="14"/>
          <w:sz w:val="20"/>
        </w:rPr>
        <w:t> </w:t>
      </w:r>
      <w:r>
        <w:rPr>
          <w:sz w:val="20"/>
        </w:rPr>
        <w:t>pouze uhrazené faktury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1"/>
          <w:sz w:val="20"/>
        </w:rPr>
        <w:t> </w:t>
      </w:r>
      <w:r>
        <w:rPr>
          <w:sz w:val="20"/>
        </w:rPr>
        <w:t>jiné účetní</w:t>
      </w:r>
      <w:r>
        <w:rPr>
          <w:spacing w:val="11"/>
          <w:sz w:val="20"/>
        </w:rPr>
        <w:t> </w:t>
      </w:r>
      <w:r>
        <w:rPr>
          <w:sz w:val="20"/>
        </w:rPr>
        <w:t>doklady definované výzvou,</w:t>
      </w:r>
      <w:r>
        <w:rPr>
          <w:spacing w:val="11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o úhradě, je-li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Fond akceptuje</w:t>
      </w:r>
      <w:r>
        <w:rPr>
          <w:spacing w:val="-2"/>
          <w:sz w:val="20"/>
        </w:rPr>
        <w:t> </w:t>
      </w:r>
      <w:r>
        <w:rPr>
          <w:sz w:val="20"/>
        </w:rPr>
        <w:t>předložení faktur či</w:t>
      </w:r>
      <w:r>
        <w:rPr>
          <w:spacing w:val="-1"/>
          <w:sz w:val="20"/>
        </w:rPr>
        <w:t> </w:t>
      </w:r>
      <w:r>
        <w:rPr>
          <w:sz w:val="20"/>
        </w:rPr>
        <w:t>jiných</w:t>
      </w:r>
      <w:r>
        <w:rPr>
          <w:spacing w:val="-1"/>
          <w:sz w:val="20"/>
        </w:rPr>
        <w:t> </w:t>
      </w:r>
      <w:r>
        <w:rPr>
          <w:sz w:val="20"/>
        </w:rPr>
        <w:t>účetních</w:t>
      </w:r>
      <w:r>
        <w:rPr>
          <w:spacing w:val="-1"/>
          <w:sz w:val="20"/>
        </w:rPr>
        <w:t> </w:t>
      </w:r>
      <w:r>
        <w:rPr>
          <w:sz w:val="20"/>
        </w:rPr>
        <w:t>dokladů i</w:t>
      </w:r>
      <w:r>
        <w:rPr>
          <w:spacing w:val="-1"/>
          <w:sz w:val="20"/>
        </w:rPr>
        <w:t> </w:t>
      </w:r>
      <w:r>
        <w:rPr>
          <w:sz w:val="20"/>
        </w:rPr>
        <w:t>z roku předcházejícího</w:t>
      </w:r>
      <w:r>
        <w:rPr>
          <w:spacing w:val="-13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fakturace</w:t>
      </w:r>
      <w:r>
        <w:rPr>
          <w:spacing w:val="-12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vystavení</w:t>
      </w:r>
      <w:r>
        <w:rPr>
          <w:spacing w:val="-13"/>
          <w:sz w:val="20"/>
        </w:rPr>
        <w:t> </w:t>
      </w:r>
      <w:r>
        <w:rPr>
          <w:sz w:val="20"/>
        </w:rPr>
        <w:t>odpovídá</w:t>
      </w:r>
      <w:r>
        <w:rPr>
          <w:spacing w:val="-13"/>
          <w:sz w:val="20"/>
        </w:rPr>
        <w:t> </w:t>
      </w:r>
      <w:r>
        <w:rPr>
          <w:sz w:val="20"/>
        </w:rPr>
        <w:t>termínům</w:t>
      </w:r>
      <w:r>
        <w:rPr>
          <w:spacing w:val="-14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7"/>
        <w:jc w:val="left"/>
        <w:rPr>
          <w:sz w:val="28"/>
        </w:rPr>
      </w:pPr>
    </w:p>
    <w:p>
      <w:pPr>
        <w:pStyle w:val="Heading1"/>
        <w:spacing w:before="100"/>
        <w:ind w:left="3417"/>
      </w:pPr>
      <w:r>
        <w:rPr>
          <w:spacing w:val="-5"/>
        </w:rPr>
        <w:t>IV.</w:t>
      </w:r>
    </w:p>
    <w:p>
      <w:pPr>
        <w:pStyle w:val="Heading2"/>
        <w:ind w:left="1302" w:right="103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odsouhlaseného</w:t>
      </w:r>
      <w:r>
        <w:rPr>
          <w:spacing w:val="-11"/>
          <w:sz w:val="20"/>
        </w:rPr>
        <w:t> </w:t>
      </w:r>
      <w:r>
        <w:rPr>
          <w:sz w:val="20"/>
        </w:rPr>
        <w:t>popisu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31.</w:t>
      </w:r>
      <w:r>
        <w:rPr>
          <w:spacing w:val="-12"/>
          <w:sz w:val="20"/>
        </w:rPr>
        <w:t> </w:t>
      </w:r>
      <w:r>
        <w:rPr>
          <w:sz w:val="20"/>
        </w:rPr>
        <w:t>5.</w:t>
      </w:r>
      <w:r>
        <w:rPr>
          <w:spacing w:val="-14"/>
          <w:sz w:val="20"/>
        </w:rPr>
        <w:t> </w:t>
      </w:r>
      <w:r>
        <w:rPr>
          <w:sz w:val="20"/>
        </w:rPr>
        <w:t>2023,</w:t>
      </w:r>
      <w:r>
        <w:rPr>
          <w:spacing w:val="-14"/>
          <w:sz w:val="20"/>
        </w:rPr>
        <w:t> </w:t>
      </w:r>
      <w:r>
        <w:rPr>
          <w:sz w:val="20"/>
        </w:rPr>
        <w:t>který je součástí žádosti o podporu, aktualizovaného podrobného rozpočtu projektu a harmonogramu projektu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16.</w:t>
      </w:r>
      <w:r>
        <w:rPr>
          <w:spacing w:val="-13"/>
          <w:sz w:val="20"/>
        </w:rPr>
        <w:t> </w:t>
      </w:r>
      <w:r>
        <w:rPr>
          <w:sz w:val="20"/>
        </w:rPr>
        <w:t>8.</w:t>
      </w:r>
      <w:r>
        <w:rPr>
          <w:spacing w:val="-14"/>
          <w:sz w:val="20"/>
        </w:rPr>
        <w:t> </w:t>
      </w:r>
      <w:r>
        <w:rPr>
          <w:sz w:val="20"/>
        </w:rPr>
        <w:t>2024,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jsou</w:t>
      </w:r>
      <w:r>
        <w:rPr>
          <w:spacing w:val="-14"/>
          <w:sz w:val="20"/>
        </w:rPr>
        <w:t> </w:t>
      </w:r>
      <w:r>
        <w:rPr>
          <w:sz w:val="20"/>
        </w:rPr>
        <w:t>součástí</w:t>
      </w:r>
      <w:r>
        <w:rPr>
          <w:spacing w:val="-14"/>
          <w:sz w:val="20"/>
        </w:rPr>
        <w:t> </w:t>
      </w:r>
      <w:r>
        <w:rPr>
          <w:sz w:val="20"/>
        </w:rPr>
        <w:t>podkladů</w:t>
      </w:r>
      <w:r>
        <w:rPr>
          <w:spacing w:val="-13"/>
          <w:sz w:val="20"/>
        </w:rPr>
        <w:t> </w:t>
      </w:r>
      <w:r>
        <w:rPr>
          <w:sz w:val="20"/>
        </w:rPr>
        <w:t>ke</w:t>
      </w:r>
      <w:r>
        <w:rPr>
          <w:spacing w:val="-14"/>
          <w:sz w:val="20"/>
        </w:rPr>
        <w:t> </w:t>
      </w:r>
      <w:r>
        <w:rPr>
          <w:sz w:val="20"/>
        </w:rPr>
        <w:t>smlouvě,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případných</w:t>
      </w:r>
      <w:r>
        <w:rPr>
          <w:spacing w:val="-13"/>
          <w:sz w:val="20"/>
        </w:rPr>
        <w:t> </w:t>
      </w:r>
      <w:r>
        <w:rPr>
          <w:sz w:val="20"/>
        </w:rPr>
        <w:t>změn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20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ListParagraph"/>
        <w:numPr>
          <w:ilvl w:val="1"/>
          <w:numId w:val="5"/>
        </w:numPr>
        <w:tabs>
          <w:tab w:pos="877" w:val="left" w:leader="none"/>
        </w:tabs>
        <w:spacing w:line="240" w:lineRule="auto" w:before="119" w:after="0"/>
        <w:ind w:left="876" w:right="0" w:hanging="136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7"/>
          <w:sz w:val="20"/>
        </w:rPr>
        <w:t> </w:t>
      </w:r>
      <w:r>
        <w:rPr>
          <w:sz w:val="20"/>
        </w:rPr>
        <w:t>zrealizuje</w:t>
      </w:r>
      <w:r>
        <w:rPr>
          <w:spacing w:val="-6"/>
          <w:sz w:val="20"/>
        </w:rPr>
        <w:t> </w:t>
      </w:r>
      <w:r>
        <w:rPr>
          <w:sz w:val="20"/>
        </w:rPr>
        <w:t>16</w:t>
      </w:r>
      <w:r>
        <w:rPr>
          <w:spacing w:val="-5"/>
          <w:sz w:val="20"/>
        </w:rPr>
        <w:t> </w:t>
      </w:r>
      <w:r>
        <w:rPr>
          <w:sz w:val="20"/>
        </w:rPr>
        <w:t>akcí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250</w:t>
      </w:r>
      <w:r>
        <w:rPr>
          <w:spacing w:val="-5"/>
          <w:sz w:val="20"/>
        </w:rPr>
        <w:t> </w:t>
      </w:r>
      <w:r>
        <w:rPr>
          <w:sz w:val="20"/>
        </w:rPr>
        <w:t>účastníků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celkové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750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osobohodin,</w:t>
      </w:r>
    </w:p>
    <w:p>
      <w:pPr>
        <w:pStyle w:val="ListParagraph"/>
        <w:numPr>
          <w:ilvl w:val="1"/>
          <w:numId w:val="5"/>
        </w:numPr>
        <w:tabs>
          <w:tab w:pos="877" w:val="left" w:leader="none"/>
        </w:tabs>
        <w:spacing w:line="240" w:lineRule="auto" w:before="0" w:after="0"/>
        <w:ind w:left="876" w:right="0" w:hanging="136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rámci</w:t>
      </w:r>
      <w:r>
        <w:rPr>
          <w:spacing w:val="-5"/>
          <w:sz w:val="20"/>
        </w:rPr>
        <w:t> </w:t>
      </w:r>
      <w:r>
        <w:rPr>
          <w:sz w:val="20"/>
        </w:rPr>
        <w:t>osvětových</w:t>
      </w:r>
      <w:r>
        <w:rPr>
          <w:spacing w:val="-5"/>
          <w:sz w:val="20"/>
        </w:rPr>
        <w:t> </w:t>
      </w:r>
      <w:r>
        <w:rPr>
          <w:sz w:val="20"/>
        </w:rPr>
        <w:t>akcí</w:t>
      </w:r>
      <w:r>
        <w:rPr>
          <w:spacing w:val="-5"/>
          <w:sz w:val="20"/>
        </w:rPr>
        <w:t> </w:t>
      </w:r>
      <w:r>
        <w:rPr>
          <w:sz w:val="20"/>
        </w:rPr>
        <w:t>osloví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000</w:t>
      </w:r>
      <w:r>
        <w:rPr>
          <w:spacing w:val="-4"/>
          <w:sz w:val="20"/>
        </w:rPr>
        <w:t> osob,</w:t>
      </w:r>
    </w:p>
    <w:p>
      <w:pPr>
        <w:pStyle w:val="ListParagraph"/>
        <w:numPr>
          <w:ilvl w:val="1"/>
          <w:numId w:val="5"/>
        </w:numPr>
        <w:tabs>
          <w:tab w:pos="877" w:val="left" w:leader="none"/>
        </w:tabs>
        <w:spacing w:line="240" w:lineRule="auto" w:before="1" w:after="0"/>
        <w:ind w:left="876" w:right="0" w:hanging="136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5"/>
          <w:sz w:val="20"/>
        </w:rPr>
        <w:t> </w:t>
      </w:r>
      <w:r>
        <w:rPr>
          <w:sz w:val="20"/>
        </w:rPr>
        <w:t>školící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osvětové</w:t>
      </w:r>
      <w:r>
        <w:rPr>
          <w:spacing w:val="-4"/>
          <w:sz w:val="20"/>
        </w:rPr>
        <w:t> </w:t>
      </w:r>
      <w:r>
        <w:rPr>
          <w:sz w:val="20"/>
        </w:rPr>
        <w:t>materiály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celkovém</w:t>
      </w:r>
      <w:r>
        <w:rPr>
          <w:spacing w:val="-7"/>
          <w:sz w:val="20"/>
        </w:rPr>
        <w:t> </w:t>
      </w:r>
      <w:r>
        <w:rPr>
          <w:sz w:val="20"/>
        </w:rPr>
        <w:t>počtu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ks.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8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0"/>
          <w:sz w:val="20"/>
        </w:rPr>
        <w:t> </w:t>
      </w:r>
      <w:r>
        <w:rPr>
          <w:sz w:val="20"/>
        </w:rPr>
        <w:t>pořádaných pro</w:t>
      </w:r>
      <w:r>
        <w:rPr>
          <w:spacing w:val="-3"/>
          <w:sz w:val="20"/>
        </w:rPr>
        <w:t> </w:t>
      </w:r>
      <w:r>
        <w:rPr>
          <w:sz w:val="20"/>
        </w:rPr>
        <w:t>cílovou</w:t>
      </w:r>
      <w:r>
        <w:rPr>
          <w:spacing w:val="-3"/>
          <w:sz w:val="20"/>
        </w:rPr>
        <w:t> </w:t>
      </w:r>
      <w:r>
        <w:rPr>
          <w:sz w:val="20"/>
        </w:rPr>
        <w:t>skupinu v</w:t>
      </w:r>
      <w:r>
        <w:rPr>
          <w:spacing w:val="-3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nejpozději 10</w:t>
      </w:r>
      <w:r>
        <w:rPr>
          <w:spacing w:val="-2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 vyskytnou během realizace projektu, a které s ním bezprostředně souvisejí, pouze v rámci zajištění vlastních zdrojů, a takové příjmy uvede nejpozději při předložení závěrečné žádosti o platbu,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2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účel,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který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poskytnuta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u</w:t>
      </w:r>
      <w:r>
        <w:rPr>
          <w:spacing w:val="18"/>
          <w:sz w:val="20"/>
        </w:rPr>
        <w:t> </w:t>
      </w:r>
      <w:r>
        <w:rPr>
          <w:sz w:val="20"/>
        </w:rPr>
        <w:t>relevantních</w:t>
      </w:r>
      <w:r>
        <w:rPr>
          <w:spacing w:val="21"/>
          <w:sz w:val="20"/>
        </w:rPr>
        <w:t> </w:t>
      </w:r>
      <w:r>
        <w:rPr>
          <w:sz w:val="20"/>
        </w:rPr>
        <w:t>aktivit a jejich výstupů řádně plněn po dobu 2 let od ukončení realizace akce,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6"/>
          <w:sz w:val="20"/>
        </w:rPr>
        <w:t> </w:t>
      </w:r>
      <w:r>
        <w:rPr>
          <w:sz w:val="20"/>
        </w:rPr>
        <w:t>jiný</w:t>
      </w:r>
      <w:r>
        <w:rPr>
          <w:spacing w:val="-6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21"/>
          <w:sz w:val="20"/>
        </w:rPr>
        <w:t> </w:t>
      </w:r>
      <w:r>
        <w:rPr>
          <w:sz w:val="20"/>
        </w:rPr>
        <w:t>zejména</w:t>
      </w:r>
      <w:r>
        <w:rPr>
          <w:spacing w:val="20"/>
          <w:sz w:val="20"/>
        </w:rPr>
        <w:t> </w:t>
      </w:r>
      <w:r>
        <w:rPr>
          <w:sz w:val="20"/>
        </w:rPr>
        <w:t>zastaven</w:t>
      </w:r>
      <w:r>
        <w:rPr>
          <w:spacing w:val="23"/>
          <w:sz w:val="20"/>
        </w:rPr>
        <w:t> </w:t>
      </w:r>
      <w:r>
        <w:rPr>
          <w:sz w:val="20"/>
        </w:rPr>
        <w:t>ve</w:t>
      </w:r>
      <w:r>
        <w:rPr>
          <w:spacing w:val="20"/>
          <w:sz w:val="20"/>
        </w:rPr>
        <w:t> </w:t>
      </w:r>
      <w:r>
        <w:rPr>
          <w:sz w:val="20"/>
        </w:rPr>
        <w:t>prospěch</w:t>
      </w:r>
      <w:r>
        <w:rPr>
          <w:spacing w:val="21"/>
          <w:sz w:val="20"/>
        </w:rPr>
        <w:t> </w:t>
      </w:r>
      <w:r>
        <w:rPr>
          <w:sz w:val="20"/>
        </w:rPr>
        <w:t>jiné</w:t>
      </w:r>
      <w:r>
        <w:rPr>
          <w:spacing w:val="20"/>
          <w:sz w:val="20"/>
        </w:rPr>
        <w:t> </w:t>
      </w:r>
      <w:r>
        <w:rPr>
          <w:sz w:val="20"/>
        </w:rPr>
        <w:t>osoby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jiným</w:t>
      </w:r>
      <w:r>
        <w:rPr>
          <w:spacing w:val="20"/>
          <w:sz w:val="20"/>
        </w:rPr>
        <w:t> </w:t>
      </w:r>
      <w:r>
        <w:rPr>
          <w:sz w:val="20"/>
        </w:rPr>
        <w:t>účelem,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2"/>
          <w:sz w:val="20"/>
        </w:rPr>
        <w:t> </w:t>
      </w:r>
      <w:r>
        <w:rPr>
          <w:sz w:val="20"/>
        </w:rPr>
        <w:t>stanoví</w:t>
      </w:r>
      <w:r>
        <w:rPr>
          <w:spacing w:val="24"/>
          <w:sz w:val="20"/>
        </w:rPr>
        <w:t> </w:t>
      </w:r>
      <w:r>
        <w:rPr>
          <w:sz w:val="20"/>
        </w:rPr>
        <w:t>Směrnice</w:t>
      </w:r>
      <w:r>
        <w:rPr>
          <w:spacing w:val="20"/>
          <w:sz w:val="20"/>
        </w:rPr>
        <w:t> </w:t>
      </w:r>
      <w:r>
        <w:rPr>
          <w:sz w:val="20"/>
        </w:rPr>
        <w:t>MŽP,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to v</w:t>
      </w:r>
      <w:r>
        <w:rPr>
          <w:spacing w:val="-7"/>
          <w:sz w:val="20"/>
        </w:rPr>
        <w:t> </w:t>
      </w:r>
      <w:r>
        <w:rPr>
          <w:sz w:val="20"/>
        </w:rPr>
        <w:t>době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14"/>
          <w:sz w:val="20"/>
        </w:rPr>
        <w:t> </w:t>
      </w:r>
      <w:r>
        <w:rPr>
          <w:sz w:val="20"/>
        </w:rPr>
        <w:t>uzavření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uplynutí</w:t>
      </w:r>
      <w:r>
        <w:rPr>
          <w:spacing w:val="-13"/>
          <w:sz w:val="20"/>
        </w:rPr>
        <w:t> </w:t>
      </w:r>
      <w:r>
        <w:rPr>
          <w:sz w:val="20"/>
        </w:rPr>
        <w:t>5</w:t>
      </w:r>
      <w:r>
        <w:rPr>
          <w:spacing w:val="-14"/>
          <w:sz w:val="20"/>
        </w:rPr>
        <w:t> </w:t>
      </w:r>
      <w:r>
        <w:rPr>
          <w:sz w:val="20"/>
        </w:rPr>
        <w:t>let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dřívější</w:t>
      </w:r>
      <w:r>
        <w:rPr>
          <w:spacing w:val="-14"/>
          <w:sz w:val="20"/>
        </w:rPr>
        <w:t> </w:t>
      </w:r>
      <w:r>
        <w:rPr>
          <w:sz w:val="20"/>
        </w:rPr>
        <w:t>převod předmětu podpory odsouhlasí, příjemce podpory vrátí poměrnou část podpory ve Fondem stanovené výši a lhůtě. Pro tento účel se předmětem podpory rozumí věci pořizované (či rekonstruované,</w:t>
      </w:r>
    </w:p>
    <w:p>
      <w:pPr>
        <w:pStyle w:val="BodyText"/>
        <w:spacing w:line="266" w:lineRule="exact"/>
        <w:ind w:left="741"/>
      </w:pPr>
      <w:r>
        <w:rPr/>
        <w:t>upravené,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jinak</w:t>
      </w:r>
      <w:r>
        <w:rPr>
          <w:spacing w:val="-6"/>
        </w:rPr>
        <w:t> </w:t>
      </w:r>
      <w:r>
        <w:rPr/>
        <w:t>výrazně</w:t>
      </w:r>
      <w:r>
        <w:rPr>
          <w:spacing w:val="-6"/>
        </w:rPr>
        <w:t> </w:t>
      </w:r>
      <w:r>
        <w:rPr/>
        <w:t>zhodnocené)</w:t>
      </w:r>
      <w:r>
        <w:rPr>
          <w:spacing w:val="-6"/>
        </w:rPr>
        <w:t> </w:t>
      </w:r>
      <w:r>
        <w:rPr/>
        <w:t>s</w:t>
      </w:r>
      <w:r>
        <w:rPr>
          <w:spacing w:val="-5"/>
        </w:rPr>
        <w:t> </w:t>
      </w:r>
      <w:r>
        <w:rPr/>
        <w:t>podporou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 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(zákon č.</w:t>
      </w:r>
      <w:r>
        <w:rPr>
          <w:spacing w:val="-2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znění) podle čl.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nebude</w:t>
      </w:r>
      <w:r>
        <w:rPr>
          <w:spacing w:val="40"/>
          <w:sz w:val="20"/>
        </w:rPr>
        <w:t> </w:t>
      </w:r>
      <w:r>
        <w:rPr>
          <w:sz w:val="20"/>
        </w:rPr>
        <w:t>čerpat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stejné</w:t>
      </w:r>
      <w:r>
        <w:rPr>
          <w:spacing w:val="40"/>
          <w:sz w:val="20"/>
        </w:rPr>
        <w:t> </w:t>
      </w:r>
      <w:r>
        <w:rPr>
          <w:sz w:val="20"/>
        </w:rPr>
        <w:t>způsobilé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jinou</w:t>
      </w:r>
      <w:r>
        <w:rPr>
          <w:spacing w:val="40"/>
          <w:sz w:val="20"/>
        </w:rPr>
        <w:t> </w:t>
      </w:r>
      <w:r>
        <w:rPr>
          <w:sz w:val="20"/>
        </w:rPr>
        <w:t>veřejnou</w:t>
      </w:r>
      <w:r>
        <w:rPr>
          <w:spacing w:val="40"/>
          <w:sz w:val="20"/>
        </w:rPr>
        <w:t> </w:t>
      </w:r>
      <w:r>
        <w:rPr>
          <w:sz w:val="20"/>
        </w:rPr>
        <w:t>podporu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107</w:t>
      </w:r>
      <w:r>
        <w:rPr>
          <w:spacing w:val="-2"/>
          <w:sz w:val="20"/>
        </w:rPr>
        <w:t> </w:t>
      </w:r>
      <w:r>
        <w:rPr>
          <w:sz w:val="20"/>
        </w:rPr>
        <w:t>odst. 1 Smlouvy o fungování Evropské unie, podporu z prostředků Unie, které centrálně spravují orgány, agentury, společné podniky a jiné subjekty EU a která není přímo ani nepřímo pod kontrolou členských států, podporu ze státního rozpočtu a dalších veřejných zdrojů a ani podporu v režimu de </w:t>
      </w:r>
      <w:r>
        <w:rPr>
          <w:spacing w:val="-2"/>
          <w:sz w:val="20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2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BodyText"/>
        <w:spacing w:before="119"/>
        <w:ind w:left="741" w:right="116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6"/>
        </w:rPr>
        <w:t> </w:t>
      </w:r>
      <w:r>
        <w:rPr/>
        <w:t>uchování</w:t>
      </w:r>
      <w:r>
        <w:rPr>
          <w:spacing w:val="16"/>
        </w:rPr>
        <w:t> </w:t>
      </w:r>
      <w:r>
        <w:rPr/>
        <w:t>informací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projektu</w:t>
      </w:r>
      <w:r>
        <w:rPr>
          <w:spacing w:val="16"/>
        </w:rPr>
        <w:t> </w:t>
      </w:r>
      <w:r>
        <w:rPr/>
        <w:t>v</w:t>
      </w:r>
      <w:r>
        <w:rPr>
          <w:spacing w:val="16"/>
        </w:rPr>
        <w:t> </w:t>
      </w:r>
      <w:r>
        <w:rPr/>
        <w:t>rozsahu</w:t>
      </w:r>
      <w:r>
        <w:rPr>
          <w:spacing w:val="16"/>
        </w:rPr>
        <w:t> </w:t>
      </w:r>
      <w:r>
        <w:rPr/>
        <w:t>požadovaném</w:t>
      </w:r>
      <w:r>
        <w:rPr>
          <w:spacing w:val="15"/>
        </w:rPr>
        <w:t> </w:t>
      </w:r>
      <w:r>
        <w:rPr/>
        <w:t>právními</w:t>
      </w:r>
      <w:r>
        <w:rPr>
          <w:spacing w:val="16"/>
        </w:rPr>
        <w:t> </w:t>
      </w:r>
      <w:r>
        <w:rPr/>
        <w:t>předpisy</w:t>
      </w:r>
      <w:r>
        <w:rPr>
          <w:spacing w:val="15"/>
        </w:rPr>
        <w:t> </w:t>
      </w:r>
      <w:r>
        <w:rPr/>
        <w:t>České</w:t>
      </w:r>
      <w:r>
        <w:rPr>
          <w:spacing w:val="15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</w:t>
      </w:r>
      <w:r>
        <w:rPr>
          <w:spacing w:val="-1"/>
        </w:rPr>
        <w:t> </w:t>
      </w:r>
      <w:r>
        <w:rPr/>
        <w:t>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5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11/2025 (za termín ukončení projektu se považuje datum protokolu</w:t>
      </w:r>
      <w:r>
        <w:rPr>
          <w:spacing w:val="40"/>
          <w:sz w:val="20"/>
        </w:rPr>
        <w:t> </w:t>
      </w:r>
      <w:r>
        <w:rPr>
          <w:sz w:val="20"/>
        </w:rPr>
        <w:t>o předání a převzetí díla u relevantních aktivit). Přitom se konstatuje, že akce byla zahájena v 3/2024,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nejpozději</w:t>
      </w:r>
      <w:r>
        <w:rPr>
          <w:spacing w:val="-1"/>
          <w:sz w:val="20"/>
        </w:rPr>
        <w:t> </w:t>
      </w:r>
      <w:r>
        <w:rPr>
          <w:sz w:val="20"/>
        </w:rPr>
        <w:t>do konce 2/2026 předložit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 SFŽP ČR</w:t>
      </w:r>
      <w:r>
        <w:rPr>
          <w:spacing w:val="-1"/>
          <w:sz w:val="20"/>
        </w:rPr>
        <w:t> </w:t>
      </w:r>
      <w:r>
        <w:rPr>
          <w:sz w:val="20"/>
        </w:rPr>
        <w:t>Fondu tyto podklady k ZVA: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361"/>
        <w:jc w:val="left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 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1" w:right="111" w:hanging="360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žádosti o platbu.</w:t>
      </w:r>
    </w:p>
    <w:p>
      <w:pPr>
        <w:pStyle w:val="BodyText"/>
        <w:spacing w:before="118"/>
        <w:ind w:left="741"/>
        <w:jc w:val="left"/>
      </w:pPr>
      <w:r>
        <w:rPr/>
        <w:t>K</w:t>
      </w:r>
      <w:r>
        <w:rPr>
          <w:spacing w:val="31"/>
        </w:rPr>
        <w:t> </w:t>
      </w:r>
      <w:r>
        <w:rPr/>
        <w:t>ZVA</w:t>
      </w:r>
      <w:r>
        <w:rPr>
          <w:spacing w:val="33"/>
        </w:rPr>
        <w:t> </w:t>
      </w:r>
      <w:r>
        <w:rPr/>
        <w:t>může</w:t>
      </w:r>
      <w:r>
        <w:rPr>
          <w:spacing w:val="30"/>
        </w:rPr>
        <w:t> </w:t>
      </w:r>
      <w:r>
        <w:rPr/>
        <w:t>Fond</w:t>
      </w:r>
      <w:r>
        <w:rPr>
          <w:spacing w:val="33"/>
        </w:rPr>
        <w:t> </w:t>
      </w:r>
      <w:r>
        <w:rPr/>
        <w:t>vydat</w:t>
      </w:r>
      <w:r>
        <w:rPr>
          <w:spacing w:val="31"/>
        </w:rPr>
        <w:t> </w:t>
      </w:r>
      <w:r>
        <w:rPr/>
        <w:t>závazné</w:t>
      </w:r>
      <w:r>
        <w:rPr>
          <w:spacing w:val="31"/>
        </w:rPr>
        <w:t> </w:t>
      </w:r>
      <w:r>
        <w:rPr/>
        <w:t>pokyny</w:t>
      </w:r>
      <w:r>
        <w:rPr>
          <w:spacing w:val="32"/>
        </w:rPr>
        <w:t> </w:t>
      </w:r>
      <w:r>
        <w:rPr/>
        <w:t>(či</w:t>
      </w:r>
      <w:r>
        <w:rPr>
          <w:spacing w:val="31"/>
        </w:rPr>
        <w:t> </w:t>
      </w:r>
      <w:r>
        <w:rPr/>
        <w:t>požádat</w:t>
      </w:r>
      <w:r>
        <w:rPr>
          <w:spacing w:val="34"/>
        </w:rPr>
        <w:t> </w:t>
      </w:r>
      <w:r>
        <w:rPr/>
        <w:t>o</w:t>
      </w:r>
      <w:r>
        <w:rPr>
          <w:spacing w:val="32"/>
        </w:rPr>
        <w:t> </w:t>
      </w:r>
      <w:r>
        <w:rPr/>
        <w:t>informace),</w:t>
      </w:r>
      <w:r>
        <w:rPr>
          <w:spacing w:val="32"/>
        </w:rPr>
        <w:t> </w:t>
      </w:r>
      <w:r>
        <w:rPr/>
        <w:t>které</w:t>
      </w:r>
      <w:r>
        <w:rPr>
          <w:spacing w:val="33"/>
        </w:rPr>
        <w:t> </w:t>
      </w:r>
      <w:r>
        <w:rPr/>
        <w:t>mohou</w:t>
      </w:r>
      <w:r>
        <w:rPr>
          <w:spacing w:val="32"/>
        </w:rPr>
        <w:t> </w:t>
      </w:r>
      <w:r>
        <w:rPr/>
        <w:t>jeho</w:t>
      </w:r>
      <w:r>
        <w:rPr>
          <w:spacing w:val="32"/>
        </w:rPr>
        <w:t> </w:t>
      </w:r>
      <w:r>
        <w:rPr/>
        <w:t>obsah</w:t>
      </w:r>
      <w:r>
        <w:rPr>
          <w:spacing w:val="32"/>
        </w:rPr>
        <w:t> </w:t>
      </w:r>
      <w:r>
        <w:rPr>
          <w:spacing w:val="-2"/>
        </w:rPr>
        <w:t>blíže</w:t>
      </w:r>
    </w:p>
    <w:p>
      <w:pPr>
        <w:spacing w:after="0"/>
        <w:jc w:val="left"/>
        <w:sectPr>
          <w:pgSz w:w="12240" w:h="15840"/>
          <w:pgMar w:header="569" w:footer="1386" w:top="1600" w:bottom="1580" w:left="1320" w:right="1020"/>
        </w:sectPr>
      </w:pPr>
    </w:p>
    <w:p>
      <w:pPr>
        <w:pStyle w:val="BodyText"/>
        <w:spacing w:before="89"/>
        <w:ind w:left="741" w:right="106"/>
      </w:pPr>
      <w:r>
        <w:rPr/>
        <w:t>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kterých, bude moci jednoznačně rozhodnout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plnění</w:t>
      </w:r>
      <w:r>
        <w:rPr>
          <w:spacing w:val="21"/>
        </w:rPr>
        <w:t> </w:t>
      </w:r>
      <w:r>
        <w:rPr/>
        <w:t>podmínek</w:t>
      </w:r>
      <w:r>
        <w:rPr>
          <w:spacing w:val="20"/>
        </w:rPr>
        <w:t> </w:t>
      </w:r>
      <w:r>
        <w:rPr/>
        <w:t>této</w:t>
      </w:r>
      <w:r>
        <w:rPr>
          <w:spacing w:val="21"/>
        </w:rPr>
        <w:t> </w:t>
      </w:r>
      <w:r>
        <w:rPr/>
        <w:t>Smlouvy</w:t>
      </w:r>
      <w:r>
        <w:rPr>
          <w:spacing w:val="20"/>
        </w:rPr>
        <w:t> </w:t>
      </w:r>
      <w:r>
        <w:rPr/>
        <w:t>a rovněž</w:t>
      </w:r>
      <w:r>
        <w:rPr>
          <w:spacing w:val="22"/>
        </w:rPr>
        <w:t> </w:t>
      </w:r>
      <w:r>
        <w:rPr/>
        <w:t>v</w:t>
      </w:r>
      <w:r>
        <w:rPr>
          <w:spacing w:val="21"/>
        </w:rPr>
        <w:t> </w:t>
      </w:r>
      <w:r>
        <w:rPr/>
        <w:t>případě,</w:t>
      </w:r>
      <w:r>
        <w:rPr>
          <w:spacing w:val="21"/>
        </w:rPr>
        <w:t> </w:t>
      </w:r>
      <w:r>
        <w:rPr/>
        <w:t>že</w:t>
      </w:r>
      <w:r>
        <w:rPr>
          <w:spacing w:val="20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1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6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 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 účelem prezentace projektů podpořených z 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8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2"/>
          <w:sz w:val="20"/>
        </w:rPr>
        <w:t> </w:t>
      </w:r>
      <w:r>
        <w:rPr>
          <w:sz w:val="20"/>
        </w:rPr>
        <w:t>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3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7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korupčního</w:t>
      </w:r>
      <w:r>
        <w:rPr>
          <w:spacing w:val="5"/>
          <w:sz w:val="20"/>
        </w:rPr>
        <w:t> </w:t>
      </w:r>
      <w:r>
        <w:rPr>
          <w:sz w:val="20"/>
        </w:rPr>
        <w:t>jednání</w:t>
      </w:r>
      <w:r>
        <w:rPr>
          <w:spacing w:val="7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spacing w:before="89"/>
      </w:pPr>
      <w:r>
        <w:rPr>
          <w:spacing w:val="-5"/>
        </w:rPr>
        <w:t>V.</w:t>
      </w:r>
    </w:p>
    <w:p>
      <w:pPr>
        <w:pStyle w:val="Heading2"/>
        <w:ind w:left="1304" w:right="103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Byl – 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13"/>
          <w:sz w:val="20"/>
        </w:rPr>
        <w:t> </w:t>
      </w:r>
      <w:r>
        <w:rPr>
          <w:sz w:val="20"/>
        </w:rPr>
        <w:t>50-99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 rozmezí</w:t>
      </w:r>
      <w:r>
        <w:rPr>
          <w:spacing w:val="-13"/>
          <w:sz w:val="20"/>
        </w:rPr>
        <w:t> </w:t>
      </w:r>
      <w:r>
        <w:rPr>
          <w:sz w:val="20"/>
        </w:rPr>
        <w:t>0,1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49</w:t>
      </w:r>
      <w:r>
        <w:rPr>
          <w:spacing w:val="-2"/>
          <w:sz w:val="20"/>
        </w:rPr>
        <w:t> </w:t>
      </w:r>
      <w:r>
        <w:rPr>
          <w:sz w:val="20"/>
        </w:rPr>
        <w:t>% z poskytnuté podpory v závislosti na míře porušení stanovených indikátorů účelu 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0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9"/>
          <w:sz w:val="20"/>
        </w:rPr>
        <w:t> </w:t>
      </w:r>
      <w:r>
        <w:rPr>
          <w:sz w:val="20"/>
        </w:rPr>
        <w:t>každý</w:t>
      </w:r>
      <w:r>
        <w:rPr>
          <w:spacing w:val="-11"/>
          <w:sz w:val="20"/>
        </w:rPr>
        <w:t> </w:t>
      </w:r>
      <w:r>
        <w:rPr>
          <w:sz w:val="20"/>
        </w:rPr>
        <w:t>započatý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podle článku</w:t>
      </w:r>
      <w:r>
        <w:rPr>
          <w:spacing w:val="-1"/>
          <w:sz w:val="20"/>
        </w:rPr>
        <w:t> </w:t>
      </w:r>
      <w:r>
        <w:rPr>
          <w:sz w:val="20"/>
        </w:rPr>
        <w:t>IV bodu 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 za druhou odrážkou bude postiženo odvodem</w:t>
      </w:r>
      <w:r>
        <w:rPr>
          <w:spacing w:val="-2"/>
          <w:sz w:val="20"/>
        </w:rPr>
        <w:t> </w:t>
      </w:r>
      <w:r>
        <w:rPr>
          <w:sz w:val="20"/>
        </w:rPr>
        <w:t>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uvedených</w:t>
      </w:r>
      <w:r>
        <w:rPr>
          <w:spacing w:val="-10"/>
          <w:sz w:val="20"/>
        </w:rPr>
        <w:t> </w:t>
      </w:r>
      <w:r>
        <w:rPr>
          <w:sz w:val="20"/>
        </w:rPr>
        <w:t>v 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g),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stanoven</w:t>
      </w:r>
      <w:r>
        <w:rPr>
          <w:spacing w:val="-10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1" w:hanging="36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20" w:hanging="36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2"/>
          <w:sz w:val="20"/>
        </w:rPr>
        <w:t> </w:t>
      </w:r>
      <w:r>
        <w:rPr>
          <w:sz w:val="20"/>
        </w:rPr>
        <w:t>uvádět</w:t>
      </w:r>
      <w:r>
        <w:rPr>
          <w:spacing w:val="-2"/>
          <w:sz w:val="20"/>
        </w:rPr>
        <w:t> </w:t>
      </w:r>
      <w:r>
        <w:rPr>
          <w:sz w:val="20"/>
        </w:rPr>
        <w:t>vždy</w:t>
      </w:r>
      <w:r>
        <w:rPr>
          <w:spacing w:val="-2"/>
          <w:sz w:val="20"/>
        </w:rPr>
        <w:t> </w:t>
      </w:r>
      <w:r>
        <w:rPr>
          <w:sz w:val="20"/>
        </w:rPr>
        <w:t>číslo</w:t>
      </w:r>
      <w:r>
        <w:rPr>
          <w:spacing w:val="-1"/>
          <w:sz w:val="20"/>
        </w:rPr>
        <w:t> </w:t>
      </w:r>
      <w:r>
        <w:rPr>
          <w:sz w:val="20"/>
        </w:rPr>
        <w:t>této Smlouvy, 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označení</w:t>
      </w:r>
      <w:r>
        <w:rPr>
          <w:spacing w:val="-2"/>
          <w:sz w:val="20"/>
        </w:rPr>
        <w:t> </w:t>
      </w:r>
      <w:r>
        <w:rPr>
          <w:sz w:val="20"/>
        </w:rPr>
        <w:t>věci,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daná</w:t>
      </w:r>
      <w:r>
        <w:rPr>
          <w:spacing w:val="-2"/>
          <w:sz w:val="20"/>
        </w:rPr>
        <w:t> </w:t>
      </w:r>
      <w:r>
        <w:rPr>
          <w:sz w:val="20"/>
        </w:rPr>
        <w:t>korespondence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2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podmínit</w:t>
      </w:r>
      <w:r>
        <w:rPr>
          <w:spacing w:val="-14"/>
          <w:sz w:val="20"/>
        </w:rPr>
        <w:t> </w:t>
      </w:r>
      <w:r>
        <w:rPr>
          <w:sz w:val="20"/>
        </w:rPr>
        <w:t>krácením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nepřiznáním</w:t>
      </w:r>
      <w:r>
        <w:rPr>
          <w:spacing w:val="-14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zbývající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7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7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6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 rozumí podání informace v AIS SFŽP ČR,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1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 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registru</w:t>
      </w:r>
      <w:r>
        <w:rPr>
          <w:spacing w:val="-13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4"/>
          <w:sz w:val="20"/>
        </w:rPr>
        <w:t> </w:t>
      </w:r>
      <w:r>
        <w:rPr>
          <w:sz w:val="20"/>
        </w:rPr>
        <w:t>předpisů,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5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4"/>
        <w:jc w:val="left"/>
        <w:rPr>
          <w:sz w:val="3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32"/>
        </w:rPr>
      </w:pPr>
    </w:p>
    <w:p>
      <w:pPr>
        <w:pStyle w:val="Heading2"/>
        <w:spacing w:line="261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9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 nedosahovala minimálních lhůt stanovených v 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33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4"/>
        <w:jc w:val="left"/>
        <w:rPr>
          <w:b/>
          <w:sz w:val="17"/>
        </w:rPr>
      </w:pPr>
      <w:r>
        <w:rPr/>
        <w:pict>
          <v:rect style="position:absolute;margin-left:85.103996pt;margin-top:12.71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648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5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spacing w:before="9"/>
        <w:jc w:val="left"/>
        <w:rPr>
          <w:sz w:val="29"/>
        </w:rPr>
      </w:pPr>
      <w:r>
        <w:rPr/>
        <w:pict>
          <v:rect style="position:absolute;margin-left:85.103996pt;margin-top:20.967638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jc w:val="left"/>
        <w:rPr>
          <w:sz w:val="15"/>
        </w:rPr>
      </w:pPr>
    </w:p>
    <w:sectPr>
      <w:pgSz w:w="12240" w:h="15840"/>
      <w:pgMar w:header="569" w:footer="138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93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066624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876" w:hanging="135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2" w:hanging="1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84" w:hanging="1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86" w:hanging="1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8" w:hanging="1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91" w:hanging="1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3" w:hanging="1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5" w:hanging="135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4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2024-09-12T12:41:16Z</dcterms:created>
  <dcterms:modified xsi:type="dcterms:W3CDTF">2024-09-12T12:41:16Z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