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40E12BD1" w:rsidR="008F2DBC" w:rsidRPr="00A9066E" w:rsidRDefault="008F2DBC" w:rsidP="008F2DBC">
      <w:pPr>
        <w:keepNext/>
        <w:jc w:val="center"/>
        <w:rPr>
          <w:b/>
          <w:bCs/>
          <w:kern w:val="2"/>
          <w:sz w:val="28"/>
          <w:szCs w:val="28"/>
        </w:rPr>
      </w:pPr>
      <w:r w:rsidRPr="00A9066E">
        <w:rPr>
          <w:b/>
          <w:bCs/>
          <w:kern w:val="2"/>
          <w:sz w:val="28"/>
          <w:szCs w:val="28"/>
        </w:rPr>
        <w:t>č</w:t>
      </w:r>
      <w:r w:rsidRPr="00A9066E">
        <w:rPr>
          <w:b/>
          <w:kern w:val="2"/>
          <w:sz w:val="28"/>
        </w:rPr>
        <w:t xml:space="preserve">.: </w:t>
      </w:r>
      <w:r w:rsidRPr="00A9066E">
        <w:rPr>
          <w:b/>
          <w:bCs/>
          <w:kern w:val="2"/>
          <w:sz w:val="28"/>
          <w:szCs w:val="28"/>
        </w:rPr>
        <w:t>LL</w:t>
      </w:r>
      <w:r w:rsidR="001E2714" w:rsidRPr="00A9066E">
        <w:rPr>
          <w:b/>
          <w:bCs/>
          <w:kern w:val="2"/>
          <w:sz w:val="28"/>
          <w:szCs w:val="28"/>
        </w:rPr>
        <w:t>2</w:t>
      </w:r>
      <w:r w:rsidR="00A3221F" w:rsidRPr="00A9066E">
        <w:rPr>
          <w:b/>
          <w:bCs/>
          <w:kern w:val="2"/>
          <w:sz w:val="28"/>
          <w:szCs w:val="28"/>
        </w:rPr>
        <w:t>4</w:t>
      </w:r>
      <w:r w:rsidR="00A9066E" w:rsidRPr="00A9066E">
        <w:rPr>
          <w:b/>
          <w:bCs/>
          <w:kern w:val="2"/>
          <w:sz w:val="28"/>
          <w:szCs w:val="28"/>
        </w:rPr>
        <w:t>02</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63FBD4F8" w14:textId="77777777" w:rsidR="00A9066E" w:rsidRPr="00A9066E" w:rsidRDefault="00A9066E" w:rsidP="00664C07">
      <w:pPr>
        <w:rPr>
          <w:b/>
          <w:bCs/>
          <w:sz w:val="24"/>
          <w:szCs w:val="24"/>
        </w:rPr>
      </w:pPr>
      <w:r w:rsidRPr="00A9066E">
        <w:rPr>
          <w:b/>
          <w:bCs/>
          <w:sz w:val="24"/>
          <w:szCs w:val="24"/>
        </w:rPr>
        <w:t>Fyziologický ústav AV ČR, v.v.i.</w:t>
      </w:r>
    </w:p>
    <w:p w14:paraId="30964767" w14:textId="202FD069" w:rsidR="00664C07" w:rsidRPr="00A9066E" w:rsidRDefault="00664C07" w:rsidP="00664C07">
      <w:pPr>
        <w:rPr>
          <w:sz w:val="24"/>
          <w:szCs w:val="24"/>
        </w:rPr>
      </w:pPr>
      <w:r w:rsidRPr="00A9066E">
        <w:rPr>
          <w:sz w:val="24"/>
          <w:szCs w:val="24"/>
        </w:rPr>
        <w:t xml:space="preserve">se sídlem </w:t>
      </w:r>
      <w:r w:rsidR="00A233E0" w:rsidRPr="00A233E0">
        <w:rPr>
          <w:sz w:val="24"/>
          <w:szCs w:val="24"/>
        </w:rPr>
        <w:t>Vídeňská</w:t>
      </w:r>
      <w:r w:rsidR="00A233E0" w:rsidRPr="00A233E0">
        <w:t xml:space="preserve"> </w:t>
      </w:r>
      <w:r w:rsidR="00A233E0" w:rsidRPr="00A233E0">
        <w:rPr>
          <w:sz w:val="24"/>
          <w:szCs w:val="24"/>
        </w:rPr>
        <w:t>1083</w:t>
      </w:r>
      <w:r w:rsidR="00A233E0">
        <w:rPr>
          <w:sz w:val="24"/>
          <w:szCs w:val="24"/>
        </w:rPr>
        <w:t xml:space="preserve">, </w:t>
      </w:r>
      <w:r w:rsidR="00A233E0" w:rsidRPr="00A233E0">
        <w:rPr>
          <w:sz w:val="24"/>
          <w:szCs w:val="24"/>
        </w:rPr>
        <w:t>142</w:t>
      </w:r>
      <w:r w:rsidR="00A233E0">
        <w:rPr>
          <w:sz w:val="24"/>
          <w:szCs w:val="24"/>
        </w:rPr>
        <w:t xml:space="preserve"> </w:t>
      </w:r>
      <w:r w:rsidR="00A233E0" w:rsidRPr="00A233E0">
        <w:rPr>
          <w:sz w:val="24"/>
          <w:szCs w:val="24"/>
        </w:rPr>
        <w:t>00</w:t>
      </w:r>
      <w:r w:rsidR="00A233E0">
        <w:rPr>
          <w:sz w:val="24"/>
          <w:szCs w:val="24"/>
        </w:rPr>
        <w:t xml:space="preserve"> </w:t>
      </w:r>
      <w:r w:rsidR="00A233E0" w:rsidRPr="00A233E0">
        <w:rPr>
          <w:sz w:val="24"/>
          <w:szCs w:val="24"/>
        </w:rPr>
        <w:t>Praha 4</w:t>
      </w:r>
      <w:r w:rsidR="00A233E0">
        <w:rPr>
          <w:sz w:val="24"/>
          <w:szCs w:val="24"/>
        </w:rPr>
        <w:t>,</w:t>
      </w:r>
    </w:p>
    <w:p w14:paraId="103E0E44" w14:textId="39873A32" w:rsidR="00664C07" w:rsidRPr="00A9066E" w:rsidRDefault="00664C07" w:rsidP="00664C07">
      <w:pPr>
        <w:rPr>
          <w:sz w:val="24"/>
          <w:szCs w:val="24"/>
        </w:rPr>
      </w:pPr>
      <w:r w:rsidRPr="00A9066E">
        <w:rPr>
          <w:sz w:val="24"/>
          <w:szCs w:val="24"/>
        </w:rPr>
        <w:t xml:space="preserve">IČO: </w:t>
      </w:r>
      <w:r w:rsidR="00A9066E" w:rsidRPr="00A9066E">
        <w:rPr>
          <w:sz w:val="24"/>
          <w:szCs w:val="24"/>
        </w:rPr>
        <w:t>67985823</w:t>
      </w:r>
    </w:p>
    <w:p w14:paraId="37B603FF" w14:textId="2DDED1FF" w:rsidR="00664C07" w:rsidRPr="00A9066E" w:rsidRDefault="00664C07" w:rsidP="00664C07">
      <w:pPr>
        <w:rPr>
          <w:sz w:val="24"/>
          <w:szCs w:val="24"/>
        </w:rPr>
      </w:pPr>
      <w:r w:rsidRPr="00A9066E">
        <w:rPr>
          <w:sz w:val="24"/>
          <w:szCs w:val="24"/>
        </w:rPr>
        <w:t xml:space="preserve">Číslo bankovního účtu u ČNB: </w:t>
      </w:r>
      <w:r w:rsidR="00316869">
        <w:rPr>
          <w:sz w:val="24"/>
          <w:szCs w:val="24"/>
        </w:rPr>
        <w:t>XXXXX</w:t>
      </w:r>
    </w:p>
    <w:p w14:paraId="5CC41771" w14:textId="52A871C3" w:rsidR="00664C07" w:rsidRPr="00A9066E" w:rsidRDefault="00664C07" w:rsidP="00664C07">
      <w:pPr>
        <w:rPr>
          <w:sz w:val="24"/>
          <w:szCs w:val="24"/>
        </w:rPr>
      </w:pPr>
      <w:r w:rsidRPr="00A9066E">
        <w:rPr>
          <w:sz w:val="24"/>
          <w:szCs w:val="24"/>
        </w:rPr>
        <w:t xml:space="preserve">zastoupená </w:t>
      </w:r>
      <w:r w:rsidR="005820A4" w:rsidRPr="005820A4">
        <w:rPr>
          <w:sz w:val="24"/>
          <w:szCs w:val="24"/>
        </w:rPr>
        <w:t>MUDr.</w:t>
      </w:r>
      <w:r w:rsidR="005820A4">
        <w:rPr>
          <w:sz w:val="24"/>
          <w:szCs w:val="24"/>
        </w:rPr>
        <w:t xml:space="preserve"> Janem Kopeckým, DrSc</w:t>
      </w:r>
      <w:r w:rsidR="00A233E0">
        <w:rPr>
          <w:sz w:val="24"/>
          <w:szCs w:val="24"/>
        </w:rPr>
        <w:t>., ředitelem</w:t>
      </w:r>
    </w:p>
    <w:p w14:paraId="69C420AA" w14:textId="77777777" w:rsidR="00664C07" w:rsidRDefault="00664C07" w:rsidP="00664C07">
      <w:pPr>
        <w:rPr>
          <w:sz w:val="24"/>
          <w:szCs w:val="24"/>
        </w:rPr>
      </w:pPr>
      <w:r>
        <w:rPr>
          <w:sz w:val="24"/>
          <w:szCs w:val="24"/>
        </w:rPr>
        <w:t>(dále jen „příjemce“) na straně druhé</w:t>
      </w:r>
    </w:p>
    <w:p w14:paraId="24261910" w14:textId="77777777" w:rsidR="00664C07" w:rsidRDefault="00664C07" w:rsidP="00664C07"/>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75889741" w:rsidR="008D3E47" w:rsidRPr="006541CA" w:rsidRDefault="008D3E47" w:rsidP="00370AF7">
      <w:pPr>
        <w:numPr>
          <w:ilvl w:val="0"/>
          <w:numId w:val="3"/>
        </w:numPr>
        <w:tabs>
          <w:tab w:val="clear" w:pos="720"/>
          <w:tab w:val="left" w:pos="567"/>
        </w:tabs>
        <w:spacing w:before="120"/>
        <w:ind w:left="567" w:hanging="567"/>
        <w:jc w:val="both"/>
        <w:rPr>
          <w:sz w:val="24"/>
          <w:szCs w:val="24"/>
        </w:rPr>
      </w:pPr>
      <w:r w:rsidRPr="006541CA">
        <w:rPr>
          <w:sz w:val="24"/>
          <w:szCs w:val="24"/>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008F2DBC" w:rsidRPr="006541CA">
        <w:rPr>
          <w:b/>
          <w:sz w:val="24"/>
          <w:szCs w:val="24"/>
        </w:rPr>
        <w:t>LL</w:t>
      </w:r>
      <w:r w:rsidR="005C79BB" w:rsidRPr="006541CA">
        <w:rPr>
          <w:b/>
          <w:sz w:val="24"/>
          <w:szCs w:val="24"/>
        </w:rPr>
        <w:t>2</w:t>
      </w:r>
      <w:r w:rsidR="00A3221F" w:rsidRPr="006541CA">
        <w:rPr>
          <w:b/>
          <w:sz w:val="24"/>
          <w:szCs w:val="24"/>
        </w:rPr>
        <w:t>4</w:t>
      </w:r>
      <w:r w:rsidR="006541CA" w:rsidRPr="006541CA">
        <w:rPr>
          <w:b/>
          <w:sz w:val="24"/>
          <w:szCs w:val="24"/>
        </w:rPr>
        <w:t>02</w:t>
      </w:r>
      <w:r w:rsidR="008F2DBC" w:rsidRPr="006541CA">
        <w:rPr>
          <w:sz w:val="24"/>
          <w:szCs w:val="24"/>
        </w:rPr>
        <w:t xml:space="preserve"> a s názvem „</w:t>
      </w:r>
      <w:r w:rsidR="006541CA" w:rsidRPr="006541CA">
        <w:rPr>
          <w:b/>
          <w:sz w:val="24"/>
          <w:szCs w:val="24"/>
        </w:rPr>
        <w:t>Cílená manipulace a zobrazování nikotinových acetylcholinových receptorů pro přesné řízení nervových obvodů a chování</w:t>
      </w:r>
      <w:r w:rsidR="008F2DBC" w:rsidRPr="006541CA">
        <w:rPr>
          <w:sz w:val="24"/>
          <w:szCs w:val="24"/>
        </w:rPr>
        <w:t>“</w:t>
      </w:r>
      <w:r w:rsidR="00832CA5" w:rsidRPr="006541CA">
        <w:rPr>
          <w:sz w:val="24"/>
          <w:szCs w:val="24"/>
        </w:rPr>
        <w:t>,</w:t>
      </w:r>
      <w:r w:rsidR="00370AF7" w:rsidRPr="006541CA">
        <w:rPr>
          <w:sz w:val="24"/>
          <w:szCs w:val="24"/>
        </w:rPr>
        <w:t xml:space="preserve"> j</w:t>
      </w:r>
      <w:r w:rsidRPr="006541CA">
        <w:rPr>
          <w:sz w:val="24"/>
          <w:szCs w:val="24"/>
        </w:rPr>
        <w:t>ehož návrh schválený poskytovatelem je nedílnou součástí této smlouvy a je obsahem projektové dokumentace (dále jen „projekt“).  Projekt je v souladu s</w:t>
      </w:r>
      <w:r w:rsidR="00EC2B10" w:rsidRPr="006541CA">
        <w:rPr>
          <w:sz w:val="24"/>
          <w:szCs w:val="24"/>
        </w:rPr>
        <w:t> článkem 25 odst. 2 nařízení</w:t>
      </w:r>
      <w:r w:rsidRPr="006541CA">
        <w:rPr>
          <w:sz w:val="24"/>
          <w:szCs w:val="24"/>
        </w:rPr>
        <w:t xml:space="preserve"> zařazen do kategorie</w:t>
      </w:r>
      <w:r w:rsidR="001D4B75" w:rsidRPr="006541CA">
        <w:rPr>
          <w:sz w:val="24"/>
          <w:szCs w:val="24"/>
        </w:rPr>
        <w:t xml:space="preserve"> základní výzkum.</w:t>
      </w:r>
    </w:p>
    <w:p w14:paraId="52C496F6" w14:textId="1F1D6473" w:rsidR="008D3E47" w:rsidRPr="00D64D21"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složení projektového týmu a termíny pro zahájení řešení projektu, plnění jeho dílčích cílů a jeho ukončení.</w:t>
      </w:r>
      <w:bookmarkStart w:id="0" w:name="_Ref126926015"/>
      <w:r w:rsidRPr="008F2DBC">
        <w:rPr>
          <w:sz w:val="24"/>
          <w:szCs w:val="24"/>
        </w:rPr>
        <w:t xml:space="preserve"> Podrobná </w:t>
      </w:r>
      <w:r w:rsidRPr="00D82AE6">
        <w:rPr>
          <w:sz w:val="24"/>
          <w:szCs w:val="24"/>
        </w:rPr>
        <w:t xml:space="preserve">specifikace povolených výzkumných aktivit projektu je </w:t>
      </w:r>
      <w:r w:rsidRPr="00D64D21">
        <w:rPr>
          <w:sz w:val="24"/>
          <w:szCs w:val="24"/>
        </w:rPr>
        <w:lastRenderedPageBreak/>
        <w:t xml:space="preserve">uvedena v grantu s identifikačním </w:t>
      </w:r>
      <w:r w:rsidRPr="00945B85">
        <w:rPr>
          <w:sz w:val="24"/>
          <w:szCs w:val="24"/>
        </w:rPr>
        <w:t xml:space="preserve">číslem </w:t>
      </w:r>
      <w:r w:rsidR="00945B85" w:rsidRPr="00945B85">
        <w:rPr>
          <w:sz w:val="24"/>
          <w:szCs w:val="24"/>
        </w:rPr>
        <w:t>101116816</w:t>
      </w:r>
      <w:r w:rsidRPr="00945B85">
        <w:rPr>
          <w:sz w:val="24"/>
          <w:szCs w:val="24"/>
        </w:rPr>
        <w:t xml:space="preserve"> </w:t>
      </w:r>
      <w:r w:rsidRPr="00D64D21">
        <w:rPr>
          <w:sz w:val="24"/>
          <w:szCs w:val="24"/>
        </w:rPr>
        <w:t xml:space="preserve">uplatněném řešitelem ve </w:t>
      </w:r>
      <w:r w:rsidRPr="00945B85">
        <w:rPr>
          <w:sz w:val="24"/>
          <w:szCs w:val="24"/>
        </w:rPr>
        <w:t xml:space="preserve">výzvě </w:t>
      </w:r>
      <w:r w:rsidR="00945B85" w:rsidRPr="00945B85">
        <w:rPr>
          <w:sz w:val="24"/>
          <w:szCs w:val="24"/>
        </w:rPr>
        <w:t>ERC-2023-STG.</w:t>
      </w:r>
      <w:r w:rsidR="00661719" w:rsidRPr="00945B85">
        <w:rPr>
          <w:sz w:val="24"/>
          <w:szCs w:val="24"/>
        </w:rPr>
        <w:t xml:space="preserve"> </w:t>
      </w:r>
      <w:r w:rsidR="00023851" w:rsidRPr="00D64D21">
        <w:rPr>
          <w:sz w:val="24"/>
          <w:szCs w:val="24"/>
        </w:rPr>
        <w:t xml:space="preserve">Projekt byl ve druhém kole výzvy ERC hodnocen v kategorii </w:t>
      </w:r>
      <w:r w:rsidR="00A3221F" w:rsidRPr="00945B85">
        <w:rPr>
          <w:sz w:val="24"/>
          <w:szCs w:val="24"/>
        </w:rPr>
        <w:t>A</w:t>
      </w:r>
      <w:r w:rsidR="004F7F79">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25EB7DEA" w14:textId="77777777" w:rsidR="00AD49E3" w:rsidRPr="00F35201"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7215AA9F" w:rsidR="001E7E66" w:rsidRPr="004F7F79" w:rsidRDefault="001E7E66" w:rsidP="002E607A">
      <w:pPr>
        <w:numPr>
          <w:ilvl w:val="0"/>
          <w:numId w:val="21"/>
        </w:numPr>
        <w:tabs>
          <w:tab w:val="left" w:pos="567"/>
        </w:tabs>
        <w:spacing w:before="120"/>
        <w:ind w:left="567" w:hanging="567"/>
        <w:jc w:val="both"/>
        <w:rPr>
          <w:sz w:val="24"/>
          <w:szCs w:val="24"/>
        </w:rPr>
      </w:pPr>
      <w:r w:rsidRPr="004F7F79">
        <w:rPr>
          <w:sz w:val="24"/>
          <w:szCs w:val="24"/>
        </w:rPr>
        <w:t xml:space="preserve">Příjemce prohlašuje, že fyzickou osobou, která je příjemci odpovědná za odbornou úroveň projektu (dále jen „řešitel“) a kterou </w:t>
      </w:r>
      <w:r w:rsidR="002E5388" w:rsidRPr="004F7F79">
        <w:rPr>
          <w:sz w:val="24"/>
          <w:szCs w:val="24"/>
        </w:rPr>
        <w:t>pověřil</w:t>
      </w:r>
      <w:r w:rsidRPr="004F7F79">
        <w:rPr>
          <w:sz w:val="24"/>
          <w:szCs w:val="24"/>
        </w:rPr>
        <w:t> komunikac</w:t>
      </w:r>
      <w:r w:rsidR="002E5388" w:rsidRPr="004F7F79">
        <w:rPr>
          <w:sz w:val="24"/>
          <w:szCs w:val="24"/>
        </w:rPr>
        <w:t>í</w:t>
      </w:r>
      <w:r w:rsidRPr="004F7F79">
        <w:rPr>
          <w:sz w:val="24"/>
          <w:szCs w:val="24"/>
        </w:rPr>
        <w:t xml:space="preserve"> mezi příjemcem a poskytovatelem je</w:t>
      </w:r>
      <w:r w:rsidR="0072554F" w:rsidRPr="004F7F79">
        <w:rPr>
          <w:sz w:val="24"/>
          <w:szCs w:val="24"/>
        </w:rPr>
        <w:t xml:space="preserve"> </w:t>
      </w:r>
      <w:r w:rsidR="00316869">
        <w:rPr>
          <w:b/>
          <w:bCs/>
          <w:sz w:val="24"/>
          <w:szCs w:val="24"/>
        </w:rPr>
        <w:t>XXXXX.</w:t>
      </w:r>
    </w:p>
    <w:p w14:paraId="7D44082E" w14:textId="3F8A4752" w:rsidR="001E7E66" w:rsidRPr="00906800" w:rsidRDefault="001E7E66" w:rsidP="002E607A">
      <w:pPr>
        <w:numPr>
          <w:ilvl w:val="0"/>
          <w:numId w:val="21"/>
        </w:numPr>
        <w:tabs>
          <w:tab w:val="left" w:pos="567"/>
        </w:tabs>
        <w:spacing w:before="120"/>
        <w:ind w:left="567" w:hanging="567"/>
        <w:jc w:val="both"/>
        <w:rPr>
          <w:rFonts w:ascii="Arial" w:hAnsi="Arial" w:cs="Arial"/>
          <w:sz w:val="24"/>
          <w:szCs w:val="24"/>
          <w:lang w:eastAsia="cs-CZ"/>
        </w:rPr>
      </w:pPr>
      <w:r w:rsidRPr="008F2DBC">
        <w:rPr>
          <w:sz w:val="24"/>
          <w:szCs w:val="24"/>
        </w:rPr>
        <w:t xml:space="preserve">Doba řešení projektu je </w:t>
      </w:r>
      <w:r w:rsidRPr="00906800">
        <w:rPr>
          <w:sz w:val="24"/>
          <w:szCs w:val="24"/>
        </w:rPr>
        <w:t xml:space="preserve">stanovena </w:t>
      </w:r>
      <w:r w:rsidR="007136AC" w:rsidRPr="00906800">
        <w:rPr>
          <w:sz w:val="24"/>
          <w:szCs w:val="24"/>
        </w:rPr>
        <w:t>n</w:t>
      </w:r>
      <w:r w:rsidRPr="00906800">
        <w:rPr>
          <w:sz w:val="24"/>
          <w:szCs w:val="24"/>
        </w:rPr>
        <w:t>a období</w:t>
      </w:r>
      <w:r w:rsidR="00C669CC" w:rsidRPr="00906800">
        <w:rPr>
          <w:sz w:val="24"/>
          <w:szCs w:val="24"/>
        </w:rPr>
        <w:t xml:space="preserve"> </w:t>
      </w:r>
      <w:r w:rsidR="008F2DBC" w:rsidRPr="00906800">
        <w:rPr>
          <w:sz w:val="24"/>
          <w:szCs w:val="24"/>
        </w:rPr>
        <w:t>od</w:t>
      </w:r>
      <w:r w:rsidR="00A3221F" w:rsidRPr="00906800">
        <w:rPr>
          <w:sz w:val="24"/>
          <w:szCs w:val="24"/>
        </w:rPr>
        <w:t xml:space="preserve"> </w:t>
      </w:r>
      <w:r w:rsidR="00906800" w:rsidRPr="00906800">
        <w:rPr>
          <w:sz w:val="24"/>
          <w:szCs w:val="24"/>
        </w:rPr>
        <w:t>1. října 2024 do 30</w:t>
      </w:r>
      <w:r w:rsidR="00906800">
        <w:rPr>
          <w:sz w:val="24"/>
          <w:szCs w:val="24"/>
        </w:rPr>
        <w:t>.</w:t>
      </w:r>
      <w:r w:rsidR="00906800" w:rsidRPr="00906800">
        <w:rPr>
          <w:sz w:val="24"/>
          <w:szCs w:val="24"/>
        </w:rPr>
        <w:t xml:space="preserve"> září 2029.</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34E16719" w:rsidR="008D3E47" w:rsidRPr="00906800" w:rsidRDefault="008D3E47" w:rsidP="002E607A">
      <w:pPr>
        <w:numPr>
          <w:ilvl w:val="1"/>
          <w:numId w:val="17"/>
        </w:numPr>
        <w:spacing w:before="120"/>
        <w:ind w:left="1134" w:hanging="567"/>
        <w:jc w:val="both"/>
        <w:rPr>
          <w:i/>
          <w:iCs/>
          <w:sz w:val="24"/>
          <w:szCs w:val="24"/>
        </w:rPr>
      </w:pPr>
      <w:r w:rsidRPr="00906800">
        <w:rPr>
          <w:sz w:val="24"/>
          <w:szCs w:val="24"/>
        </w:rPr>
        <w:t xml:space="preserve">ukončit výzkumné aktivity uvedené v projektu a čerpání poskytnuté podpory nejpozději </w:t>
      </w:r>
      <w:r w:rsidR="00906800" w:rsidRPr="00906800">
        <w:rPr>
          <w:sz w:val="24"/>
          <w:szCs w:val="24"/>
        </w:rPr>
        <w:t>do 30. září 2029</w:t>
      </w:r>
      <w:r w:rsidR="007F3AC9" w:rsidRPr="00906800">
        <w:rPr>
          <w:i/>
          <w:iCs/>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672332C1"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w:t>
      </w:r>
      <w:r w:rsidR="00EB4199">
        <w:rPr>
          <w:sz w:val="24"/>
          <w:szCs w:val="24"/>
        </w:rPr>
        <w:t xml:space="preserve"> </w:t>
      </w:r>
      <w:r w:rsidRPr="00F35201">
        <w:rPr>
          <w:sz w:val="24"/>
          <w:szCs w:val="24"/>
        </w:rPr>
        <w:t>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EB4199">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lastRenderedPageBreak/>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nformačním systému výzkumu, experimentálního vývoje a inovací (dále jen „IS VaVaI“).</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071C972B"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lastRenderedPageBreak/>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09E1F31B" w14:textId="77777777" w:rsidR="008D3E47"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3C380396" w14:textId="16C2D2F2" w:rsidR="00852BB1" w:rsidRPr="00AC7317" w:rsidRDefault="008D3E47" w:rsidP="00AC7317">
      <w:pPr>
        <w:spacing w:before="120"/>
        <w:ind w:left="567"/>
        <w:jc w:val="both"/>
        <w:rPr>
          <w:sz w:val="24"/>
          <w:szCs w:val="24"/>
        </w:rPr>
      </w:pPr>
      <w:r w:rsidRPr="00AC7317">
        <w:rPr>
          <w:sz w:val="24"/>
          <w:szCs w:val="24"/>
        </w:rPr>
        <w:t>Celkové uznané náklady projektu činí</w:t>
      </w:r>
      <w:r w:rsidR="004B4AD6" w:rsidRPr="00AC7317">
        <w:rPr>
          <w:sz w:val="24"/>
          <w:szCs w:val="24"/>
        </w:rPr>
        <w:t xml:space="preserve"> </w:t>
      </w:r>
      <w:r w:rsidR="00AC7317" w:rsidRPr="00AC7317">
        <w:rPr>
          <w:b/>
          <w:bCs/>
          <w:sz w:val="24"/>
          <w:szCs w:val="24"/>
        </w:rPr>
        <w:t xml:space="preserve">38 007 709 </w:t>
      </w:r>
      <w:r w:rsidR="0050634F" w:rsidRPr="00AC7317">
        <w:rPr>
          <w:b/>
          <w:bCs/>
          <w:sz w:val="24"/>
          <w:szCs w:val="24"/>
        </w:rPr>
        <w:t>Kč</w:t>
      </w:r>
      <w:r w:rsidR="0050634F" w:rsidRPr="00AC7317">
        <w:rPr>
          <w:sz w:val="24"/>
          <w:szCs w:val="24"/>
        </w:rPr>
        <w:t>, z toho schválená výše podpory je</w:t>
      </w:r>
      <w:r w:rsidR="00AC7317">
        <w:rPr>
          <w:sz w:val="24"/>
          <w:szCs w:val="24"/>
        </w:rPr>
        <w:t xml:space="preserve"> </w:t>
      </w:r>
      <w:r w:rsidR="00AC7317" w:rsidRPr="00AC7317">
        <w:rPr>
          <w:b/>
          <w:bCs/>
          <w:sz w:val="24"/>
          <w:szCs w:val="24"/>
        </w:rPr>
        <w:t>38 007 709 Kč.</w:t>
      </w:r>
    </w:p>
    <w:p w14:paraId="4BEE74D9" w14:textId="77777777" w:rsidR="008D3E47" w:rsidRPr="00FF5054" w:rsidRDefault="008D3E47" w:rsidP="008D3E47">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lastRenderedPageBreak/>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w:t>
      </w:r>
      <w:r>
        <w:lastRenderedPageBreak/>
        <w:t>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lastRenderedPageBreak/>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2F080EB9"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4DB7A084"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666432">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r w:rsidRPr="001B7983">
        <w:t>vnitrofak</w:t>
      </w:r>
      <w:r w:rsidR="00882687" w:rsidRPr="001B7983">
        <w:t>tury,</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747BC7D6"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C32BC9">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lastRenderedPageBreak/>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a to pouze za podmínky, že údaje do IS VaVaI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lastRenderedPageBreak/>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VaVaI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BD3904">
        <w:t>projektu a předávání odborných zkušeností, kvality dosahovaných výsledků a jejich</w:t>
      </w:r>
      <w:r>
        <w:t xml:space="preserve">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lastRenderedPageBreak/>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4BAE54DA"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C32BC9">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VaVaI.</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w:t>
      </w:r>
      <w:r>
        <w:rPr>
          <w:sz w:val="24"/>
          <w:szCs w:val="24"/>
        </w:rPr>
        <w:lastRenderedPageBreak/>
        <w:t xml:space="preserve">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76A5F674"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CA708E">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5B3681B1"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092775">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lastRenderedPageBreak/>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Příjemce plní povinnost poskytování informací podle odst. 1 tohoto článku předáním údajů o projektu nebo údajů o získaných výsledcích poskytovateli ke zveřejnění prostřednictvím IS VaVaI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w:t>
      </w:r>
      <w:r w:rsidRPr="00F35201">
        <w:rPr>
          <w:sz w:val="24"/>
          <w:szCs w:val="24"/>
        </w:rPr>
        <w:lastRenderedPageBreak/>
        <w:t xml:space="preserve">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VaVaI</w:t>
      </w:r>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lastRenderedPageBreak/>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6CAAE899"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092775">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w:t>
      </w:r>
      <w:r>
        <w:rPr>
          <w:sz w:val="24"/>
          <w:szCs w:val="24"/>
        </w:rPr>
        <w:lastRenderedPageBreak/>
        <w:t xml:space="preserve">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V případě, že budou do IS VaVaI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6B2CAB08"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r>
        <w:rPr>
          <w:rFonts w:ascii="Times New Roman" w:hAnsi="Times New Roman" w:cs="Times New Roman"/>
          <w:sz w:val="24"/>
          <w:szCs w:val="24"/>
        </w:rPr>
        <w:t xml:space="preserve">    </w:t>
      </w: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531EA05D" w:rsidR="00141565" w:rsidRPr="00F35201" w:rsidRDefault="00141565" w:rsidP="00DC5753">
            <w:pPr>
              <w:snapToGrid w:val="0"/>
              <w:ind w:left="72"/>
              <w:rPr>
                <w:color w:val="FFFFFF"/>
                <w:sz w:val="24"/>
                <w:szCs w:val="24"/>
              </w:rPr>
            </w:pPr>
            <w:r w:rsidRPr="00F35201">
              <w:rPr>
                <w:sz w:val="24"/>
                <w:szCs w:val="24"/>
              </w:rPr>
              <w:t>Za poskytovatele v Praze dne:</w:t>
            </w:r>
            <w:r w:rsidR="00611C1E">
              <w:rPr>
                <w:sz w:val="24"/>
                <w:szCs w:val="24"/>
              </w:rPr>
              <w:br/>
              <w:t>12.09.2024</w:t>
            </w:r>
            <w:r w:rsidRPr="00F35201">
              <w:rPr>
                <w:color w:val="FFFFFF"/>
                <w:sz w:val="24"/>
                <w:szCs w:val="24"/>
              </w:rPr>
              <w:t xml:space="preserve"> ………</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D82AE6" w:rsidRDefault="00141565" w:rsidP="00DC5753">
            <w:pPr>
              <w:snapToGrid w:val="0"/>
              <w:rPr>
                <w:sz w:val="24"/>
              </w:rPr>
            </w:pPr>
            <w:r w:rsidRPr="00D82AE6">
              <w:rPr>
                <w:sz w:val="24"/>
              </w:rPr>
              <w:t xml:space="preserve">Za příjemce </w:t>
            </w:r>
          </w:p>
          <w:p w14:paraId="14406D41" w14:textId="259C621E" w:rsidR="00141565" w:rsidRPr="00FF5054" w:rsidRDefault="00697D23" w:rsidP="00DC5753">
            <w:pPr>
              <w:snapToGrid w:val="0"/>
              <w:rPr>
                <w:sz w:val="24"/>
              </w:rPr>
            </w:pPr>
            <w:r>
              <w:rPr>
                <w:sz w:val="24"/>
                <w:szCs w:val="24"/>
              </w:rPr>
              <w:t>v Praze dne:</w:t>
            </w:r>
            <w:r w:rsidR="00611C1E">
              <w:rPr>
                <w:sz w:val="24"/>
                <w:szCs w:val="24"/>
              </w:rPr>
              <w:br/>
              <w:t>16.08.2024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77777777"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5FBCA358" w14:textId="77777777" w:rsidR="00A0246D" w:rsidRDefault="00697D23" w:rsidP="00697D23">
            <w:pPr>
              <w:snapToGrid w:val="0"/>
              <w:jc w:val="center"/>
              <w:rPr>
                <w:sz w:val="24"/>
                <w:szCs w:val="24"/>
              </w:rPr>
            </w:pPr>
            <w:r w:rsidRPr="00697D23">
              <w:rPr>
                <w:sz w:val="24"/>
                <w:szCs w:val="24"/>
              </w:rPr>
              <w:t>MUDr.</w:t>
            </w:r>
            <w:r>
              <w:t xml:space="preserve"> </w:t>
            </w:r>
            <w:r w:rsidRPr="00697D23">
              <w:rPr>
                <w:sz w:val="24"/>
                <w:szCs w:val="24"/>
              </w:rPr>
              <w:t>Jan</w:t>
            </w:r>
            <w:r>
              <w:t xml:space="preserve"> </w:t>
            </w:r>
            <w:r w:rsidRPr="00697D23">
              <w:rPr>
                <w:sz w:val="24"/>
                <w:szCs w:val="24"/>
              </w:rPr>
              <w:t>Kopecký</w:t>
            </w:r>
            <w:r>
              <w:rPr>
                <w:sz w:val="24"/>
                <w:szCs w:val="24"/>
              </w:rPr>
              <w:t>,</w:t>
            </w:r>
            <w:r>
              <w:t xml:space="preserve"> </w:t>
            </w:r>
            <w:r w:rsidRPr="00697D23">
              <w:rPr>
                <w:sz w:val="24"/>
                <w:szCs w:val="24"/>
              </w:rPr>
              <w:t>DrSc.</w:t>
            </w:r>
          </w:p>
          <w:p w14:paraId="008F30BF" w14:textId="187B50BC" w:rsidR="00697D23" w:rsidRPr="00304DCC" w:rsidRDefault="00697D23" w:rsidP="00697D23">
            <w:pPr>
              <w:snapToGrid w:val="0"/>
              <w:jc w:val="center"/>
              <w:rPr>
                <w:sz w:val="24"/>
                <w:szCs w:val="24"/>
              </w:rPr>
            </w:pPr>
            <w:r>
              <w:rPr>
                <w:sz w:val="24"/>
                <w:szCs w:val="24"/>
              </w:rPr>
              <w:t>ředitel</w:t>
            </w:r>
          </w:p>
        </w:tc>
      </w:tr>
    </w:tbl>
    <w:p w14:paraId="668C6DB6" w14:textId="77777777" w:rsidR="008D3E47" w:rsidRPr="00FF5054" w:rsidRDefault="008D3E47" w:rsidP="00FF5054">
      <w:pPr>
        <w:snapToGrid w:val="0"/>
        <w:spacing w:before="240"/>
        <w:jc w:val="center"/>
        <w:rPr>
          <w:sz w:val="24"/>
        </w:rPr>
      </w:pPr>
    </w:p>
    <w:p w14:paraId="3459D1C2" w14:textId="443F9298" w:rsidR="00316869" w:rsidRDefault="00316869">
      <w:pPr>
        <w:suppressAutoHyphens w:val="0"/>
        <w:spacing w:after="160" w:line="259" w:lineRule="auto"/>
      </w:pPr>
      <w:r>
        <w:br w:type="page"/>
      </w:r>
    </w:p>
    <w:p w14:paraId="61F6A767" w14:textId="77777777" w:rsidR="00316869" w:rsidRDefault="00316869">
      <w:pPr>
        <w:sectPr w:rsidR="00316869" w:rsidSect="003B1DE9">
          <w:headerReference w:type="default" r:id="rId8"/>
          <w:footerReference w:type="default" r:id="rId9"/>
          <w:headerReference w:type="first" r:id="rId10"/>
          <w:pgSz w:w="11906" w:h="16838"/>
          <w:pgMar w:top="1418" w:right="1418" w:bottom="851" w:left="1418" w:header="708" w:footer="708" w:gutter="0"/>
          <w:cols w:space="708"/>
          <w:titlePg/>
          <w:docGrid w:linePitch="360"/>
        </w:sectPr>
      </w:pPr>
    </w:p>
    <w:p w14:paraId="55E79C5F" w14:textId="202BEDE1" w:rsidR="005D4524" w:rsidRPr="008647D1" w:rsidRDefault="00316869">
      <w:r>
        <w:rPr>
          <w:noProof/>
        </w:rPr>
        <w:lastRenderedPageBreak/>
        <w:drawing>
          <wp:inline distT="0" distB="0" distL="0" distR="0" wp14:anchorId="6F392F72" wp14:editId="4ECC6154">
            <wp:extent cx="9368577" cy="3381375"/>
            <wp:effectExtent l="0" t="0" r="4445" b="0"/>
            <wp:docPr id="45371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2420" cy="3386371"/>
                    </a:xfrm>
                    <a:prstGeom prst="rect">
                      <a:avLst/>
                    </a:prstGeom>
                    <a:noFill/>
                    <a:ln>
                      <a:noFill/>
                    </a:ln>
                  </pic:spPr>
                </pic:pic>
              </a:graphicData>
            </a:graphic>
          </wp:inline>
        </w:drawing>
      </w:r>
    </w:p>
    <w:sectPr w:rsidR="005D4524" w:rsidRPr="008647D1" w:rsidSect="00316869">
      <w:pgSz w:w="16838" w:h="11906" w:orient="landscape"/>
      <w:pgMar w:top="1418"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CAD91" w14:textId="77777777" w:rsidR="00A75198" w:rsidRDefault="00A75198" w:rsidP="008D3E47">
      <w:r>
        <w:separator/>
      </w:r>
    </w:p>
  </w:endnote>
  <w:endnote w:type="continuationSeparator" w:id="0">
    <w:p w14:paraId="763888CC" w14:textId="77777777" w:rsidR="00A75198" w:rsidRDefault="00A75198" w:rsidP="008D3E47">
      <w:r>
        <w:continuationSeparator/>
      </w:r>
    </w:p>
  </w:endnote>
  <w:endnote w:type="continuationNotice" w:id="1">
    <w:p w14:paraId="74BD6AEA" w14:textId="77777777" w:rsidR="00A75198" w:rsidRDefault="00A75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78151" w14:textId="77777777" w:rsidR="00A75198" w:rsidRDefault="00A75198" w:rsidP="008D3E47">
      <w:r>
        <w:separator/>
      </w:r>
    </w:p>
  </w:footnote>
  <w:footnote w:type="continuationSeparator" w:id="0">
    <w:p w14:paraId="18A92F65" w14:textId="77777777" w:rsidR="00A75198" w:rsidRDefault="00A75198" w:rsidP="008D3E47">
      <w:r>
        <w:continuationSeparator/>
      </w:r>
    </w:p>
  </w:footnote>
  <w:footnote w:type="continuationNotice" w:id="1">
    <w:p w14:paraId="6A6334F7" w14:textId="77777777" w:rsidR="00A75198" w:rsidRDefault="00A75198"/>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92775"/>
    <w:rsid w:val="000A0FBB"/>
    <w:rsid w:val="000A63C2"/>
    <w:rsid w:val="000A7753"/>
    <w:rsid w:val="000B1E7B"/>
    <w:rsid w:val="000C1140"/>
    <w:rsid w:val="000E237F"/>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70B38"/>
    <w:rsid w:val="00273AEE"/>
    <w:rsid w:val="00296868"/>
    <w:rsid w:val="002B006E"/>
    <w:rsid w:val="002B0D39"/>
    <w:rsid w:val="002C0359"/>
    <w:rsid w:val="002E50CE"/>
    <w:rsid w:val="002E5388"/>
    <w:rsid w:val="002E607A"/>
    <w:rsid w:val="002E6D90"/>
    <w:rsid w:val="0030111E"/>
    <w:rsid w:val="00307A5B"/>
    <w:rsid w:val="00315B91"/>
    <w:rsid w:val="00316869"/>
    <w:rsid w:val="00332C39"/>
    <w:rsid w:val="00333E68"/>
    <w:rsid w:val="00342196"/>
    <w:rsid w:val="0034473D"/>
    <w:rsid w:val="00344932"/>
    <w:rsid w:val="00347368"/>
    <w:rsid w:val="003501A8"/>
    <w:rsid w:val="00352505"/>
    <w:rsid w:val="0036330D"/>
    <w:rsid w:val="00370AF7"/>
    <w:rsid w:val="00381324"/>
    <w:rsid w:val="0038263D"/>
    <w:rsid w:val="0038394F"/>
    <w:rsid w:val="00393E11"/>
    <w:rsid w:val="003A1BDD"/>
    <w:rsid w:val="003B1DE9"/>
    <w:rsid w:val="003B383E"/>
    <w:rsid w:val="003C6428"/>
    <w:rsid w:val="003E0883"/>
    <w:rsid w:val="003E2130"/>
    <w:rsid w:val="003E468B"/>
    <w:rsid w:val="003E60C4"/>
    <w:rsid w:val="003F3D0A"/>
    <w:rsid w:val="003F3D3E"/>
    <w:rsid w:val="004061FD"/>
    <w:rsid w:val="00416667"/>
    <w:rsid w:val="00420BC0"/>
    <w:rsid w:val="00450C24"/>
    <w:rsid w:val="00451320"/>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2F"/>
    <w:rsid w:val="004F45A5"/>
    <w:rsid w:val="004F63D3"/>
    <w:rsid w:val="004F7F79"/>
    <w:rsid w:val="005056EB"/>
    <w:rsid w:val="0050634F"/>
    <w:rsid w:val="005115DC"/>
    <w:rsid w:val="00514B29"/>
    <w:rsid w:val="00517852"/>
    <w:rsid w:val="00537B46"/>
    <w:rsid w:val="00544B91"/>
    <w:rsid w:val="00545490"/>
    <w:rsid w:val="00555A73"/>
    <w:rsid w:val="00556F34"/>
    <w:rsid w:val="00572402"/>
    <w:rsid w:val="00574F8A"/>
    <w:rsid w:val="005820A4"/>
    <w:rsid w:val="0058418A"/>
    <w:rsid w:val="005A0BFB"/>
    <w:rsid w:val="005A2E5D"/>
    <w:rsid w:val="005A3001"/>
    <w:rsid w:val="005B0C02"/>
    <w:rsid w:val="005C174C"/>
    <w:rsid w:val="005C6C01"/>
    <w:rsid w:val="005C79BB"/>
    <w:rsid w:val="005D3B7A"/>
    <w:rsid w:val="005D4524"/>
    <w:rsid w:val="005D63AF"/>
    <w:rsid w:val="005E0284"/>
    <w:rsid w:val="005E0AA7"/>
    <w:rsid w:val="005E2A56"/>
    <w:rsid w:val="005E3318"/>
    <w:rsid w:val="005E557F"/>
    <w:rsid w:val="005E5A23"/>
    <w:rsid w:val="005E6DD7"/>
    <w:rsid w:val="005E7293"/>
    <w:rsid w:val="005F5F27"/>
    <w:rsid w:val="00604F87"/>
    <w:rsid w:val="006052B3"/>
    <w:rsid w:val="00611C1E"/>
    <w:rsid w:val="00615BDB"/>
    <w:rsid w:val="00621A87"/>
    <w:rsid w:val="00625326"/>
    <w:rsid w:val="00631D8E"/>
    <w:rsid w:val="00641EB1"/>
    <w:rsid w:val="006541CA"/>
    <w:rsid w:val="00655061"/>
    <w:rsid w:val="00661719"/>
    <w:rsid w:val="006637C1"/>
    <w:rsid w:val="00664C07"/>
    <w:rsid w:val="00666432"/>
    <w:rsid w:val="006809E5"/>
    <w:rsid w:val="00697D23"/>
    <w:rsid w:val="006A0B3D"/>
    <w:rsid w:val="006A0E82"/>
    <w:rsid w:val="006A279E"/>
    <w:rsid w:val="006B3066"/>
    <w:rsid w:val="006C1050"/>
    <w:rsid w:val="006C2217"/>
    <w:rsid w:val="006C73F3"/>
    <w:rsid w:val="006D38C9"/>
    <w:rsid w:val="006E434C"/>
    <w:rsid w:val="006F0651"/>
    <w:rsid w:val="006F3DE4"/>
    <w:rsid w:val="00700192"/>
    <w:rsid w:val="00701B54"/>
    <w:rsid w:val="007024B3"/>
    <w:rsid w:val="00705290"/>
    <w:rsid w:val="007136AC"/>
    <w:rsid w:val="007158DA"/>
    <w:rsid w:val="0071614D"/>
    <w:rsid w:val="0072554F"/>
    <w:rsid w:val="00740793"/>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47D1"/>
    <w:rsid w:val="008705A5"/>
    <w:rsid w:val="008713A9"/>
    <w:rsid w:val="00871EB5"/>
    <w:rsid w:val="00882687"/>
    <w:rsid w:val="00883E8C"/>
    <w:rsid w:val="00884EB5"/>
    <w:rsid w:val="008A53D4"/>
    <w:rsid w:val="008B7AAE"/>
    <w:rsid w:val="008C606F"/>
    <w:rsid w:val="008C7D53"/>
    <w:rsid w:val="008D3E47"/>
    <w:rsid w:val="008D7F81"/>
    <w:rsid w:val="008E0DBF"/>
    <w:rsid w:val="008F2DBC"/>
    <w:rsid w:val="008F72E7"/>
    <w:rsid w:val="009008C3"/>
    <w:rsid w:val="0090537B"/>
    <w:rsid w:val="00906800"/>
    <w:rsid w:val="00914E42"/>
    <w:rsid w:val="009168F1"/>
    <w:rsid w:val="00922E02"/>
    <w:rsid w:val="00924901"/>
    <w:rsid w:val="00925C8D"/>
    <w:rsid w:val="00932E9C"/>
    <w:rsid w:val="00934571"/>
    <w:rsid w:val="00940228"/>
    <w:rsid w:val="00945B85"/>
    <w:rsid w:val="00946953"/>
    <w:rsid w:val="009476FC"/>
    <w:rsid w:val="0096231F"/>
    <w:rsid w:val="009721ED"/>
    <w:rsid w:val="00973EAA"/>
    <w:rsid w:val="00976154"/>
    <w:rsid w:val="00981712"/>
    <w:rsid w:val="0099249E"/>
    <w:rsid w:val="009A45B9"/>
    <w:rsid w:val="009C3A6F"/>
    <w:rsid w:val="009C3EB0"/>
    <w:rsid w:val="009D7B53"/>
    <w:rsid w:val="009E3D69"/>
    <w:rsid w:val="009E43D3"/>
    <w:rsid w:val="00A0246D"/>
    <w:rsid w:val="00A1333A"/>
    <w:rsid w:val="00A15B05"/>
    <w:rsid w:val="00A22D2B"/>
    <w:rsid w:val="00A233E0"/>
    <w:rsid w:val="00A23F67"/>
    <w:rsid w:val="00A30863"/>
    <w:rsid w:val="00A3221F"/>
    <w:rsid w:val="00A36113"/>
    <w:rsid w:val="00A36D3D"/>
    <w:rsid w:val="00A46857"/>
    <w:rsid w:val="00A5773B"/>
    <w:rsid w:val="00A65A91"/>
    <w:rsid w:val="00A701A2"/>
    <w:rsid w:val="00A7036E"/>
    <w:rsid w:val="00A73A8A"/>
    <w:rsid w:val="00A75152"/>
    <w:rsid w:val="00A75198"/>
    <w:rsid w:val="00A779D0"/>
    <w:rsid w:val="00A81353"/>
    <w:rsid w:val="00A9066E"/>
    <w:rsid w:val="00AA31EE"/>
    <w:rsid w:val="00AC137A"/>
    <w:rsid w:val="00AC13E2"/>
    <w:rsid w:val="00AC5C29"/>
    <w:rsid w:val="00AC6105"/>
    <w:rsid w:val="00AC7317"/>
    <w:rsid w:val="00AD49E3"/>
    <w:rsid w:val="00AF78A3"/>
    <w:rsid w:val="00AF7BD7"/>
    <w:rsid w:val="00B103DE"/>
    <w:rsid w:val="00B1469F"/>
    <w:rsid w:val="00B15DF5"/>
    <w:rsid w:val="00B21BE3"/>
    <w:rsid w:val="00B23B1F"/>
    <w:rsid w:val="00B23C74"/>
    <w:rsid w:val="00B24F77"/>
    <w:rsid w:val="00B27617"/>
    <w:rsid w:val="00B5299F"/>
    <w:rsid w:val="00B530F3"/>
    <w:rsid w:val="00B60316"/>
    <w:rsid w:val="00B60C51"/>
    <w:rsid w:val="00B629C1"/>
    <w:rsid w:val="00B6320F"/>
    <w:rsid w:val="00B75A16"/>
    <w:rsid w:val="00B767C0"/>
    <w:rsid w:val="00B95C4B"/>
    <w:rsid w:val="00BA5790"/>
    <w:rsid w:val="00BB3667"/>
    <w:rsid w:val="00BB69FA"/>
    <w:rsid w:val="00BB6B92"/>
    <w:rsid w:val="00BB6EBA"/>
    <w:rsid w:val="00BD3904"/>
    <w:rsid w:val="00BE5654"/>
    <w:rsid w:val="00BE5DB6"/>
    <w:rsid w:val="00C00711"/>
    <w:rsid w:val="00C15B20"/>
    <w:rsid w:val="00C31D21"/>
    <w:rsid w:val="00C329C9"/>
    <w:rsid w:val="00C32B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A708E"/>
    <w:rsid w:val="00CB286B"/>
    <w:rsid w:val="00CB3000"/>
    <w:rsid w:val="00CB4E07"/>
    <w:rsid w:val="00CB6881"/>
    <w:rsid w:val="00CB7CF1"/>
    <w:rsid w:val="00CC163A"/>
    <w:rsid w:val="00CC5B2D"/>
    <w:rsid w:val="00CD15C6"/>
    <w:rsid w:val="00CD1973"/>
    <w:rsid w:val="00CD2A1A"/>
    <w:rsid w:val="00CD6DC8"/>
    <w:rsid w:val="00CE3214"/>
    <w:rsid w:val="00CE4D65"/>
    <w:rsid w:val="00D04502"/>
    <w:rsid w:val="00D07DF1"/>
    <w:rsid w:val="00D16CDF"/>
    <w:rsid w:val="00D24087"/>
    <w:rsid w:val="00D355B0"/>
    <w:rsid w:val="00D357CD"/>
    <w:rsid w:val="00D35923"/>
    <w:rsid w:val="00D44C4B"/>
    <w:rsid w:val="00D44D96"/>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A6"/>
    <w:rsid w:val="00E062C0"/>
    <w:rsid w:val="00E1205C"/>
    <w:rsid w:val="00E13295"/>
    <w:rsid w:val="00E13FA7"/>
    <w:rsid w:val="00E20237"/>
    <w:rsid w:val="00E22336"/>
    <w:rsid w:val="00E23E7A"/>
    <w:rsid w:val="00E25DD2"/>
    <w:rsid w:val="00E269A3"/>
    <w:rsid w:val="00E32453"/>
    <w:rsid w:val="00E3471C"/>
    <w:rsid w:val="00E44429"/>
    <w:rsid w:val="00E448AD"/>
    <w:rsid w:val="00E4512D"/>
    <w:rsid w:val="00E462A3"/>
    <w:rsid w:val="00E477D6"/>
    <w:rsid w:val="00E546C2"/>
    <w:rsid w:val="00E80AAF"/>
    <w:rsid w:val="00E948C2"/>
    <w:rsid w:val="00EA11A4"/>
    <w:rsid w:val="00EB1CBA"/>
    <w:rsid w:val="00EB4199"/>
    <w:rsid w:val="00EC22B3"/>
    <w:rsid w:val="00EC2B10"/>
    <w:rsid w:val="00EC7934"/>
    <w:rsid w:val="00ED1B5B"/>
    <w:rsid w:val="00EE071D"/>
    <w:rsid w:val="00EF4FBA"/>
    <w:rsid w:val="00F04B1B"/>
    <w:rsid w:val="00F14355"/>
    <w:rsid w:val="00F16126"/>
    <w:rsid w:val="00F35201"/>
    <w:rsid w:val="00F40172"/>
    <w:rsid w:val="00F5034E"/>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14622136">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7804</Words>
  <Characters>46045</Characters>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2024-09-12T07:16:00Z</dcterms:created>
  <dcterms:modified xsi:type="dcterms:W3CDTF">2024-09-12T08:55:00Z</dcterms:modified>
</cp:coreProperties>
</file>