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LIŠANY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Lišany 10, 44001 Louny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Lišany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využítí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571 656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131 709,54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571 656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131 710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77N23/35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7712335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131 710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