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E6" w:rsidRDefault="00D46E33">
      <w:pPr>
        <w:pStyle w:val="Nzev"/>
        <w:ind w:left="3283" w:right="3148"/>
      </w:pPr>
      <w:bookmarkStart w:id="0" w:name="_GoBack"/>
      <w:bookmarkEnd w:id="0"/>
      <w:r>
        <w:rPr>
          <w:color w:val="808080"/>
        </w:rPr>
        <w:t>Smlouva č. 5220300525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32CE6" w:rsidRDefault="00D46E33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932CE6" w:rsidRDefault="00932CE6">
      <w:pPr>
        <w:pStyle w:val="Zkladntext"/>
        <w:spacing w:before="12"/>
        <w:ind w:left="0"/>
        <w:rPr>
          <w:sz w:val="59"/>
        </w:rPr>
      </w:pPr>
    </w:p>
    <w:p w:rsidR="00932CE6" w:rsidRDefault="00D46E33">
      <w:pPr>
        <w:pStyle w:val="Zkladntext"/>
        <w:ind w:left="24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32CE6" w:rsidRDefault="00932CE6">
      <w:pPr>
        <w:pStyle w:val="Zkladntext"/>
        <w:spacing w:before="12"/>
        <w:ind w:left="0"/>
        <w:rPr>
          <w:sz w:val="19"/>
        </w:rPr>
      </w:pPr>
    </w:p>
    <w:p w:rsidR="00932CE6" w:rsidRDefault="00D46E33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932CE6" w:rsidRDefault="00D46E33">
      <w:pPr>
        <w:pStyle w:val="Zkladntext"/>
        <w:tabs>
          <w:tab w:val="left" w:pos="3122"/>
        </w:tabs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32CE6" w:rsidRDefault="00D46E33">
      <w:pPr>
        <w:pStyle w:val="Zkladntext"/>
        <w:tabs>
          <w:tab w:val="left" w:pos="3122"/>
        </w:tabs>
        <w:spacing w:before="1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32CE6" w:rsidRDefault="00D46E33">
      <w:pPr>
        <w:pStyle w:val="Zkladntext"/>
        <w:tabs>
          <w:tab w:val="right" w:pos="3986"/>
        </w:tabs>
        <w:ind w:left="242"/>
      </w:pPr>
      <w:r>
        <w:t>IČO:</w:t>
      </w:r>
      <w:r>
        <w:tab/>
        <w:t>00020729</w:t>
      </w:r>
    </w:p>
    <w:p w:rsidR="00932CE6" w:rsidRDefault="00D46E33">
      <w:pPr>
        <w:pStyle w:val="Zkladntext"/>
        <w:tabs>
          <w:tab w:val="left" w:pos="3122"/>
        </w:tabs>
        <w:spacing w:before="1" w:line="265" w:lineRule="exact"/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32CE6" w:rsidRDefault="00D46E33">
      <w:pPr>
        <w:pStyle w:val="Zkladntext"/>
        <w:tabs>
          <w:tab w:val="left" w:pos="3122"/>
        </w:tabs>
        <w:spacing w:line="265" w:lineRule="exact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2CE6" w:rsidRDefault="00D46E33">
      <w:pPr>
        <w:pStyle w:val="Zkladntext"/>
        <w:tabs>
          <w:tab w:val="left" w:pos="3122"/>
        </w:tabs>
        <w:ind w:left="242" w:right="464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32CE6" w:rsidRDefault="00932CE6">
      <w:pPr>
        <w:pStyle w:val="Zkladntext"/>
        <w:spacing w:before="1"/>
        <w:ind w:left="0"/>
      </w:pPr>
    </w:p>
    <w:p w:rsidR="00932CE6" w:rsidRDefault="00D46E33">
      <w:pPr>
        <w:pStyle w:val="Zkladntext"/>
        <w:spacing w:before="1"/>
        <w:ind w:left="242"/>
      </w:pPr>
      <w:r>
        <w:rPr>
          <w:w w:val="99"/>
        </w:rPr>
        <w:t>a</w:t>
      </w:r>
    </w:p>
    <w:p w:rsidR="00932CE6" w:rsidRDefault="00932CE6">
      <w:pPr>
        <w:pStyle w:val="Zkladntext"/>
        <w:spacing w:before="11"/>
        <w:ind w:left="0"/>
        <w:rPr>
          <w:sz w:val="19"/>
        </w:rPr>
      </w:pPr>
    </w:p>
    <w:p w:rsidR="00932CE6" w:rsidRDefault="00D46E33">
      <w:pPr>
        <w:pStyle w:val="Nadpis2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Plešnice</w:t>
      </w:r>
    </w:p>
    <w:p w:rsidR="00932CE6" w:rsidRDefault="00D46E33">
      <w:pPr>
        <w:pStyle w:val="Zkladntext"/>
        <w:tabs>
          <w:tab w:val="left" w:pos="3122"/>
        </w:tabs>
        <w:spacing w:before="1"/>
        <w:ind w:left="242" w:right="121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Plešnice, Plešnice č. p. 33, 330 33 Město Touškov</w:t>
      </w:r>
      <w:r>
        <w:rPr>
          <w:spacing w:val="-53"/>
        </w:rPr>
        <w:t xml:space="preserve"> </w:t>
      </w:r>
      <w:r>
        <w:t>IČO:</w:t>
      </w:r>
      <w:r>
        <w:tab/>
        <w:t>00573078</w:t>
      </w:r>
    </w:p>
    <w:p w:rsidR="00932CE6" w:rsidRDefault="00D46E33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Josefem</w:t>
      </w:r>
      <w:r>
        <w:rPr>
          <w:spacing w:val="-3"/>
        </w:rPr>
        <w:t xml:space="preserve"> </w:t>
      </w:r>
      <w:r>
        <w:t>W o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32CE6" w:rsidRDefault="00D46E33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2CE6" w:rsidRDefault="00D46E33">
      <w:pPr>
        <w:pStyle w:val="Zkladntext"/>
        <w:tabs>
          <w:tab w:val="left" w:pos="3122"/>
        </w:tabs>
        <w:ind w:left="242" w:right="507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94-1714371/0710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32CE6" w:rsidRDefault="00932CE6">
      <w:pPr>
        <w:pStyle w:val="Zkladntext"/>
        <w:spacing w:before="12"/>
        <w:ind w:left="0"/>
        <w:rPr>
          <w:sz w:val="19"/>
        </w:rPr>
      </w:pPr>
    </w:p>
    <w:p w:rsidR="00932CE6" w:rsidRDefault="00D46E33">
      <w:pPr>
        <w:pStyle w:val="Zkladntext"/>
        <w:spacing w:before="1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32CE6" w:rsidRDefault="00932CE6">
      <w:pPr>
        <w:pStyle w:val="Zkladntext"/>
        <w:spacing w:before="1"/>
        <w:ind w:left="0"/>
        <w:rPr>
          <w:sz w:val="36"/>
        </w:rPr>
      </w:pPr>
    </w:p>
    <w:p w:rsidR="00932CE6" w:rsidRDefault="00D46E33">
      <w:pPr>
        <w:pStyle w:val="Nadpis1"/>
      </w:pPr>
      <w:r>
        <w:t>I.</w:t>
      </w:r>
    </w:p>
    <w:p w:rsidR="00932CE6" w:rsidRDefault="00D46E33">
      <w:pPr>
        <w:pStyle w:val="Nadpis2"/>
        <w:spacing w:before="1"/>
        <w:ind w:left="327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32CE6" w:rsidRDefault="00932CE6">
      <w:pPr>
        <w:pStyle w:val="Zkladntext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32CE6" w:rsidRDefault="00D46E33">
      <w:pPr>
        <w:pStyle w:val="Zkladntext"/>
        <w:ind w:right="110"/>
        <w:jc w:val="both"/>
      </w:pPr>
      <w:r>
        <w:t>„Smlouva“) se uzavírá na základě Rozhodnutí ministra životního prostředí č. 5220300525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932CE6" w:rsidRDefault="00D46E3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32CE6" w:rsidRDefault="00D46E33">
      <w:pPr>
        <w:pStyle w:val="Odstavecseseznamem"/>
        <w:numPr>
          <w:ilvl w:val="0"/>
          <w:numId w:val="7"/>
        </w:numPr>
        <w:tabs>
          <w:tab w:val="left" w:pos="602"/>
        </w:tabs>
        <w:ind w:left="60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932CE6" w:rsidRDefault="00932CE6">
      <w:pPr>
        <w:jc w:val="both"/>
        <w:rPr>
          <w:sz w:val="20"/>
        </w:rPr>
        <w:sectPr w:rsidR="00932CE6">
          <w:headerReference w:type="default" r:id="rId7"/>
          <w:footerReference w:type="default" r:id="rId8"/>
          <w:type w:val="continuous"/>
          <w:pgSz w:w="12240" w:h="15840"/>
          <w:pgMar w:top="1260" w:right="1020" w:bottom="1660" w:left="1460" w:header="708" w:footer="1460" w:gutter="0"/>
          <w:pgNumType w:start="1"/>
          <w:cols w:space="708"/>
        </w:sectPr>
      </w:pPr>
    </w:p>
    <w:p w:rsidR="00932CE6" w:rsidRDefault="00932CE6">
      <w:pPr>
        <w:pStyle w:val="Zkladntext"/>
        <w:spacing w:before="8"/>
        <w:ind w:left="0"/>
        <w:rPr>
          <w:sz w:val="21"/>
        </w:rPr>
      </w:pPr>
    </w:p>
    <w:p w:rsidR="00932CE6" w:rsidRDefault="00D46E33">
      <w:pPr>
        <w:pStyle w:val="Odstavecseseznamem"/>
        <w:numPr>
          <w:ilvl w:val="0"/>
          <w:numId w:val="7"/>
        </w:numPr>
        <w:tabs>
          <w:tab w:val="left" w:pos="526"/>
        </w:tabs>
        <w:spacing w:before="10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</w:t>
      </w:r>
      <w:r>
        <w:rPr>
          <w:w w:val="95"/>
          <w:sz w:val="20"/>
        </w:rPr>
        <w:t>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32CE6" w:rsidRDefault="00D46E33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32CE6" w:rsidRDefault="00D46E33">
      <w:pPr>
        <w:pStyle w:val="Nadpis2"/>
        <w:spacing w:before="120"/>
        <w:ind w:left="3218" w:right="0"/>
        <w:jc w:val="both"/>
      </w:pPr>
      <w:r>
        <w:t>„Pořízení</w:t>
      </w:r>
      <w:r>
        <w:rPr>
          <w:spacing w:val="-2"/>
        </w:rPr>
        <w:t xml:space="preserve"> </w:t>
      </w:r>
      <w:r>
        <w:t>elektro</w:t>
      </w:r>
      <w:r>
        <w:rPr>
          <w:spacing w:val="-1"/>
        </w:rPr>
        <w:t xml:space="preserve"> </w:t>
      </w:r>
      <w:r>
        <w:t>UTV</w:t>
      </w:r>
      <w:r>
        <w:rPr>
          <w:spacing w:val="-2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Plešnice“</w:t>
      </w:r>
    </w:p>
    <w:p w:rsidR="00932CE6" w:rsidRDefault="00D46E33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932CE6" w:rsidRDefault="00932CE6">
      <w:pPr>
        <w:pStyle w:val="Zkladntext"/>
        <w:spacing w:before="12"/>
        <w:ind w:left="0"/>
        <w:rPr>
          <w:sz w:val="35"/>
        </w:rPr>
      </w:pPr>
    </w:p>
    <w:p w:rsidR="00932CE6" w:rsidRDefault="00D46E33">
      <w:pPr>
        <w:pStyle w:val="Nadpis1"/>
      </w:pPr>
      <w:r>
        <w:t>II.</w:t>
      </w:r>
    </w:p>
    <w:p w:rsidR="00932CE6" w:rsidRDefault="00D46E33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32CE6" w:rsidRDefault="00932CE6">
      <w:pPr>
        <w:pStyle w:val="Zkladntext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103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301,65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jedno sto tři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932CE6" w:rsidRDefault="00D46E33">
      <w:pPr>
        <w:pStyle w:val="Odstavecseseznamem"/>
        <w:numPr>
          <w:ilvl w:val="0"/>
          <w:numId w:val="6"/>
        </w:numPr>
        <w:tabs>
          <w:tab w:val="left" w:pos="526"/>
        </w:tabs>
        <w:spacing w:before="122" w:line="237" w:lineRule="auto"/>
        <w:ind w:right="10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32CE6" w:rsidRDefault="00932CE6">
      <w:pPr>
        <w:pStyle w:val="Zkladntext"/>
        <w:spacing w:before="3"/>
        <w:ind w:left="0"/>
        <w:rPr>
          <w:sz w:val="36"/>
        </w:rPr>
      </w:pPr>
    </w:p>
    <w:p w:rsidR="00932CE6" w:rsidRDefault="00D46E33">
      <w:pPr>
        <w:pStyle w:val="Nadpis1"/>
        <w:ind w:left="3275"/>
      </w:pPr>
      <w:r>
        <w:t>III.</w:t>
      </w:r>
    </w:p>
    <w:p w:rsidR="00932CE6" w:rsidRDefault="00D46E33">
      <w:pPr>
        <w:pStyle w:val="Nadpis2"/>
        <w:spacing w:before="1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32CE6" w:rsidRDefault="00932CE6">
      <w:pPr>
        <w:pStyle w:val="Zkladntext"/>
        <w:spacing w:before="1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32CE6" w:rsidRDefault="00932CE6">
      <w:pPr>
        <w:pStyle w:val="Zkladntext"/>
        <w:spacing w:before="12"/>
        <w:ind w:left="0"/>
        <w:rPr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32CE6">
        <w:trPr>
          <w:trHeight w:val="505"/>
        </w:trPr>
        <w:tc>
          <w:tcPr>
            <w:tcW w:w="4532" w:type="dxa"/>
          </w:tcPr>
          <w:p w:rsidR="00932CE6" w:rsidRDefault="00D46E33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932CE6" w:rsidRDefault="00D46E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32CE6">
        <w:trPr>
          <w:trHeight w:val="509"/>
        </w:trPr>
        <w:tc>
          <w:tcPr>
            <w:tcW w:w="4532" w:type="dxa"/>
          </w:tcPr>
          <w:p w:rsidR="00932CE6" w:rsidRDefault="00D46E33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932CE6" w:rsidRDefault="00D46E33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103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301,65</w:t>
            </w:r>
          </w:p>
        </w:tc>
      </w:tr>
    </w:tbl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932CE6" w:rsidRDefault="00932CE6">
      <w:pPr>
        <w:jc w:val="both"/>
        <w:rPr>
          <w:sz w:val="20"/>
        </w:rPr>
        <w:sectPr w:rsidR="00932CE6">
          <w:pgSz w:w="12240" w:h="15840"/>
          <w:pgMar w:top="1260" w:right="1020" w:bottom="1660" w:left="1460" w:header="708" w:footer="1460" w:gutter="0"/>
          <w:cols w:space="708"/>
        </w:sectPr>
      </w:pPr>
    </w:p>
    <w:p w:rsidR="00932CE6" w:rsidRDefault="00932CE6">
      <w:pPr>
        <w:pStyle w:val="Zkladntext"/>
        <w:spacing w:before="8"/>
        <w:ind w:left="0"/>
        <w:rPr>
          <w:sz w:val="21"/>
        </w:rPr>
      </w:pP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0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3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Fondu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932CE6" w:rsidRDefault="00D46E3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 xml:space="preserve">Fond není </w:t>
      </w:r>
      <w:r>
        <w:rPr>
          <w:sz w:val="20"/>
        </w:rPr>
        <w:t>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932CE6" w:rsidRDefault="00932CE6">
      <w:pPr>
        <w:pStyle w:val="Zkladntext"/>
        <w:spacing w:before="9"/>
        <w:ind w:left="0"/>
        <w:rPr>
          <w:sz w:val="28"/>
        </w:rPr>
      </w:pPr>
    </w:p>
    <w:p w:rsidR="00932CE6" w:rsidRDefault="00D46E33">
      <w:pPr>
        <w:pStyle w:val="Nadpis1"/>
        <w:spacing w:before="99"/>
        <w:ind w:left="3279"/>
      </w:pPr>
      <w:r>
        <w:t>IV.</w:t>
      </w:r>
    </w:p>
    <w:p w:rsidR="00932CE6" w:rsidRDefault="00D46E33">
      <w:pPr>
        <w:pStyle w:val="Nadpis2"/>
        <w:spacing w:before="1"/>
        <w:ind w:left="1163" w:right="103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32CE6" w:rsidRDefault="00932CE6">
      <w:pPr>
        <w:pStyle w:val="Zkladntext"/>
        <w:spacing w:before="1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20"/>
        <w:ind w:left="601" w:right="113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4"/>
          <w:sz w:val="20"/>
        </w:rPr>
        <w:t xml:space="preserve"> </w:t>
      </w:r>
      <w:r>
        <w:rPr>
          <w:sz w:val="20"/>
        </w:rPr>
        <w:t>elektro</w:t>
      </w:r>
      <w:r>
        <w:rPr>
          <w:spacing w:val="-2"/>
          <w:sz w:val="20"/>
        </w:rPr>
        <w:t xml:space="preserve"> </w:t>
      </w:r>
      <w:r>
        <w:rPr>
          <w:sz w:val="20"/>
        </w:rPr>
        <w:t>UTV</w:t>
      </w:r>
      <w:r>
        <w:rPr>
          <w:spacing w:val="-2"/>
          <w:sz w:val="20"/>
        </w:rPr>
        <w:t xml:space="preserve"> </w:t>
      </w:r>
      <w:r>
        <w:rPr>
          <w:sz w:val="20"/>
        </w:rPr>
        <w:t>obec</w:t>
      </w:r>
      <w:r>
        <w:rPr>
          <w:spacing w:val="-4"/>
          <w:sz w:val="20"/>
        </w:rPr>
        <w:t xml:space="preserve"> </w:t>
      </w:r>
      <w:r>
        <w:rPr>
          <w:sz w:val="20"/>
        </w:rPr>
        <w:t>Plešnice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v 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18"/>
        <w:jc w:val="left"/>
        <w:rPr>
          <w:sz w:val="20"/>
        </w:rPr>
      </w:pP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 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32CE6" w:rsidRDefault="00D46E33">
      <w:pPr>
        <w:pStyle w:val="Zkladntext"/>
        <w:spacing w:before="120"/>
        <w:ind w:left="669" w:right="11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932CE6" w:rsidRDefault="00932CE6">
      <w:pPr>
        <w:jc w:val="both"/>
        <w:rPr>
          <w:sz w:val="20"/>
        </w:rPr>
        <w:sectPr w:rsidR="00932CE6">
          <w:pgSz w:w="12240" w:h="15840"/>
          <w:pgMar w:top="1260" w:right="1020" w:bottom="1660" w:left="1460" w:header="708" w:footer="1460" w:gutter="0"/>
          <w:cols w:space="708"/>
        </w:sectPr>
      </w:pPr>
    </w:p>
    <w:p w:rsidR="00932CE6" w:rsidRDefault="00932CE6">
      <w:pPr>
        <w:pStyle w:val="Zkladntext"/>
        <w:spacing w:before="8"/>
        <w:ind w:left="0"/>
        <w:rPr>
          <w:sz w:val="21"/>
        </w:rPr>
      </w:pP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0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ind w:left="601" w:right="10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19"/>
        <w:ind w:left="601" w:right="11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</w:t>
      </w:r>
      <w:r>
        <w:rPr>
          <w:sz w:val="20"/>
        </w:rPr>
        <w:t>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</w:t>
      </w:r>
      <w:r>
        <w:rPr>
          <w:sz w:val="20"/>
        </w:rPr>
        <w:t>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32CE6" w:rsidRDefault="00D46E33">
      <w:pPr>
        <w:pStyle w:val="Odstavecseseznamem"/>
        <w:numPr>
          <w:ilvl w:val="0"/>
          <w:numId w:val="3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932CE6" w:rsidRDefault="00D46E33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</w:t>
      </w:r>
      <w:r>
        <w:rPr>
          <w:sz w:val="20"/>
        </w:rPr>
        <w:t>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</w:t>
      </w:r>
      <w:r>
        <w:rPr>
          <w:sz w:val="20"/>
        </w:rPr>
        <w:t xml:space="preserve">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32CE6" w:rsidRDefault="00932CE6">
      <w:pPr>
        <w:jc w:val="both"/>
        <w:rPr>
          <w:sz w:val="20"/>
        </w:rPr>
        <w:sectPr w:rsidR="00932CE6">
          <w:pgSz w:w="12240" w:h="15840"/>
          <w:pgMar w:top="1260" w:right="1020" w:bottom="1660" w:left="1460" w:header="708" w:footer="1460" w:gutter="0"/>
          <w:cols w:space="708"/>
        </w:sectPr>
      </w:pPr>
    </w:p>
    <w:p w:rsidR="00932CE6" w:rsidRDefault="00932CE6">
      <w:pPr>
        <w:pStyle w:val="Zkladntext"/>
        <w:spacing w:before="8"/>
        <w:ind w:left="0"/>
        <w:rPr>
          <w:sz w:val="21"/>
        </w:rPr>
      </w:pP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0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</w:t>
      </w:r>
      <w:r>
        <w:rPr>
          <w:sz w:val="20"/>
        </w:rPr>
        <w:t>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32CE6" w:rsidRDefault="00D46E3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4" w:hanging="293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3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takové</w:t>
      </w:r>
      <w:r>
        <w:rPr>
          <w:spacing w:val="-12"/>
          <w:sz w:val="20"/>
        </w:rPr>
        <w:t xml:space="preserve"> </w:t>
      </w:r>
      <w:r>
        <w:rPr>
          <w:sz w:val="20"/>
        </w:rPr>
        <w:t>změny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2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1"/>
          <w:sz w:val="20"/>
        </w:rPr>
        <w:t xml:space="preserve"> </w:t>
      </w:r>
      <w:r>
        <w:rPr>
          <w:sz w:val="20"/>
        </w:rPr>
        <w:t>Čestné</w:t>
      </w:r>
      <w:r>
        <w:rPr>
          <w:spacing w:val="-5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932CE6" w:rsidRDefault="00D46E33">
      <w:pPr>
        <w:pStyle w:val="Odstavecseseznamem"/>
        <w:numPr>
          <w:ilvl w:val="0"/>
          <w:numId w:val="4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</w:t>
      </w:r>
      <w:r>
        <w:rPr>
          <w:sz w:val="20"/>
        </w:rPr>
        <w:t>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praní peněz nebo financování terorismu a ve smyslu § 4c zákona č. 159/2006 </w:t>
      </w:r>
      <w:r>
        <w:rPr>
          <w:sz w:val="20"/>
        </w:rPr>
        <w:t>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32CE6" w:rsidRDefault="00D46E33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932CE6" w:rsidRDefault="00932CE6">
      <w:pPr>
        <w:pStyle w:val="Zkladntext"/>
        <w:spacing w:before="12"/>
        <w:ind w:left="0"/>
        <w:rPr>
          <w:sz w:val="35"/>
        </w:rPr>
      </w:pPr>
    </w:p>
    <w:p w:rsidR="00932CE6" w:rsidRDefault="00D46E33">
      <w:pPr>
        <w:pStyle w:val="Nadpis1"/>
        <w:spacing w:before="1"/>
        <w:ind w:left="3274"/>
      </w:pPr>
      <w:r>
        <w:t>V.</w:t>
      </w:r>
    </w:p>
    <w:p w:rsidR="00932CE6" w:rsidRDefault="00D46E33">
      <w:pPr>
        <w:pStyle w:val="Nadpis2"/>
        <w:ind w:left="1164" w:right="103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32CE6" w:rsidRDefault="00932CE6">
      <w:pPr>
        <w:pStyle w:val="Zkladntext"/>
        <w:spacing w:before="1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602"/>
        </w:tabs>
        <w:spacing w:before="120"/>
        <w:ind w:left="601" w:right="112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602"/>
        </w:tabs>
        <w:spacing w:before="120"/>
        <w:ind w:left="601" w:right="10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932CE6" w:rsidRDefault="00932CE6">
      <w:pPr>
        <w:jc w:val="both"/>
        <w:rPr>
          <w:sz w:val="20"/>
        </w:rPr>
        <w:sectPr w:rsidR="00932CE6">
          <w:pgSz w:w="12240" w:h="15840"/>
          <w:pgMar w:top="1260" w:right="1020" w:bottom="1660" w:left="1460" w:header="708" w:footer="1460" w:gutter="0"/>
          <w:cols w:space="708"/>
        </w:sectPr>
      </w:pPr>
    </w:p>
    <w:p w:rsidR="00932CE6" w:rsidRDefault="00932CE6">
      <w:pPr>
        <w:pStyle w:val="Zkladntext"/>
        <w:spacing w:before="8"/>
        <w:ind w:left="0"/>
        <w:rPr>
          <w:sz w:val="21"/>
        </w:rPr>
      </w:pPr>
    </w:p>
    <w:p w:rsidR="00932CE6" w:rsidRDefault="00D46E33">
      <w:pPr>
        <w:pStyle w:val="Odstavecseseznamem"/>
        <w:numPr>
          <w:ilvl w:val="0"/>
          <w:numId w:val="2"/>
        </w:numPr>
        <w:tabs>
          <w:tab w:val="left" w:pos="526"/>
        </w:tabs>
        <w:spacing w:before="10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</w:t>
      </w:r>
      <w:r>
        <w:rPr>
          <w:sz w:val="20"/>
        </w:rPr>
        <w:t xml:space="preserve">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32CE6" w:rsidRDefault="00932CE6">
      <w:pPr>
        <w:pStyle w:val="Zkladntext"/>
        <w:spacing w:before="12"/>
        <w:ind w:left="0"/>
        <w:rPr>
          <w:sz w:val="35"/>
        </w:rPr>
      </w:pPr>
    </w:p>
    <w:p w:rsidR="00932CE6" w:rsidRDefault="00D46E33">
      <w:pPr>
        <w:pStyle w:val="Nadpis1"/>
        <w:spacing w:before="1"/>
        <w:ind w:left="3277"/>
      </w:pPr>
      <w:r>
        <w:t>VI.</w:t>
      </w:r>
    </w:p>
    <w:p w:rsidR="00932CE6" w:rsidRDefault="00D46E33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32CE6" w:rsidRDefault="00932CE6">
      <w:pPr>
        <w:pStyle w:val="Zkladntext"/>
        <w:spacing w:before="1"/>
        <w:ind w:left="0"/>
        <w:rPr>
          <w:b/>
          <w:sz w:val="18"/>
        </w:rPr>
      </w:pP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32CE6" w:rsidRDefault="00D46E33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32CE6" w:rsidRDefault="00932CE6">
      <w:pPr>
        <w:pStyle w:val="Zkladntext"/>
        <w:ind w:left="0"/>
        <w:rPr>
          <w:sz w:val="36"/>
        </w:rPr>
      </w:pPr>
    </w:p>
    <w:p w:rsidR="00932CE6" w:rsidRDefault="00D46E33">
      <w:pPr>
        <w:pStyle w:val="Zkladntext"/>
        <w:tabs>
          <w:tab w:val="left" w:pos="6713"/>
        </w:tabs>
        <w:ind w:left="24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932CE6" w:rsidRDefault="00932CE6">
      <w:pPr>
        <w:pStyle w:val="Zkladntext"/>
        <w:spacing w:before="1"/>
        <w:ind w:left="0"/>
        <w:rPr>
          <w:sz w:val="18"/>
        </w:rPr>
      </w:pPr>
    </w:p>
    <w:p w:rsidR="00932CE6" w:rsidRDefault="00D46E33">
      <w:pPr>
        <w:pStyle w:val="Zkladntext"/>
        <w:ind w:left="242"/>
      </w:pPr>
      <w:r>
        <w:t>dne:</w:t>
      </w:r>
    </w:p>
    <w:p w:rsidR="00932CE6" w:rsidRDefault="00932CE6">
      <w:pPr>
        <w:pStyle w:val="Zkladntext"/>
        <w:ind w:left="0"/>
        <w:rPr>
          <w:sz w:val="26"/>
        </w:rPr>
      </w:pPr>
    </w:p>
    <w:p w:rsidR="00932CE6" w:rsidRDefault="00932CE6">
      <w:pPr>
        <w:pStyle w:val="Zkladntext"/>
        <w:spacing w:before="3"/>
        <w:ind w:left="0"/>
        <w:rPr>
          <w:sz w:val="28"/>
        </w:rPr>
      </w:pPr>
    </w:p>
    <w:p w:rsidR="00932CE6" w:rsidRDefault="00D46E3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32CE6" w:rsidRDefault="00D46E33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32CE6">
      <w:pgSz w:w="12240" w:h="15840"/>
      <w:pgMar w:top="1260" w:right="1020" w:bottom="1660" w:left="146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33" w:rsidRDefault="00D46E33">
      <w:r>
        <w:separator/>
      </w:r>
    </w:p>
  </w:endnote>
  <w:endnote w:type="continuationSeparator" w:id="0">
    <w:p w:rsidR="00D46E33" w:rsidRDefault="00D4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6" w:rsidRDefault="0030076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CE6" w:rsidRDefault="00D46E3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76F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932CE6" w:rsidRDefault="00D46E3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076F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33" w:rsidRDefault="00D46E33">
      <w:r>
        <w:separator/>
      </w:r>
    </w:p>
  </w:footnote>
  <w:footnote w:type="continuationSeparator" w:id="0">
    <w:p w:rsidR="00D46E33" w:rsidRDefault="00D4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6" w:rsidRDefault="00D46E33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137"/>
    <w:multiLevelType w:val="hybridMultilevel"/>
    <w:tmpl w:val="B4B4DEB4"/>
    <w:lvl w:ilvl="0" w:tplc="47E80C7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D0325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26E67F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7BAE02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BA851C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D1CF31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6A28B9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7A404B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23C028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EA97821"/>
    <w:multiLevelType w:val="hybridMultilevel"/>
    <w:tmpl w:val="A8C88A40"/>
    <w:lvl w:ilvl="0" w:tplc="434E8B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54B14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42CEE0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04AAAC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1B8981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0428E3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37892D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502BE0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3864C1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0727BC3"/>
    <w:multiLevelType w:val="hybridMultilevel"/>
    <w:tmpl w:val="8E6EB5C2"/>
    <w:lvl w:ilvl="0" w:tplc="4D9A606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86CDD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C1EE9F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0460EB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76A4D2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F4AE85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F3684B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A489F8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A86240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7DD52E8"/>
    <w:multiLevelType w:val="hybridMultilevel"/>
    <w:tmpl w:val="AFBAE832"/>
    <w:lvl w:ilvl="0" w:tplc="8C4EF69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84D6D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CC0312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74A8C6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3C8AE05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320E530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DC67DA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F7889ED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6D00F2B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0512A49"/>
    <w:multiLevelType w:val="hybridMultilevel"/>
    <w:tmpl w:val="C2A01E1C"/>
    <w:lvl w:ilvl="0" w:tplc="8D9C260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6E717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166207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6AA116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BEEB72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8CC580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EC8EF6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20C29C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B30B6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F3A283A"/>
    <w:multiLevelType w:val="hybridMultilevel"/>
    <w:tmpl w:val="CCAA1998"/>
    <w:lvl w:ilvl="0" w:tplc="60E0D2F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56D24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0FC03B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A679A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B7293D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1E0BCF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6FA00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836A7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E6845E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F867EB7"/>
    <w:multiLevelType w:val="hybridMultilevel"/>
    <w:tmpl w:val="30080D2E"/>
    <w:lvl w:ilvl="0" w:tplc="E02478E4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D68884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BDDE7AC2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E4D8E7B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9C3E9BA6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A1A81114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9CBC69A0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7D78FB5E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EB582E90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E6"/>
    <w:rsid w:val="0030076F"/>
    <w:rsid w:val="00932CE6"/>
    <w:rsid w:val="00D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4D4EE2-1EF2-43FC-8D63-1CA54596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166" w:right="103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2165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2024-09-12T07:23:00Z</dcterms:created>
  <dcterms:modified xsi:type="dcterms:W3CDTF">2024-09-12T07:23:00Z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