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980/2024 Oceněný soupis prací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tabs>
          <w:tab w:pos="157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502432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77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VD KŘÍMOV, DH - oplocení</w:t>
      </w:r>
    </w:p>
    <w:tbl>
      <w:tblPr>
        <w:tblOverlap w:val="never"/>
        <w:jc w:val="center"/>
        <w:tblLayout w:type="fixed"/>
      </w:tblPr>
      <w:tblGrid>
        <w:gridCol w:w="8731"/>
        <w:gridCol w:w="2602"/>
        <w:gridCol w:w="1526"/>
      </w:tblGrid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02.09.2024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70889988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Povodí Ohře s.p., Bezručova 4219, 430 03 Chomutov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CZ70889988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Uchazeč: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25412396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BOS Radovan Vítámvás spol. s r.o. , Alfonse muchy 4996, 430 01 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 25412396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183" w:left="598" w:right="2825" w:bottom="332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83" w:left="0" w:right="0" w:bottom="21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46"/>
        <w:gridCol w:w="1762"/>
        <w:gridCol w:w="936"/>
        <w:gridCol w:w="5026"/>
        <w:gridCol w:w="4042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159 590,32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159 590,32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33 513,97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193 104,29</w:t>
            </w:r>
          </w:p>
        </w:tc>
      </w:tr>
    </w:tbl>
    <w:p>
      <w:pPr>
        <w:framePr w:w="13411" w:h="1834" w:wrap="none" w:vAnchor="text" w:hAnchor="page" w:x="599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83" w:left="564" w:right="2791" w:bottom="21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998"/>
        <w:gridCol w:w="6499"/>
        <w:gridCol w:w="2050"/>
        <w:gridCol w:w="3226"/>
        <w:gridCol w:w="1608"/>
        <w:gridCol w:w="1176"/>
      </w:tblGrid>
      <w:tr>
        <w:trPr>
          <w:trHeight w:val="432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REKAPITULACE OBJEKTŮ STAVBY A SOUPISŮ PRACÍ</w:t>
            </w:r>
          </w:p>
        </w:tc>
        <w:tc>
          <w:tcPr>
            <w:gridSpan w:val="3"/>
            <w:vMerge w:val="restart"/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02.09.2024</w:t>
            </w:r>
          </w:p>
        </w:tc>
      </w:tr>
      <w:tr>
        <w:trPr>
          <w:trHeight w:val="21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80" w:line="44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Kód: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 Zadavatel:</w:t>
            </w:r>
          </w:p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Uchazeč: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120" w:line="286" w:lineRule="auto"/>
              <w:ind w:left="12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502432</w:t>
            </w:r>
          </w:p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620" w:line="259" w:lineRule="auto"/>
              <w:ind w:left="128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VD KŘÍMOV, DH - oplocení</w:t>
            </w:r>
          </w:p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360" w:line="286" w:lineRule="auto"/>
              <w:ind w:left="12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Povodí Ohře s.p., Bezručova 4219, 430 03 Chomutov BOS Radovan Vítámvás spol. s r.o. , Alfonse muchy 4996,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60" w:line="286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86" w:lineRule="auto"/>
              <w:ind w:left="4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 43Zpracovatel:</w:t>
            </w:r>
          </w:p>
        </w:tc>
        <w:tc>
          <w:tcPr>
            <w:gridSpan w:val="3"/>
            <w:vMerge/>
            <w:tcBorders/>
            <w:shd w:val="clear" w:color="auto" w:fill="FFFFFF"/>
            <w:vAlign w:val="center"/>
          </w:tcPr>
          <w:p>
            <w:pPr>
              <w:framePr w:w="15557" w:h="4286" w:wrap="none" w:hAnchor="page" w:x="594" w:y="1"/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31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7" w:h="4286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tabs>
                <w:tab w:pos="2715" w:val="left"/>
              </w:tabs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  <w:tab/>
              <w:t>Cena s DPH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7" w:h="4286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159 590,32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193 104,29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7" w:h="4286" w:wrap="none" w:hAnchor="page" w:x="59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Oprava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4286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159 590,32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193 104,29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557" w:h="4286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557" w:h="4286" w:wrap="none" w:hAnchor="page" w:x="594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64" w:right="684" w:bottom="2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3"/>
      <w:bookmarkEnd w:id="4"/>
      <w:bookmarkEnd w:id="5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KŘÍMOV, DH - oplocení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34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Oprava</w:t>
      </w:r>
      <w:bookmarkEnd w:id="6"/>
      <w:bookmarkEnd w:id="7"/>
      <w:bookmarkEnd w:id="8"/>
    </w:p>
    <w:tbl>
      <w:tblPr>
        <w:tblOverlap w:val="never"/>
        <w:jc w:val="center"/>
        <w:tblLayout w:type="fixed"/>
      </w:tblPr>
      <w:tblGrid>
        <w:gridCol w:w="8429"/>
        <w:gridCol w:w="3192"/>
        <w:gridCol w:w="1373"/>
      </w:tblGrid>
      <w:tr>
        <w:trPr>
          <w:trHeight w:val="47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02.09.2024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70889988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 s.p., Bezručova 4219, 430 03 Chomutov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CZ70889988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Uchazeč: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25412396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BOS Radovan Vítámvás spol. s r.o. , Alfonse muchy 4996, 430 01 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CZ 25412396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900" w:right="2364" w:bottom="40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10555" w:h="1046" w:wrap="none" w:vAnchor="text" w:hAnchor="page" w:x="901" w:y="21"/>
        <w:widowControl w:val="0"/>
        <w:shd w:val="clear" w:color="auto" w:fill="auto"/>
        <w:bidi w:val="0"/>
        <w:spacing w:before="0" w:after="0" w:line="254" w:lineRule="auto"/>
        <w:ind w:left="340" w:right="0" w:hanging="34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Pozn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502"/>
        <w:gridCol w:w="1373"/>
      </w:tblGrid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159 590,32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159 590,32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33 513,97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570" w:h="1603" w:wrap="none" w:vAnchor="text" w:hAnchor="page" w:x="901" w:y="11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570" w:h="1603" w:wrap="none" w:vAnchor="text" w:hAnchor="page" w:x="901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193 104,29</w:t>
            </w:r>
          </w:p>
        </w:tc>
      </w:tr>
    </w:tbl>
    <w:p>
      <w:pPr>
        <w:framePr w:w="13570" w:h="1603" w:wrap="none" w:vAnchor="text" w:hAnchor="page" w:x="901" w:y="119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661670" distB="0" distL="0" distR="0" simplePos="0" relativeHeight="62914696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674370</wp:posOffset>
            </wp:positionV>
            <wp:extent cx="8649970" cy="113982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871" w:right="2340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3"/>
        <w:gridCol w:w="9096"/>
        <w:gridCol w:w="2736"/>
        <w:gridCol w:w="1762"/>
      </w:tblGrid>
      <w:tr>
        <w:trPr>
          <w:trHeight w:val="370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REKAPITULACE ČLENĚNÍ SOUPISU PRACÍ</w:t>
            </w:r>
          </w:p>
        </w:tc>
      </w:tr>
      <w:tr>
        <w:trPr>
          <w:trHeight w:val="99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VD KŘÍMOV, DH - oplocení</w:t>
            </w:r>
          </w:p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01 - Oprava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02.09.2024</w:t>
            </w:r>
          </w:p>
        </w:tc>
      </w:tr>
      <w:tr>
        <w:trPr>
          <w:trHeight w:val="63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tabs>
                <w:tab w:pos="19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  <w:tab/>
              <w:t>Povodí Ohře s.p., Bezručova 4219, 430 03 Chomutov</w:t>
            </w:r>
          </w:p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tabs>
                <w:tab w:pos="19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Uchazeč:</w:t>
              <w:tab/>
              <w:t>BOS Radovan Vítámvás spol. s r.o. , Alfonse muchy 4996, 430 01 Chomutov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7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159 590,32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142 870,32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132 820,70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783 - Dokončovací práce - nátěry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10 049,62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 - 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16 720,00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VRN3 - 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5 500,00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VRN6 - Územní vlivy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9 720,00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VRN7 - Provozní vlivy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877" w:h="5582" w:wrap="none" w:hAnchor="page" w:x="59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3877" w:h="5582" w:wrap="none" w:hAnchor="page" w:x="59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1 500,00</w:t>
            </w:r>
          </w:p>
        </w:tc>
      </w:tr>
    </w:tbl>
    <w:p>
      <w:pPr>
        <w:framePr w:w="13877" w:h="5582" w:wrap="none" w:hAnchor="page" w:x="594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2334895</wp:posOffset>
            </wp:positionV>
            <wp:extent cx="8649970" cy="123126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649970" cy="1231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2340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left"/>
        <w:rPr>
          <w:sz w:val="2"/>
          <w:szCs w:val="2"/>
        </w:rPr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1847215</wp:posOffset>
            </wp:positionV>
            <wp:extent cx="9902825" cy="51422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9902825" cy="5142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39" w:line="1" w:lineRule="exact"/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0"/>
      <w:bookmarkEnd w:id="11"/>
      <w:bookmarkEnd w:id="9"/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2"/>
      <w:bookmarkEnd w:id="13"/>
      <w:bookmarkEnd w:id="14"/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KŘÍMOV, DH - oplocení</w:t>
      </w:r>
      <w:bookmarkEnd w:id="15"/>
      <w:bookmarkEnd w:id="16"/>
      <w:bookmarkEnd w:id="17"/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18"/>
      <w:bookmarkEnd w:id="19"/>
      <w:bookmarkEnd w:id="20"/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68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Oprava</w:t>
      </w:r>
      <w:bookmarkEnd w:id="21"/>
      <w:bookmarkEnd w:id="22"/>
      <w:bookmarkEnd w:id="23"/>
    </w:p>
    <w:p>
      <w:pPr>
        <w:pStyle w:val="Style37"/>
        <w:keepNext/>
        <w:keepLines/>
        <w:widowControl w:val="0"/>
        <w:shd w:val="clear" w:color="auto" w:fill="auto"/>
        <w:tabs>
          <w:tab w:pos="11035" w:val="left"/>
          <w:tab w:pos="12211" w:val="left"/>
        </w:tabs>
        <w:bidi w:val="0"/>
        <w:spacing w:before="0" w:after="6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02.09.2024</w:t>
      </w:r>
      <w:bookmarkEnd w:id="24"/>
      <w:bookmarkEnd w:id="25"/>
      <w:bookmarkEnd w:id="26"/>
    </w:p>
    <w:tbl>
      <w:tblPr>
        <w:tblOverlap w:val="never"/>
        <w:jc w:val="center"/>
        <w:tblLayout w:type="fixed"/>
      </w:tblPr>
      <w:tblGrid>
        <w:gridCol w:w="302"/>
        <w:gridCol w:w="331"/>
        <w:gridCol w:w="1056"/>
        <w:gridCol w:w="7733"/>
        <w:gridCol w:w="634"/>
        <w:gridCol w:w="1022"/>
        <w:gridCol w:w="1248"/>
        <w:gridCol w:w="3082"/>
      </w:tblGrid>
      <w:tr>
        <w:trPr>
          <w:trHeight w:val="634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 Uchazeč: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Povodí Ohře s.p., Bezručova 4219, 430 03 Chomutov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BOS Radovan Vítámvás spol. s r.o. , Alfonse muchy 4996, 430 01 Chomutov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2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159 590,32</w:t>
            </w:r>
          </w:p>
        </w:tc>
      </w:tr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142 870,32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132 820,70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7672101R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Svářečské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6 400,00 R-položka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Svářečské práce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ceně je zohledněna manipulace se svářecí soupravou v rámci stavby Položka s vyhrazenou změnou - bude účtováno dle skutečnosti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767R1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Provedení kontroly oplocení - kontrola uchycení, kontrola svárů, vč. zdokumentování a označení míst určených k opravě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25,99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8 368,78 R-položka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Provedení kontroly oplocení - kontrola uchycení, kontrola svárů, vč. zdokumentování a označení míst určených k opravě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 zahájením prací bude provedena kontrola všech úchytů a svárů, poškozené (ustřižené) nebo nefunkční (bez dostatečné vůle k dilataci) úchyty a sváry budou označeny a zdokumentovány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767R2.1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Provedení výměny uchycení plotových polí (úhelníků) - demontáž poškozených (nevyhovujících) úhelníků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13 680,00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Provedení výměny uchycení plotových polí (úhelníků) - demontáž poškozených (nevyhovujících) úhelníků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s vyhrazenou změnou - bude účtováno dle skutečnosti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767R2.2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Provedení výměny uchycení plotových polí (úhelníků), dodávka - výroba nových úchytů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312,75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22 518,00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Provedení výměny uchycení plotových polí (úhelníků), dodávka - výroba nových úchytů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s vyhrazenou změnou - bude účtováno dle skutečnosti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767R2.3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Provedení výměny uchycení plotových polí (úhelníků) - montáž nových úchytů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51 840,00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Provedení výměny uchycení plotových polí (úhelníků) - montáž nových úchytů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s vyhrazenou změnou - bude účtováno dle skutečnosti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767R2.4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Provedení výměny uchycení plotových polí (úhelníků), spojovací a pomocný materiál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výměny uchycení plotových polí (úhelníků), spojovací a pomocný materiál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s vyhrazenou změnou - bude účtováno dle skutečnosti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291,86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21 013,92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767R3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Provedení opatření k ochraně konstrukcí při svařování - např. zakrývání, demontáž plotovek a jejich zpětná montáž apod.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9 000,00 R-položka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opatření k ochraně konstrukcí při svařování - např. zakrývání, demontáž plotovek a jejich zpětná montáž apod.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Dokončovací práce - nátěry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10 049,62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783301303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Bezoplachové odrezivění zámečnických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157,30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314,60 CS ÚRS 2023 01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podkladu zámečnických konstrukcí před provedením nátěru odrezivění odrezovačem bezoplachovým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"https://podminky.urs.cz/item/CS_URS_2023_01/783301303"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https://podminky.urs.cz/item/CS_URS_2023_01/783301303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783301313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Odmaštění zámečnických konstrukcí ředidlovým odmašťovačem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70,13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140,26 CS ÚRS 2023 01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tabs>
          <w:tab w:pos="1934" w:val="left"/>
        </w:tabs>
        <w:bidi w:val="0"/>
        <w:spacing w:before="0" w:after="0" w:line="240" w:lineRule="auto"/>
        <w:ind w:left="336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  <w:tab/>
        <w:t>Příprava podkladu zámečnických konstrukcí před provedením nátěru odmaštění odmašťovačem ředidlovým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934" w:val="left"/>
        </w:tabs>
        <w:bidi w:val="0"/>
        <w:spacing w:before="0" w:after="0" w:line="240" w:lineRule="auto"/>
        <w:ind w:left="336" w:right="0" w:firstLine="0"/>
        <w:jc w:val="left"/>
        <w:rPr>
          <w:sz w:val="11"/>
          <w:szCs w:val="11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559" w:right="866" w:bottom="20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"https://podminky.urs.cz/item/CS_URS_2023_01/783301313"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https://podminky.urs.cz/item/CS_URS_2023_01/783301313</w:t>
      </w:r>
      <w:r>
        <w:fldChar w:fldCharType="end"/>
      </w:r>
    </w:p>
    <w:tbl>
      <w:tblPr>
        <w:tblOverlap w:val="never"/>
        <w:jc w:val="left"/>
        <w:tblLayout w:type="fixed"/>
      </w:tblPr>
      <w:tblGrid>
        <w:gridCol w:w="259"/>
        <w:gridCol w:w="322"/>
        <w:gridCol w:w="1080"/>
        <w:gridCol w:w="7762"/>
        <w:gridCol w:w="581"/>
        <w:gridCol w:w="1080"/>
        <w:gridCol w:w="1190"/>
        <w:gridCol w:w="1589"/>
        <w:gridCol w:w="1440"/>
      </w:tblGrid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783301401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Ometení zámečnických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70,00 CS ÚRS 2023 01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podkladu zámečnických konstrukcí před provedením nátěru ometení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"https://podminky.urs.cz/item/CS_URS_2023_01/783301401"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https://podminky.urs.cz/item/CS_URS_2023_01/783301401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783306809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nátěru ze zámečnických konstrukcí okartáčováním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112,30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224,60 CS ÚRS 2023 01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nátěrů ze zámečnických konstrukcí okartáčováním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"https://podminky.urs.cz/item/CS_URS_2023_01/783306809"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https://podminky.urs.cz/item/CS_URS_2023_01/783306809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Poznámka k položce: Poznámka k položce: Bude provedeno velmi důkladné mechanizované čištění „St3“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78331410R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Základní nátěr zámečnických konstrukcí jednonásobný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110,28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220,56 R-položka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nátěr zámečnických konstrukcí jednonásobný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78331510R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Mezinátěr zámečnických konstrukcí jednonásobný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103,90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207,80 R-položka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Mezinátěr zámečnických konstrukcí jednonásobný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78331710R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Krycí nátěr zámečnických konstrukcí jednonásobný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103,90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207,80 R-položka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Krycí nátěr zámečnických konstrukcí jednonásobný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Poznámka k položce: Poznámka k položce: s požadovanou životností M (střední – min. 10 let) ČSN EN ISO 12944-5, odolávající místním povětrnostním klimatickým podmínkám a UV záření, barevný odstín RAL 6005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Provedení lokálních oprav sloupků oplocení (místa svárů, původních děr po šroubech a dalších poškozeních) stříbrnou barvou, vč. přípravy podkladu . Plocha opravy do 0,01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288,80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8 664,00 R-položka</w:t>
            </w:r>
          </w:p>
        </w:tc>
      </w:tr>
      <w:tr>
        <w:trPr>
          <w:trHeight w:val="6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lokálních oprav sloupků oplocení (místa svárů, původních děr po šroubech a dalších poškozeních) stříbrnou barvou, vč. přípravy podkladu . Plocha opravy do 0,01 m2</w:t>
            </w:r>
          </w:p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s vyhrazenou změnou - bude účtováno dle skutečnosti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16 720,00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VRN3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5 500,00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030001000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5 500,00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5 500,00 CS ÚRS 2023 01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"https://podminky.urs.cz/item/CS_URS_2023_01/030001000"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https://podminky.urs.cz/item/CS_URS_2023_01/030001000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VRN6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Územní vlivy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9 720,00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065002000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Mimostaveništní doprava materiálů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9 720,00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9 720,00 CS ÚRS 2023 01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Mimostaveništní doprava materiálů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"https://podminky.urs.cz/item/CS_URS_2023_01/065002000"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https://podminky.urs.cz/item/CS_URS_2023_01/065002000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VRN7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Provozní vlivy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070001000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Provozní vlivy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1 500,00 CS ÚRS 2023 01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vlivy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"https://podminky.urs.cz/item/CS_URS_2023_01/070001000"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https://podminky.urs.cz/item/CS_URS_2023_01/070001000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302" w:h="802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Opatření proti úniku nebezpečných látek, vč. havarijní soupravy pro případnou likvidaci úniku nebezpečných látek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802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8026" w:wrap="none" w:hAnchor="page" w:x="613" w:y="66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902825" cy="4761230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9902825" cy="4761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4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3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3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3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30"/>
        <w:keepNext w:val="0"/>
        <w:keepLines w:val="0"/>
        <w:framePr w:w="8726" w:h="3240" w:wrap="none" w:hAnchor="page" w:x="972" w:y="231"/>
        <w:widowControl w:val="0"/>
        <w:numPr>
          <w:ilvl w:val="0"/>
          <w:numId w:val="1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uchazeče.</w:t>
      </w:r>
    </w:p>
    <w:p>
      <w:pPr>
        <w:pStyle w:val="Style3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</w:t>
      </w:r>
    </w:p>
    <w:p>
      <w:pPr>
        <w:pStyle w:val="Style30"/>
        <w:keepNext w:val="0"/>
        <w:keepLines w:val="0"/>
        <w:framePr w:w="8726" w:h="3240" w:wrap="none" w:hAnchor="page" w:x="972" w:y="231"/>
        <w:widowControl w:val="0"/>
        <w:numPr>
          <w:ilvl w:val="0"/>
          <w:numId w:val="1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3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3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>
      <w:pPr>
        <w:pStyle w:val="Style3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3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3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Plný popis položky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3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7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63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7315"/>
      </w:tblGrid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46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8462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25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2251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30"/>
        <w:keepNext w:val="0"/>
        <w:keepLines w:val="0"/>
        <w:framePr w:w="4882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78"/>
        <w:gridCol w:w="1138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30"/>
        <w:keepNext w:val="0"/>
        <w:keepLines w:val="0"/>
        <w:framePr w:w="3859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3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5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22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965" w:h="5486" w:wrap="none" w:hAnchor="page" w:x="972" w:y="707"/>
        <w:widowControl w:val="0"/>
        <w:shd w:val="clear" w:color="auto" w:fill="auto"/>
        <w:bidi w:val="0"/>
        <w:spacing w:before="0" w:after="4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Název atributu</w:t>
      </w:r>
    </w:p>
    <w:p>
      <w:pPr>
        <w:pStyle w:val="Style30"/>
        <w:keepNext w:val="0"/>
        <w:keepLines w:val="0"/>
        <w:framePr w:w="965" w:h="5486" w:wrap="none" w:hAnchor="page" w:x="972" w:y="7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Objekt Soupis Místo Datum Zadavatel Projektant Uchazeč</w:t>
      </w:r>
    </w:p>
    <w:p>
      <w:pPr>
        <w:pStyle w:val="Style30"/>
        <w:keepNext w:val="0"/>
        <w:keepLines w:val="0"/>
        <w:framePr w:w="965" w:h="5486" w:wrap="none" w:hAnchor="page" w:x="972" w:y="7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</w:r>
    </w:p>
    <w:p>
      <w:pPr>
        <w:pStyle w:val="Style30"/>
        <w:keepNext w:val="0"/>
        <w:keepLines w:val="0"/>
        <w:framePr w:w="965" w:h="5486" w:wrap="none" w:hAnchor="page" w:x="972" w:y="7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MJ Množství J.Cena</w:t>
      </w:r>
    </w:p>
    <w:p>
      <w:pPr>
        <w:pStyle w:val="Style30"/>
        <w:keepNext w:val="0"/>
        <w:keepLines w:val="0"/>
        <w:framePr w:w="965" w:h="5486" w:wrap="none" w:hAnchor="page" w:x="972" w:y="7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Cenová soustava p psc pp vv</w:t>
      </w:r>
    </w:p>
    <w:p>
      <w:pPr>
        <w:pStyle w:val="Style30"/>
        <w:keepNext w:val="0"/>
        <w:keepLines w:val="0"/>
        <w:framePr w:w="965" w:h="5486" w:wrap="none" w:hAnchor="page" w:x="972" w:y="7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Hmotnost</w:t>
      </w:r>
    </w:p>
    <w:p>
      <w:pPr>
        <w:pStyle w:val="Style30"/>
        <w:keepNext w:val="0"/>
        <w:keepLines w:val="0"/>
        <w:framePr w:w="965" w:h="5486" w:wrap="none" w:hAnchor="page" w:x="972" w:y="7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Suť Nh</w:t>
      </w:r>
    </w:p>
    <w:p>
      <w:pPr>
        <w:pStyle w:val="Style30"/>
        <w:keepNext w:val="0"/>
        <w:keepLines w:val="0"/>
        <w:framePr w:w="792" w:h="586" w:wrap="none" w:hAnchor="page" w:x="972" w:y="7652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Typ věty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eGSazbaDPH</w:t>
      </w:r>
    </w:p>
    <w:p>
      <w:pPr>
        <w:pStyle w:val="Style30"/>
        <w:keepNext w:val="0"/>
        <w:keepLines w:val="0"/>
        <w:framePr w:w="830" w:h="221" w:wrap="none" w:hAnchor="page" w:x="972" w:y="9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eGTypZakazky</w:t>
      </w:r>
    </w:p>
    <w:p>
      <w:pPr>
        <w:pStyle w:val="Style30"/>
        <w:keepNext w:val="0"/>
        <w:keepLines w:val="0"/>
        <w:framePr w:w="806" w:h="221" w:wrap="none" w:hAnchor="page" w:x="972" w:y="103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eGTypPolozky</w:t>
      </w:r>
    </w:p>
    <w:p>
      <w:pPr>
        <w:pStyle w:val="Style30"/>
        <w:keepNext w:val="0"/>
        <w:keepLines w:val="0"/>
        <w:framePr w:w="1373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tbl>
      <w:tblPr>
        <w:tblOverlap w:val="never"/>
        <w:jc w:val="left"/>
        <w:tblLayout w:type="fixed"/>
      </w:tblPr>
      <w:tblGrid>
        <w:gridCol w:w="768"/>
        <w:gridCol w:w="3912"/>
        <w:gridCol w:w="2376"/>
        <w:gridCol w:w="1090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Měrná jednotka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pro položku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Suť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8146" w:h="5472" w:wrap="none" w:hAnchor="page" w:x="2379" w:y="707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6" w:h="5472" w:wrap="none" w:hAnchor="page" w:x="2379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146" w:h="5472" w:wrap="none" w:hAnchor="page" w:x="2379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965"/>
        <w:gridCol w:w="1934"/>
        <w:gridCol w:w="1498"/>
      </w:tblGrid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Datová věta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nulová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Nulová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zákl. přenesená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sazba DPH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 sazba DPH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Inženýrský objekt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4397" w:h="3888" w:wrap="none" w:hAnchor="page" w:x="2235" w:y="7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397" w:h="3888" w:wrap="none" w:hAnchor="page" w:x="2235" w:y="723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397" w:h="3888" w:wrap="none" w:hAnchor="page" w:x="2235" w:y="723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181215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6498590" cy="7181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4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7406640</wp:posOffset>
              </wp:positionV>
              <wp:extent cx="603250" cy="1371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7.55000000000001pt;margin-top:583.20000000000005pt;width:47.5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5094605</wp:posOffset>
              </wp:positionH>
              <wp:positionV relativeFrom="page">
                <wp:posOffset>7430770</wp:posOffset>
              </wp:positionV>
              <wp:extent cx="502920" cy="1130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292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1.15000000000003pt;margin-top:585.10000000000002pt;width:39.600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8">
    <w:name w:val="Char Style 38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50"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60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line="257" w:lineRule="auto"/>
      <w:ind w:left="1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after="7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ind w:firstLine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after="70"/>
      <w:ind w:firstLine="51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line="34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png"/><Relationship Id="rId18" Type="http://schemas.openxmlformats.org/officeDocument/2006/relationships/image" Target="media/image6.png" TargetMode="External"/><Relationship Id="rId19" Type="http://schemas.openxmlformats.org/officeDocument/2006/relationships/image" Target="media/image7.png"/><Relationship Id="rId20" Type="http://schemas.openxmlformats.org/officeDocument/2006/relationships/image" Target="media/image7.pn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footer" Target="footer3.xml"/><Relationship Id="rId26" Type="http://schemas.openxmlformats.org/officeDocument/2006/relationships/image" Target="media/image10.jpeg"/><Relationship Id="rId27" Type="http://schemas.openxmlformats.org/officeDocument/2006/relationships/image" Target="media/image10.jpeg" TargetMode="External"/><Relationship Id="rId28" Type="http://schemas.openxmlformats.org/officeDocument/2006/relationships/image" Target="media/image11.jpeg"/><Relationship Id="rId29" Type="http://schemas.openxmlformats.org/officeDocument/2006/relationships/image" Target="media/image11.jpeg" TargetMode="External"/><Relationship Id="rId30" Type="http://schemas.openxmlformats.org/officeDocument/2006/relationships/image" Target="media/image12.jpeg"/><Relationship Id="rId31" Type="http://schemas.openxmlformats.org/officeDocument/2006/relationships/image" Target="media/image1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