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F8A97" w14:textId="77777777" w:rsidR="00890C04" w:rsidRPr="00C07B2B" w:rsidRDefault="00890C04" w:rsidP="00890C04">
      <w:pPr>
        <w:spacing w:after="120" w:line="240" w:lineRule="auto"/>
        <w:jc w:val="center"/>
        <w:rPr>
          <w:b/>
          <w:sz w:val="32"/>
          <w:szCs w:val="32"/>
        </w:rPr>
      </w:pPr>
      <w:r w:rsidRPr="00C07B2B">
        <w:rPr>
          <w:b/>
          <w:sz w:val="32"/>
          <w:szCs w:val="32"/>
        </w:rPr>
        <w:t>SMLOUVA O DÍLO</w:t>
      </w:r>
    </w:p>
    <w:p w14:paraId="05B48C84" w14:textId="77777777" w:rsidR="00890C04" w:rsidRPr="00606935" w:rsidRDefault="00890C04" w:rsidP="00890C04">
      <w:pPr>
        <w:spacing w:after="120" w:line="240" w:lineRule="auto"/>
        <w:jc w:val="both"/>
        <w:rPr>
          <w:b/>
          <w:sz w:val="22"/>
          <w:szCs w:val="22"/>
        </w:rPr>
      </w:pPr>
    </w:p>
    <w:p w14:paraId="7A7F4644" w14:textId="77777777" w:rsidR="00890C04" w:rsidRDefault="00890C04" w:rsidP="00890C04">
      <w:pPr>
        <w:spacing w:after="120" w:line="240" w:lineRule="auto"/>
        <w:jc w:val="both"/>
        <w:rPr>
          <w:b/>
          <w:sz w:val="22"/>
          <w:szCs w:val="22"/>
        </w:rPr>
      </w:pPr>
      <w:r>
        <w:rPr>
          <w:b/>
          <w:sz w:val="22"/>
          <w:szCs w:val="22"/>
        </w:rPr>
        <w:t>OBJEDNATEL</w:t>
      </w:r>
    </w:p>
    <w:p w14:paraId="7FB7A63F" w14:textId="77777777" w:rsidR="00890C04" w:rsidRDefault="00890C04" w:rsidP="00890C04">
      <w:pPr>
        <w:spacing w:after="120" w:line="240" w:lineRule="auto"/>
        <w:jc w:val="both"/>
        <w:rPr>
          <w:sz w:val="22"/>
          <w:szCs w:val="22"/>
        </w:rPr>
      </w:pPr>
      <w:r w:rsidRPr="00606935">
        <w:rPr>
          <w:b/>
          <w:sz w:val="22"/>
          <w:szCs w:val="22"/>
        </w:rPr>
        <w:t>Pražská developerská společnost, příspěvková organizace</w:t>
      </w:r>
    </w:p>
    <w:p w14:paraId="4371AF5B" w14:textId="77777777" w:rsidR="00890C04" w:rsidRDefault="00890C04" w:rsidP="00890C04">
      <w:pPr>
        <w:spacing w:after="120" w:line="240" w:lineRule="auto"/>
        <w:jc w:val="both"/>
        <w:rPr>
          <w:sz w:val="22"/>
          <w:szCs w:val="22"/>
        </w:rPr>
      </w:pPr>
      <w:r w:rsidRPr="00606935">
        <w:rPr>
          <w:sz w:val="22"/>
          <w:szCs w:val="22"/>
        </w:rPr>
        <w:t>IČ: 09211322</w:t>
      </w:r>
    </w:p>
    <w:p w14:paraId="7B610242" w14:textId="77777777" w:rsidR="00890C04" w:rsidRDefault="00890C04" w:rsidP="00890C04">
      <w:pPr>
        <w:spacing w:after="120" w:line="240" w:lineRule="auto"/>
        <w:jc w:val="both"/>
        <w:rPr>
          <w:sz w:val="22"/>
          <w:szCs w:val="22"/>
        </w:rPr>
      </w:pPr>
      <w:r w:rsidRPr="00606935">
        <w:rPr>
          <w:sz w:val="22"/>
          <w:szCs w:val="22"/>
        </w:rPr>
        <w:t>se sídlem</w:t>
      </w:r>
      <w:r>
        <w:rPr>
          <w:sz w:val="22"/>
          <w:szCs w:val="22"/>
        </w:rPr>
        <w:t>:</w:t>
      </w:r>
      <w:r w:rsidRPr="00606935">
        <w:rPr>
          <w:sz w:val="22"/>
          <w:szCs w:val="22"/>
        </w:rPr>
        <w:t xml:space="preserve"> U radnice 10/2, Praha 1 - Staré Město, PSČ 110 00, Česká republika</w:t>
      </w:r>
    </w:p>
    <w:p w14:paraId="53A093C3" w14:textId="77777777" w:rsidR="00890C04" w:rsidRDefault="00890C04" w:rsidP="00890C04">
      <w:pPr>
        <w:spacing w:after="120" w:line="240" w:lineRule="auto"/>
        <w:jc w:val="both"/>
        <w:rPr>
          <w:sz w:val="22"/>
          <w:szCs w:val="22"/>
        </w:rPr>
      </w:pPr>
      <w:r w:rsidRPr="00606935">
        <w:rPr>
          <w:sz w:val="22"/>
          <w:szCs w:val="22"/>
        </w:rPr>
        <w:t xml:space="preserve">zapsaná v obchodním rejstříku vedeném Městským soudem v Praze, oddíl </w:t>
      </w:r>
      <w:proofErr w:type="spellStart"/>
      <w:r w:rsidRPr="00606935">
        <w:rPr>
          <w:sz w:val="22"/>
          <w:szCs w:val="22"/>
        </w:rPr>
        <w:t>Pr</w:t>
      </w:r>
      <w:proofErr w:type="spellEnd"/>
      <w:r w:rsidRPr="00606935">
        <w:rPr>
          <w:sz w:val="22"/>
          <w:szCs w:val="22"/>
        </w:rPr>
        <w:t>, vložka 1681</w:t>
      </w:r>
    </w:p>
    <w:p w14:paraId="52518E5C" w14:textId="77777777" w:rsidR="00890C04" w:rsidRDefault="00890C04" w:rsidP="00890C04">
      <w:pPr>
        <w:spacing w:after="120" w:line="240" w:lineRule="auto"/>
        <w:jc w:val="both"/>
        <w:rPr>
          <w:sz w:val="22"/>
          <w:szCs w:val="22"/>
        </w:rPr>
      </w:pPr>
      <w:r w:rsidRPr="00606935">
        <w:rPr>
          <w:sz w:val="22"/>
          <w:szCs w:val="22"/>
        </w:rPr>
        <w:t>zastup</w:t>
      </w:r>
      <w:r>
        <w:rPr>
          <w:sz w:val="22"/>
          <w:szCs w:val="22"/>
        </w:rPr>
        <w:t>uje:</w:t>
      </w:r>
      <w:r w:rsidRPr="00606935">
        <w:rPr>
          <w:sz w:val="22"/>
          <w:szCs w:val="22"/>
        </w:rPr>
        <w:t xml:space="preserve"> p</w:t>
      </w:r>
      <w:r>
        <w:rPr>
          <w:sz w:val="22"/>
          <w:szCs w:val="22"/>
        </w:rPr>
        <w:t>.</w:t>
      </w:r>
      <w:r w:rsidRPr="00606935">
        <w:rPr>
          <w:sz w:val="22"/>
          <w:szCs w:val="22"/>
        </w:rPr>
        <w:t xml:space="preserve"> Petr Urbán</w:t>
      </w:r>
      <w:r>
        <w:rPr>
          <w:sz w:val="22"/>
          <w:szCs w:val="22"/>
        </w:rPr>
        <w:t>e</w:t>
      </w:r>
      <w:r w:rsidRPr="00606935">
        <w:rPr>
          <w:sz w:val="22"/>
          <w:szCs w:val="22"/>
        </w:rPr>
        <w:t xml:space="preserve">k, ředitel </w:t>
      </w:r>
    </w:p>
    <w:p w14:paraId="1DCF3631" w14:textId="77777777" w:rsidR="00890C04" w:rsidRPr="00606935" w:rsidRDefault="00890C04" w:rsidP="00890C04">
      <w:pPr>
        <w:spacing w:after="120" w:line="240" w:lineRule="auto"/>
        <w:jc w:val="both"/>
        <w:rPr>
          <w:sz w:val="22"/>
          <w:szCs w:val="22"/>
        </w:rPr>
      </w:pPr>
      <w:r w:rsidRPr="00606935">
        <w:rPr>
          <w:sz w:val="22"/>
          <w:szCs w:val="22"/>
        </w:rPr>
        <w:t>(dále jen „</w:t>
      </w:r>
      <w:r w:rsidRPr="00606935">
        <w:rPr>
          <w:b/>
          <w:sz w:val="22"/>
          <w:szCs w:val="22"/>
        </w:rPr>
        <w:t>Objednatel</w:t>
      </w:r>
      <w:r w:rsidRPr="00606935">
        <w:rPr>
          <w:sz w:val="22"/>
          <w:szCs w:val="22"/>
        </w:rPr>
        <w:t>“)</w:t>
      </w:r>
    </w:p>
    <w:p w14:paraId="315EB651" w14:textId="77777777" w:rsidR="00890C04" w:rsidRPr="00606935" w:rsidRDefault="00890C04" w:rsidP="00890C04">
      <w:pPr>
        <w:spacing w:after="120" w:line="240" w:lineRule="auto"/>
        <w:jc w:val="both"/>
        <w:rPr>
          <w:sz w:val="22"/>
          <w:szCs w:val="22"/>
        </w:rPr>
      </w:pPr>
      <w:r w:rsidRPr="00606935">
        <w:rPr>
          <w:sz w:val="22"/>
          <w:szCs w:val="22"/>
        </w:rPr>
        <w:t>a</w:t>
      </w:r>
    </w:p>
    <w:p w14:paraId="198503F7" w14:textId="77777777" w:rsidR="00890C04" w:rsidRPr="008E38E2" w:rsidRDefault="00890C04" w:rsidP="00890C04">
      <w:pPr>
        <w:spacing w:after="120" w:line="240" w:lineRule="auto"/>
        <w:jc w:val="both"/>
        <w:rPr>
          <w:rFonts w:eastAsiaTheme="minorHAnsi"/>
          <w:b/>
          <w:sz w:val="22"/>
          <w:szCs w:val="22"/>
          <w:lang w:eastAsia="en-US"/>
        </w:rPr>
      </w:pPr>
      <w:r w:rsidRPr="008E38E2">
        <w:rPr>
          <w:rFonts w:eastAsiaTheme="minorHAnsi"/>
          <w:b/>
          <w:sz w:val="22"/>
          <w:szCs w:val="22"/>
          <w:lang w:eastAsia="en-US"/>
        </w:rPr>
        <w:t>DODAVATEL</w:t>
      </w:r>
    </w:p>
    <w:p w14:paraId="1EF5D999" w14:textId="1166F0F3" w:rsidR="00890C04" w:rsidRDefault="00AB22B9" w:rsidP="00890C04">
      <w:pPr>
        <w:spacing w:after="120" w:line="240" w:lineRule="auto"/>
        <w:jc w:val="both"/>
        <w:rPr>
          <w:rFonts w:eastAsiaTheme="minorHAnsi"/>
          <w:sz w:val="22"/>
          <w:szCs w:val="22"/>
          <w:lang w:eastAsia="en-US"/>
        </w:rPr>
      </w:pPr>
      <w:r>
        <w:rPr>
          <w:rFonts w:eastAsiaTheme="minorHAnsi"/>
          <w:b/>
          <w:sz w:val="22"/>
          <w:szCs w:val="22"/>
          <w:lang w:eastAsia="en-US"/>
        </w:rPr>
        <w:t>KROKEM s.r.o.</w:t>
      </w:r>
    </w:p>
    <w:p w14:paraId="58A98544" w14:textId="3591FA1D" w:rsidR="00890C04" w:rsidRDefault="00890C04" w:rsidP="00890C04">
      <w:pPr>
        <w:spacing w:after="120" w:line="240" w:lineRule="auto"/>
        <w:jc w:val="both"/>
        <w:rPr>
          <w:rFonts w:eastAsiaTheme="minorHAnsi"/>
          <w:sz w:val="22"/>
          <w:szCs w:val="22"/>
          <w:lang w:eastAsia="en-US"/>
        </w:rPr>
      </w:pPr>
      <w:r w:rsidRPr="00606935">
        <w:rPr>
          <w:rFonts w:eastAsiaTheme="minorHAnsi"/>
          <w:sz w:val="22"/>
          <w:szCs w:val="22"/>
          <w:lang w:eastAsia="en-US"/>
        </w:rPr>
        <w:t xml:space="preserve">IČ: </w:t>
      </w:r>
      <w:r w:rsidR="00AB22B9">
        <w:rPr>
          <w:rFonts w:eastAsiaTheme="minorHAnsi"/>
          <w:sz w:val="22"/>
          <w:szCs w:val="22"/>
          <w:lang w:eastAsia="en-US"/>
        </w:rPr>
        <w:t>06946861</w:t>
      </w:r>
    </w:p>
    <w:p w14:paraId="7A6A74DD" w14:textId="0055D594" w:rsidR="00890C04" w:rsidRDefault="00890C04" w:rsidP="00890C04">
      <w:pPr>
        <w:spacing w:after="120" w:line="240" w:lineRule="auto"/>
        <w:jc w:val="both"/>
        <w:rPr>
          <w:rFonts w:eastAsiaTheme="minorHAnsi"/>
          <w:sz w:val="22"/>
          <w:szCs w:val="22"/>
          <w:lang w:eastAsia="en-US"/>
        </w:rPr>
      </w:pPr>
      <w:r w:rsidRPr="00606935">
        <w:rPr>
          <w:rFonts w:eastAsiaTheme="minorHAnsi"/>
          <w:sz w:val="22"/>
          <w:szCs w:val="22"/>
          <w:lang w:eastAsia="en-US"/>
        </w:rPr>
        <w:t>se sídlem</w:t>
      </w:r>
      <w:r>
        <w:rPr>
          <w:rFonts w:eastAsiaTheme="minorHAnsi"/>
          <w:sz w:val="22"/>
          <w:szCs w:val="22"/>
          <w:lang w:eastAsia="en-US"/>
        </w:rPr>
        <w:t>:</w:t>
      </w:r>
      <w:r w:rsidRPr="00606935">
        <w:rPr>
          <w:rFonts w:eastAsiaTheme="minorHAnsi"/>
          <w:sz w:val="22"/>
          <w:szCs w:val="22"/>
          <w:lang w:eastAsia="en-US"/>
        </w:rPr>
        <w:t xml:space="preserve"> </w:t>
      </w:r>
      <w:r w:rsidR="00AB22B9">
        <w:rPr>
          <w:rFonts w:eastAsiaTheme="minorHAnsi"/>
          <w:sz w:val="22"/>
          <w:szCs w:val="22"/>
          <w:lang w:eastAsia="en-US"/>
        </w:rPr>
        <w:t>V Chaloupkách 379/17, 198 00 Praha 9, Hloubětín</w:t>
      </w:r>
      <w:r w:rsidRPr="00606935">
        <w:rPr>
          <w:rFonts w:eastAsiaTheme="minorHAnsi"/>
          <w:sz w:val="22"/>
          <w:szCs w:val="22"/>
          <w:lang w:eastAsia="en-US"/>
        </w:rPr>
        <w:t xml:space="preserve"> </w:t>
      </w:r>
    </w:p>
    <w:p w14:paraId="61124974" w14:textId="698081FB" w:rsidR="00890C04" w:rsidRDefault="00890C04" w:rsidP="00890C04">
      <w:pPr>
        <w:spacing w:after="120" w:line="240" w:lineRule="auto"/>
        <w:jc w:val="both"/>
        <w:rPr>
          <w:rFonts w:eastAsiaTheme="minorHAnsi"/>
          <w:sz w:val="22"/>
          <w:szCs w:val="22"/>
          <w:lang w:eastAsia="en-US"/>
        </w:rPr>
      </w:pPr>
      <w:r w:rsidRPr="00606935">
        <w:rPr>
          <w:rFonts w:eastAsiaTheme="minorHAnsi"/>
          <w:sz w:val="22"/>
          <w:szCs w:val="22"/>
          <w:lang w:eastAsia="en-US"/>
        </w:rPr>
        <w:t xml:space="preserve">zapsaná v obchodním rejstříku vedeném </w:t>
      </w:r>
      <w:r w:rsidR="00AB22B9">
        <w:rPr>
          <w:rFonts w:eastAsiaTheme="minorHAnsi"/>
          <w:sz w:val="22"/>
          <w:szCs w:val="22"/>
          <w:lang w:eastAsia="en-US"/>
        </w:rPr>
        <w:t>u Městského soudu v Praze, spisová značka C 291864</w:t>
      </w:r>
    </w:p>
    <w:p w14:paraId="1598DB0F" w14:textId="0D2FB8C7" w:rsidR="00890C04" w:rsidRDefault="00890C04" w:rsidP="00890C04">
      <w:pPr>
        <w:spacing w:after="120" w:line="240" w:lineRule="auto"/>
        <w:jc w:val="both"/>
        <w:rPr>
          <w:rFonts w:eastAsiaTheme="minorHAnsi"/>
          <w:sz w:val="22"/>
          <w:szCs w:val="22"/>
          <w:lang w:eastAsia="en-US"/>
        </w:rPr>
      </w:pPr>
      <w:r w:rsidRPr="00606935">
        <w:rPr>
          <w:rFonts w:eastAsiaTheme="minorHAnsi"/>
          <w:sz w:val="22"/>
          <w:szCs w:val="22"/>
          <w:lang w:eastAsia="en-US"/>
        </w:rPr>
        <w:t>zastup</w:t>
      </w:r>
      <w:r>
        <w:rPr>
          <w:rFonts w:eastAsiaTheme="minorHAnsi"/>
          <w:sz w:val="22"/>
          <w:szCs w:val="22"/>
          <w:lang w:eastAsia="en-US"/>
        </w:rPr>
        <w:t>uje:</w:t>
      </w:r>
      <w:r w:rsidRPr="00606935">
        <w:rPr>
          <w:rFonts w:eastAsiaTheme="minorHAnsi"/>
          <w:sz w:val="22"/>
          <w:szCs w:val="22"/>
          <w:lang w:eastAsia="en-US"/>
        </w:rPr>
        <w:t xml:space="preserve"> </w:t>
      </w:r>
      <w:r w:rsidR="00AB22B9">
        <w:rPr>
          <w:rFonts w:eastAsiaTheme="minorHAnsi"/>
          <w:sz w:val="22"/>
          <w:szCs w:val="22"/>
          <w:lang w:eastAsia="en-US"/>
        </w:rPr>
        <w:t>Mgr. Ondřej Špaček, jednatel</w:t>
      </w:r>
    </w:p>
    <w:p w14:paraId="241881DA" w14:textId="545FD1FD" w:rsidR="00890C04" w:rsidRDefault="00890C04" w:rsidP="00890C04">
      <w:pPr>
        <w:spacing w:after="120" w:line="240" w:lineRule="auto"/>
        <w:jc w:val="both"/>
        <w:rPr>
          <w:rFonts w:eastAsiaTheme="minorHAnsi"/>
          <w:sz w:val="22"/>
          <w:szCs w:val="22"/>
          <w:lang w:eastAsia="en-US"/>
        </w:rPr>
      </w:pPr>
      <w:r w:rsidRPr="00606935">
        <w:rPr>
          <w:rFonts w:eastAsiaTheme="minorHAnsi"/>
          <w:sz w:val="22"/>
          <w:szCs w:val="22"/>
          <w:lang w:eastAsia="en-US"/>
        </w:rPr>
        <w:t xml:space="preserve">číslo bankovního účtu: </w:t>
      </w:r>
      <w:r w:rsidR="00AB22B9">
        <w:rPr>
          <w:rFonts w:eastAsiaTheme="minorHAnsi"/>
          <w:sz w:val="22"/>
          <w:szCs w:val="22"/>
          <w:lang w:eastAsia="en-US"/>
        </w:rPr>
        <w:t>XXXX</w:t>
      </w:r>
      <w:r w:rsidRPr="00606935">
        <w:rPr>
          <w:rFonts w:eastAsiaTheme="minorHAnsi"/>
          <w:sz w:val="22"/>
          <w:szCs w:val="22"/>
          <w:lang w:eastAsia="en-US"/>
        </w:rPr>
        <w:t xml:space="preserve"> </w:t>
      </w:r>
    </w:p>
    <w:p w14:paraId="5B3A52E6" w14:textId="77777777" w:rsidR="00890C04" w:rsidRPr="00606935" w:rsidRDefault="00890C04" w:rsidP="00890C04">
      <w:pPr>
        <w:spacing w:after="120" w:line="240" w:lineRule="auto"/>
        <w:jc w:val="both"/>
        <w:rPr>
          <w:rFonts w:eastAsiaTheme="minorHAnsi"/>
          <w:sz w:val="22"/>
          <w:szCs w:val="22"/>
          <w:lang w:eastAsia="en-US"/>
        </w:rPr>
      </w:pPr>
      <w:r w:rsidRPr="00606935">
        <w:rPr>
          <w:rFonts w:eastAsiaTheme="minorHAnsi"/>
          <w:sz w:val="22"/>
          <w:szCs w:val="22"/>
          <w:lang w:eastAsia="en-US"/>
        </w:rPr>
        <w:t>(dále jen „</w:t>
      </w:r>
      <w:r w:rsidRPr="00606935">
        <w:rPr>
          <w:rFonts w:eastAsiaTheme="minorHAnsi"/>
          <w:b/>
          <w:sz w:val="22"/>
          <w:szCs w:val="22"/>
          <w:lang w:eastAsia="en-US"/>
        </w:rPr>
        <w:t>Dodavatel</w:t>
      </w:r>
      <w:r w:rsidRPr="00606935">
        <w:rPr>
          <w:rFonts w:eastAsiaTheme="minorHAnsi"/>
          <w:sz w:val="22"/>
          <w:szCs w:val="22"/>
          <w:lang w:eastAsia="en-US"/>
        </w:rPr>
        <w:t>“),</w:t>
      </w:r>
      <w:r w:rsidRPr="00606935">
        <w:rPr>
          <w:rFonts w:eastAsiaTheme="minorHAnsi"/>
          <w:b/>
          <w:bCs/>
          <w:sz w:val="22"/>
          <w:szCs w:val="22"/>
          <w:highlight w:val="yellow"/>
          <w:lang w:eastAsia="en-US"/>
        </w:rPr>
        <w:t xml:space="preserve"> </w:t>
      </w:r>
    </w:p>
    <w:p w14:paraId="678B1F10" w14:textId="77777777" w:rsidR="00890C04" w:rsidRPr="00606935" w:rsidRDefault="00890C04" w:rsidP="00890C04">
      <w:pPr>
        <w:spacing w:after="120" w:line="240" w:lineRule="auto"/>
        <w:jc w:val="both"/>
        <w:rPr>
          <w:sz w:val="22"/>
          <w:szCs w:val="22"/>
        </w:rPr>
      </w:pPr>
    </w:p>
    <w:p w14:paraId="5F339D06" w14:textId="77777777" w:rsidR="00890C04" w:rsidRPr="00606935" w:rsidRDefault="00890C04" w:rsidP="00890C04">
      <w:pPr>
        <w:spacing w:after="120" w:line="240" w:lineRule="auto"/>
        <w:jc w:val="both"/>
        <w:rPr>
          <w:sz w:val="22"/>
          <w:szCs w:val="22"/>
        </w:rPr>
      </w:pPr>
      <w:r w:rsidRPr="00606935">
        <w:rPr>
          <w:sz w:val="22"/>
          <w:szCs w:val="22"/>
        </w:rPr>
        <w:t>(společně dále jen „</w:t>
      </w:r>
      <w:r w:rsidRPr="00606935">
        <w:rPr>
          <w:b/>
          <w:sz w:val="22"/>
          <w:szCs w:val="22"/>
        </w:rPr>
        <w:t>strany</w:t>
      </w:r>
      <w:r w:rsidRPr="00606935">
        <w:rPr>
          <w:sz w:val="22"/>
          <w:szCs w:val="22"/>
        </w:rPr>
        <w:t>“ nebo každý samostatně jako „</w:t>
      </w:r>
      <w:r w:rsidRPr="00606935">
        <w:rPr>
          <w:b/>
          <w:sz w:val="22"/>
          <w:szCs w:val="22"/>
        </w:rPr>
        <w:t>strana</w:t>
      </w:r>
      <w:r w:rsidRPr="00606935">
        <w:rPr>
          <w:sz w:val="22"/>
          <w:szCs w:val="22"/>
        </w:rPr>
        <w:t xml:space="preserve">“). </w:t>
      </w:r>
    </w:p>
    <w:p w14:paraId="5A1BE4D1" w14:textId="77777777" w:rsidR="00890C04" w:rsidRPr="00606935" w:rsidRDefault="00890C04" w:rsidP="00890C04">
      <w:pPr>
        <w:keepNext/>
        <w:keepLines/>
        <w:pBdr>
          <w:top w:val="nil"/>
          <w:left w:val="nil"/>
          <w:bottom w:val="nil"/>
          <w:right w:val="nil"/>
          <w:between w:val="nil"/>
        </w:pBdr>
        <w:spacing w:after="120" w:line="240" w:lineRule="auto"/>
        <w:ind w:left="624" w:hanging="624"/>
        <w:rPr>
          <w:b/>
          <w:smallCaps/>
          <w:color w:val="000000"/>
          <w:sz w:val="22"/>
          <w:szCs w:val="22"/>
        </w:rPr>
      </w:pPr>
    </w:p>
    <w:p w14:paraId="7B260681" w14:textId="77777777" w:rsidR="00890C04" w:rsidRPr="00606935" w:rsidRDefault="00890C04" w:rsidP="00327901">
      <w:pPr>
        <w:spacing w:after="120" w:line="240" w:lineRule="auto"/>
        <w:jc w:val="both"/>
        <w:rPr>
          <w:sz w:val="22"/>
          <w:szCs w:val="22"/>
        </w:rPr>
      </w:pPr>
      <w:r w:rsidRPr="00606935">
        <w:rPr>
          <w:sz w:val="22"/>
          <w:szCs w:val="22"/>
        </w:rPr>
        <w:t>Dodavatel byl vybrán jako vítězný dodavatel veřejné zakázky s názvem „</w:t>
      </w:r>
      <w:r w:rsidRPr="00606935">
        <w:rPr>
          <w:i/>
          <w:sz w:val="22"/>
          <w:szCs w:val="22"/>
        </w:rPr>
        <w:t xml:space="preserve">Vltavská </w:t>
      </w:r>
      <w:proofErr w:type="gramStart"/>
      <w:r w:rsidRPr="00606935">
        <w:rPr>
          <w:i/>
          <w:sz w:val="22"/>
          <w:szCs w:val="22"/>
        </w:rPr>
        <w:t>filharmonie - provozní</w:t>
      </w:r>
      <w:proofErr w:type="gramEnd"/>
      <w:r w:rsidRPr="00606935">
        <w:rPr>
          <w:i/>
          <w:sz w:val="22"/>
          <w:szCs w:val="22"/>
        </w:rPr>
        <w:t xml:space="preserve"> a finanční model včetně investičního vyhodnocení, benchmarking koncertních sálů, dopadová analýza</w:t>
      </w:r>
      <w:r w:rsidRPr="00606935">
        <w:rPr>
          <w:sz w:val="22"/>
          <w:szCs w:val="22"/>
        </w:rPr>
        <w:t xml:space="preserve">“ a souhlasí s tím, že bude poskytovat služby požadované Objednatelem v této smlouvě. </w:t>
      </w:r>
    </w:p>
    <w:p w14:paraId="7CD4883B" w14:textId="77777777" w:rsidR="00890C04" w:rsidRPr="00606935" w:rsidRDefault="00890C04" w:rsidP="00327901">
      <w:pPr>
        <w:spacing w:after="120" w:line="240" w:lineRule="auto"/>
        <w:jc w:val="both"/>
        <w:rPr>
          <w:rFonts w:eastAsia="Calibri"/>
          <w:sz w:val="22"/>
          <w:szCs w:val="22"/>
        </w:rPr>
      </w:pPr>
    </w:p>
    <w:p w14:paraId="007B4BEE" w14:textId="77777777" w:rsidR="00890C04" w:rsidRPr="00606935" w:rsidRDefault="00890C04" w:rsidP="00327901">
      <w:pPr>
        <w:numPr>
          <w:ilvl w:val="0"/>
          <w:numId w:val="1"/>
        </w:numPr>
        <w:spacing w:after="120" w:line="240" w:lineRule="auto"/>
        <w:ind w:left="0" w:firstLine="0"/>
        <w:jc w:val="both"/>
        <w:rPr>
          <w:sz w:val="22"/>
          <w:szCs w:val="22"/>
        </w:rPr>
      </w:pPr>
      <w:r w:rsidRPr="00606935">
        <w:rPr>
          <w:sz w:val="22"/>
          <w:szCs w:val="22"/>
          <w:u w:val="single"/>
        </w:rPr>
        <w:t xml:space="preserve">Předmět </w:t>
      </w:r>
      <w:r>
        <w:rPr>
          <w:sz w:val="22"/>
          <w:szCs w:val="22"/>
          <w:u w:val="single"/>
        </w:rPr>
        <w:t>díla</w:t>
      </w:r>
      <w:r w:rsidRPr="00606935">
        <w:rPr>
          <w:sz w:val="22"/>
          <w:szCs w:val="22"/>
        </w:rPr>
        <w:t>:</w:t>
      </w:r>
    </w:p>
    <w:p w14:paraId="151C8CC1" w14:textId="77777777" w:rsidR="00890C04" w:rsidRPr="00606935" w:rsidRDefault="00890C04" w:rsidP="00327901">
      <w:pPr>
        <w:spacing w:after="120" w:line="240" w:lineRule="auto"/>
        <w:jc w:val="both"/>
        <w:rPr>
          <w:sz w:val="22"/>
          <w:szCs w:val="22"/>
        </w:rPr>
      </w:pPr>
      <w:r>
        <w:rPr>
          <w:sz w:val="22"/>
          <w:szCs w:val="22"/>
        </w:rPr>
        <w:t>Příprava díla / dokumentů na základě z</w:t>
      </w:r>
      <w:r w:rsidRPr="00606935">
        <w:rPr>
          <w:sz w:val="22"/>
          <w:szCs w:val="22"/>
        </w:rPr>
        <w:t>ajištění odborných poradenských služeb v oblasti ekonomického a expertního poradenství v sektoru kultury, cestovního ruchu a volnočasových odvětví dle této osnovy:</w:t>
      </w:r>
    </w:p>
    <w:p w14:paraId="035090CD" w14:textId="77777777" w:rsidR="00890C04" w:rsidRPr="00452802" w:rsidRDefault="00890C04" w:rsidP="00327901">
      <w:pPr>
        <w:spacing w:after="120" w:line="240" w:lineRule="auto"/>
        <w:jc w:val="both"/>
        <w:rPr>
          <w:b/>
          <w:bCs/>
          <w:sz w:val="22"/>
          <w:szCs w:val="22"/>
        </w:rPr>
      </w:pPr>
      <w:r w:rsidRPr="00452802">
        <w:rPr>
          <w:b/>
          <w:bCs/>
          <w:sz w:val="22"/>
          <w:szCs w:val="22"/>
        </w:rPr>
        <w:t xml:space="preserve">Studie: Vltavská </w:t>
      </w:r>
      <w:proofErr w:type="gramStart"/>
      <w:r w:rsidRPr="00452802">
        <w:rPr>
          <w:b/>
          <w:bCs/>
          <w:sz w:val="22"/>
          <w:szCs w:val="22"/>
        </w:rPr>
        <w:t>filharmonie - provozní</w:t>
      </w:r>
      <w:proofErr w:type="gramEnd"/>
      <w:r w:rsidRPr="00452802">
        <w:rPr>
          <w:b/>
          <w:bCs/>
          <w:sz w:val="22"/>
          <w:szCs w:val="22"/>
        </w:rPr>
        <w:t xml:space="preserve"> a finanční model včetně investičního vyhodnocení, benchmarking koncertních sálů, dopadová analýza</w:t>
      </w:r>
    </w:p>
    <w:p w14:paraId="44CFA86E" w14:textId="77777777" w:rsidR="00890C04" w:rsidRPr="00606935" w:rsidRDefault="00890C04" w:rsidP="0050226C">
      <w:pPr>
        <w:pStyle w:val="Odstavecseseznamem"/>
        <w:numPr>
          <w:ilvl w:val="0"/>
          <w:numId w:val="7"/>
        </w:numPr>
        <w:spacing w:after="120"/>
        <w:ind w:left="360"/>
        <w:contextualSpacing/>
        <w:jc w:val="both"/>
        <w:rPr>
          <w:rStyle w:val="Zdraznnjemn"/>
          <w:rFonts w:ascii="Arial" w:hAnsi="Arial" w:cs="Arial"/>
          <w:i w:val="0"/>
          <w:iCs w:val="0"/>
          <w:color w:val="000000" w:themeColor="text1"/>
          <w:sz w:val="22"/>
          <w:szCs w:val="22"/>
        </w:rPr>
      </w:pPr>
      <w:r w:rsidRPr="00606935">
        <w:rPr>
          <w:rStyle w:val="Zdraznnjemn"/>
          <w:rFonts w:ascii="Arial" w:hAnsi="Arial" w:cs="Arial"/>
          <w:color w:val="000000" w:themeColor="text1"/>
          <w:sz w:val="22"/>
          <w:szCs w:val="22"/>
        </w:rPr>
        <w:t>Aktualizace provozního a finančního modelu včetně investičního vyhodnocení</w:t>
      </w:r>
    </w:p>
    <w:p w14:paraId="6D7D5CA3" w14:textId="77777777" w:rsidR="00890C04" w:rsidRPr="00606935" w:rsidRDefault="00890C04" w:rsidP="0050226C">
      <w:pPr>
        <w:pStyle w:val="Odstavecseseznamem"/>
        <w:numPr>
          <w:ilvl w:val="0"/>
          <w:numId w:val="8"/>
        </w:numPr>
        <w:spacing w:after="120"/>
        <w:ind w:left="720"/>
        <w:contextualSpacing/>
        <w:jc w:val="both"/>
        <w:rPr>
          <w:rStyle w:val="Zdraznnjemn"/>
          <w:rFonts w:ascii="Arial" w:hAnsi="Arial" w:cs="Arial"/>
          <w:i w:val="0"/>
          <w:iCs w:val="0"/>
          <w:color w:val="000000" w:themeColor="text1"/>
          <w:sz w:val="22"/>
          <w:szCs w:val="22"/>
        </w:rPr>
      </w:pPr>
      <w:r w:rsidRPr="00606935">
        <w:rPr>
          <w:rStyle w:val="Zdraznnjemn"/>
          <w:rFonts w:ascii="Arial" w:hAnsi="Arial" w:cs="Arial"/>
          <w:color w:val="000000" w:themeColor="text1"/>
          <w:sz w:val="22"/>
          <w:szCs w:val="22"/>
        </w:rPr>
        <w:t>revize dostupných dat a analýz týkajících se finančního a provozního modelu,</w:t>
      </w:r>
    </w:p>
    <w:p w14:paraId="7D57DC1C" w14:textId="3998A0B9" w:rsidR="00890C04" w:rsidRPr="00606935" w:rsidRDefault="00890C04" w:rsidP="0050226C">
      <w:pPr>
        <w:pStyle w:val="Odstavecseseznamem"/>
        <w:numPr>
          <w:ilvl w:val="0"/>
          <w:numId w:val="8"/>
        </w:numPr>
        <w:spacing w:after="120"/>
        <w:ind w:left="720"/>
        <w:contextualSpacing/>
        <w:jc w:val="both"/>
        <w:rPr>
          <w:rStyle w:val="Zdraznnjemn"/>
          <w:rFonts w:ascii="Arial" w:hAnsi="Arial" w:cs="Arial"/>
          <w:i w:val="0"/>
          <w:iCs w:val="0"/>
          <w:color w:val="000000" w:themeColor="text1"/>
          <w:sz w:val="22"/>
          <w:szCs w:val="22"/>
        </w:rPr>
      </w:pPr>
      <w:r w:rsidRPr="00207701">
        <w:rPr>
          <w:rStyle w:val="Zdraznnjemn"/>
          <w:rFonts w:ascii="Arial" w:hAnsi="Arial" w:cs="Arial"/>
          <w:color w:val="000000" w:themeColor="text1"/>
          <w:sz w:val="22"/>
          <w:szCs w:val="22"/>
        </w:rPr>
        <w:t xml:space="preserve">návrh provozního modelu budovy a aktivit (programu) všech zainteresovaných subjektů v budově dle aktuální situace a vývoje projektu, součástí modelu bude předpokládané cenové nastavení příjmů ve vysokém detailu a podrobné struktuře, </w:t>
      </w:r>
      <w:r w:rsidRPr="00207701">
        <w:rPr>
          <w:rStyle w:val="Zdraznnjemn"/>
          <w:rFonts w:ascii="Arial" w:hAnsi="Arial" w:cs="Arial"/>
          <w:color w:val="000000" w:themeColor="text1"/>
          <w:sz w:val="22"/>
          <w:szCs w:val="22"/>
        </w:rPr>
        <w:lastRenderedPageBreak/>
        <w:t>návrh bude obsahovat především výchozí ceny nájemného a platby dalších služeb pro klíčové nájemce</w:t>
      </w:r>
      <w:r w:rsidRPr="00606935">
        <w:rPr>
          <w:rStyle w:val="Zdraznnjemn"/>
          <w:rFonts w:ascii="Arial" w:hAnsi="Arial" w:cs="Arial"/>
          <w:color w:val="000000" w:themeColor="text1"/>
          <w:sz w:val="22"/>
          <w:szCs w:val="22"/>
        </w:rPr>
        <w:t>,</w:t>
      </w:r>
    </w:p>
    <w:p w14:paraId="2EA42AF7" w14:textId="77777777" w:rsidR="00890C04" w:rsidRPr="00606935" w:rsidRDefault="00890C04" w:rsidP="0050226C">
      <w:pPr>
        <w:pStyle w:val="Odstavecseseznamem"/>
        <w:numPr>
          <w:ilvl w:val="0"/>
          <w:numId w:val="8"/>
        </w:numPr>
        <w:spacing w:after="120"/>
        <w:ind w:left="720"/>
        <w:contextualSpacing/>
        <w:jc w:val="both"/>
        <w:rPr>
          <w:rStyle w:val="Zdraznnjemn"/>
          <w:rFonts w:ascii="Arial" w:hAnsi="Arial" w:cs="Arial"/>
          <w:i w:val="0"/>
          <w:iCs w:val="0"/>
          <w:color w:val="000000" w:themeColor="text1"/>
          <w:sz w:val="22"/>
          <w:szCs w:val="22"/>
        </w:rPr>
      </w:pPr>
      <w:r w:rsidRPr="00606935">
        <w:rPr>
          <w:rStyle w:val="Zdraznnjemn"/>
          <w:rFonts w:ascii="Arial" w:hAnsi="Arial" w:cs="Arial"/>
          <w:color w:val="000000" w:themeColor="text1"/>
          <w:sz w:val="22"/>
          <w:szCs w:val="22"/>
        </w:rPr>
        <w:t>návrh vhodného nastavení vztahů vlastník – provozovatel – rezidenční subjekty,</w:t>
      </w:r>
    </w:p>
    <w:p w14:paraId="6B1104E5" w14:textId="77777777" w:rsidR="00890C04" w:rsidRPr="00606935" w:rsidRDefault="00890C04" w:rsidP="0050226C">
      <w:pPr>
        <w:pStyle w:val="Odstavecseseznamem"/>
        <w:numPr>
          <w:ilvl w:val="0"/>
          <w:numId w:val="8"/>
        </w:numPr>
        <w:spacing w:after="120"/>
        <w:ind w:left="720"/>
        <w:contextualSpacing/>
        <w:jc w:val="both"/>
        <w:rPr>
          <w:rStyle w:val="Zdraznnjemn"/>
          <w:rFonts w:ascii="Arial" w:hAnsi="Arial" w:cs="Arial"/>
          <w:i w:val="0"/>
          <w:iCs w:val="0"/>
          <w:color w:val="000000" w:themeColor="text1"/>
          <w:sz w:val="22"/>
          <w:szCs w:val="22"/>
        </w:rPr>
      </w:pPr>
      <w:r w:rsidRPr="00606935">
        <w:rPr>
          <w:rStyle w:val="Zdraznnjemn"/>
          <w:rFonts w:ascii="Arial" w:hAnsi="Arial" w:cs="Arial"/>
          <w:color w:val="000000" w:themeColor="text1"/>
          <w:sz w:val="22"/>
          <w:szCs w:val="22"/>
        </w:rPr>
        <w:t xml:space="preserve">zpracování aktuálního </w:t>
      </w:r>
      <w:r w:rsidRPr="00207701">
        <w:rPr>
          <w:rStyle w:val="Zdraznnjemn"/>
          <w:rFonts w:ascii="Arial" w:hAnsi="Arial" w:cs="Arial"/>
          <w:color w:val="000000" w:themeColor="text1"/>
          <w:sz w:val="22"/>
          <w:szCs w:val="22"/>
        </w:rPr>
        <w:t xml:space="preserve">detailního </w:t>
      </w:r>
      <w:r w:rsidRPr="00606935">
        <w:rPr>
          <w:rStyle w:val="Zdraznnjemn"/>
          <w:rFonts w:ascii="Arial" w:hAnsi="Arial" w:cs="Arial"/>
          <w:color w:val="000000" w:themeColor="text1"/>
          <w:sz w:val="22"/>
          <w:szCs w:val="22"/>
        </w:rPr>
        <w:t>finančního modelu s horizontem cca 30 až 50 let včetně investičního vyhodnocení projektu.</w:t>
      </w:r>
    </w:p>
    <w:p w14:paraId="06F5A3C1" w14:textId="77777777" w:rsidR="00890C04" w:rsidRPr="00606935" w:rsidRDefault="00890C04" w:rsidP="00327901">
      <w:pPr>
        <w:pStyle w:val="Odstavecseseznamem"/>
        <w:spacing w:after="120"/>
        <w:ind w:left="1080"/>
        <w:jc w:val="both"/>
        <w:rPr>
          <w:rStyle w:val="Zdraznnjemn"/>
          <w:rFonts w:ascii="Arial" w:hAnsi="Arial" w:cs="Arial"/>
          <w:i w:val="0"/>
          <w:iCs w:val="0"/>
          <w:color w:val="000000" w:themeColor="text1"/>
          <w:sz w:val="22"/>
          <w:szCs w:val="22"/>
        </w:rPr>
      </w:pPr>
    </w:p>
    <w:p w14:paraId="1897DF95" w14:textId="77777777" w:rsidR="00890C04" w:rsidRPr="00606935" w:rsidRDefault="00890C04" w:rsidP="0050226C">
      <w:pPr>
        <w:pStyle w:val="Odstavecseseznamem"/>
        <w:numPr>
          <w:ilvl w:val="0"/>
          <w:numId w:val="7"/>
        </w:numPr>
        <w:spacing w:after="120"/>
        <w:ind w:left="360"/>
        <w:contextualSpacing/>
        <w:jc w:val="both"/>
        <w:rPr>
          <w:rStyle w:val="Zdraznnjemn"/>
          <w:rFonts w:ascii="Arial" w:hAnsi="Arial" w:cs="Arial"/>
          <w:i w:val="0"/>
          <w:iCs w:val="0"/>
          <w:color w:val="000000" w:themeColor="text1"/>
          <w:sz w:val="22"/>
          <w:szCs w:val="22"/>
        </w:rPr>
      </w:pPr>
      <w:r w:rsidRPr="00606935">
        <w:rPr>
          <w:rStyle w:val="Zdraznnjemn"/>
          <w:rFonts w:ascii="Arial" w:hAnsi="Arial" w:cs="Arial"/>
          <w:color w:val="000000" w:themeColor="text1"/>
          <w:sz w:val="22"/>
          <w:szCs w:val="22"/>
        </w:rPr>
        <w:t>Ověření reálnosti modelu na základě benchmarkingu podobných sálů v Evropě</w:t>
      </w:r>
    </w:p>
    <w:p w14:paraId="15692103" w14:textId="77777777" w:rsidR="00890C04" w:rsidRPr="00606935" w:rsidRDefault="00890C04" w:rsidP="0050226C">
      <w:pPr>
        <w:pStyle w:val="Odstavecseseznamem"/>
        <w:numPr>
          <w:ilvl w:val="0"/>
          <w:numId w:val="8"/>
        </w:numPr>
        <w:spacing w:after="120"/>
        <w:ind w:left="720"/>
        <w:contextualSpacing/>
        <w:jc w:val="both"/>
        <w:rPr>
          <w:rStyle w:val="Zdraznnjemn"/>
          <w:rFonts w:ascii="Arial" w:hAnsi="Arial" w:cs="Arial"/>
          <w:i w:val="0"/>
          <w:iCs w:val="0"/>
          <w:color w:val="000000" w:themeColor="text1"/>
          <w:sz w:val="22"/>
          <w:szCs w:val="22"/>
        </w:rPr>
      </w:pPr>
      <w:r w:rsidRPr="00606935">
        <w:rPr>
          <w:rStyle w:val="Zdraznnjemn"/>
          <w:rFonts w:ascii="Arial" w:hAnsi="Arial" w:cs="Arial"/>
          <w:color w:val="000000" w:themeColor="text1"/>
          <w:sz w:val="22"/>
          <w:szCs w:val="22"/>
        </w:rPr>
        <w:t>zjištění provozních modelů, náplně a vytížení srovnatelných koncertních sálů v Evropě (cca 6 až 8 objektů srovnatelných s Vltavskou filharmonií svojí významností, účelem, kapacitou, velikostí města/aglomerace apod.),</w:t>
      </w:r>
    </w:p>
    <w:p w14:paraId="7D24274F" w14:textId="77777777" w:rsidR="00890C04" w:rsidRPr="00606935" w:rsidRDefault="00890C04" w:rsidP="0050226C">
      <w:pPr>
        <w:pStyle w:val="Odstavecseseznamem"/>
        <w:numPr>
          <w:ilvl w:val="0"/>
          <w:numId w:val="8"/>
        </w:numPr>
        <w:spacing w:after="120"/>
        <w:ind w:left="720"/>
        <w:contextualSpacing/>
        <w:jc w:val="both"/>
        <w:rPr>
          <w:rStyle w:val="Zdraznnjemn"/>
          <w:rFonts w:ascii="Arial" w:hAnsi="Arial" w:cs="Arial"/>
          <w:i w:val="0"/>
          <w:iCs w:val="0"/>
          <w:color w:val="000000" w:themeColor="text1"/>
          <w:sz w:val="22"/>
          <w:szCs w:val="22"/>
        </w:rPr>
      </w:pPr>
      <w:r w:rsidRPr="00606935">
        <w:rPr>
          <w:rStyle w:val="Zdraznnjemn"/>
          <w:rFonts w:ascii="Arial" w:hAnsi="Arial" w:cs="Arial"/>
          <w:color w:val="000000" w:themeColor="text1"/>
          <w:sz w:val="22"/>
          <w:szCs w:val="22"/>
        </w:rPr>
        <w:t>srovnání projektu Vltavské filharmonie se získanými daty podobných budov v Evropě (benchmarking koncertních budov),</w:t>
      </w:r>
    </w:p>
    <w:p w14:paraId="6F04FCE1" w14:textId="77777777" w:rsidR="00890C04" w:rsidRPr="00606935" w:rsidRDefault="00890C04" w:rsidP="0050226C">
      <w:pPr>
        <w:pStyle w:val="Odstavecseseznamem"/>
        <w:numPr>
          <w:ilvl w:val="0"/>
          <w:numId w:val="8"/>
        </w:numPr>
        <w:spacing w:after="120"/>
        <w:ind w:left="720"/>
        <w:contextualSpacing/>
        <w:jc w:val="both"/>
        <w:rPr>
          <w:rStyle w:val="Zdraznnjemn"/>
          <w:rFonts w:ascii="Arial" w:hAnsi="Arial" w:cs="Arial"/>
          <w:i w:val="0"/>
          <w:iCs w:val="0"/>
          <w:color w:val="000000" w:themeColor="text1"/>
          <w:sz w:val="22"/>
          <w:szCs w:val="22"/>
        </w:rPr>
      </w:pPr>
      <w:r w:rsidRPr="00606935">
        <w:rPr>
          <w:rStyle w:val="Zdraznnjemn"/>
          <w:rFonts w:ascii="Arial" w:hAnsi="Arial" w:cs="Arial"/>
          <w:color w:val="000000" w:themeColor="text1"/>
          <w:sz w:val="22"/>
          <w:szCs w:val="22"/>
        </w:rPr>
        <w:t>ověření a případná revize provozního a finančního modelu Vltavské filharmonie dle zjištění z benchmarkingu.</w:t>
      </w:r>
    </w:p>
    <w:p w14:paraId="2D663542" w14:textId="77777777" w:rsidR="00890C04" w:rsidRPr="00606935" w:rsidRDefault="00890C04" w:rsidP="00327901">
      <w:pPr>
        <w:pStyle w:val="Odstavecseseznamem"/>
        <w:spacing w:after="120"/>
        <w:ind w:left="1080"/>
        <w:jc w:val="both"/>
        <w:rPr>
          <w:rStyle w:val="Zdraznnjemn"/>
          <w:rFonts w:ascii="Arial" w:hAnsi="Arial" w:cs="Arial"/>
          <w:i w:val="0"/>
          <w:iCs w:val="0"/>
          <w:color w:val="000000" w:themeColor="text1"/>
          <w:sz w:val="22"/>
          <w:szCs w:val="22"/>
        </w:rPr>
      </w:pPr>
    </w:p>
    <w:p w14:paraId="4515DFA5" w14:textId="77777777" w:rsidR="00890C04" w:rsidRPr="00606935" w:rsidRDefault="00890C04" w:rsidP="0050226C">
      <w:pPr>
        <w:pStyle w:val="Odstavecseseznamem"/>
        <w:numPr>
          <w:ilvl w:val="0"/>
          <w:numId w:val="7"/>
        </w:numPr>
        <w:spacing w:after="120"/>
        <w:ind w:left="360"/>
        <w:contextualSpacing/>
        <w:jc w:val="both"/>
        <w:rPr>
          <w:rStyle w:val="Zdraznnjemn"/>
          <w:rFonts w:ascii="Arial" w:hAnsi="Arial" w:cs="Arial"/>
          <w:i w:val="0"/>
          <w:iCs w:val="0"/>
          <w:color w:val="000000" w:themeColor="text1"/>
          <w:sz w:val="22"/>
          <w:szCs w:val="22"/>
        </w:rPr>
      </w:pPr>
      <w:r w:rsidRPr="00606935">
        <w:rPr>
          <w:rStyle w:val="Zdraznnjemn"/>
          <w:rFonts w:ascii="Arial" w:hAnsi="Arial" w:cs="Arial"/>
          <w:color w:val="000000" w:themeColor="text1"/>
          <w:sz w:val="22"/>
          <w:szCs w:val="22"/>
        </w:rPr>
        <w:t xml:space="preserve">Dopadová analýza projektu </w:t>
      </w:r>
    </w:p>
    <w:p w14:paraId="73319F65" w14:textId="77777777" w:rsidR="00890C04" w:rsidRPr="00606935" w:rsidRDefault="00890C04" w:rsidP="0050226C">
      <w:pPr>
        <w:pStyle w:val="Odstavecseseznamem"/>
        <w:numPr>
          <w:ilvl w:val="0"/>
          <w:numId w:val="8"/>
        </w:numPr>
        <w:spacing w:after="120"/>
        <w:ind w:left="720"/>
        <w:contextualSpacing/>
        <w:jc w:val="both"/>
        <w:rPr>
          <w:rStyle w:val="Zdraznnjemn"/>
          <w:rFonts w:ascii="Arial" w:hAnsi="Arial" w:cs="Arial"/>
          <w:i w:val="0"/>
          <w:iCs w:val="0"/>
          <w:color w:val="000000" w:themeColor="text1"/>
          <w:sz w:val="22"/>
          <w:szCs w:val="22"/>
        </w:rPr>
      </w:pPr>
      <w:r w:rsidRPr="00606935">
        <w:rPr>
          <w:rStyle w:val="Zdraznnjemn"/>
          <w:rFonts w:ascii="Arial" w:hAnsi="Arial" w:cs="Arial"/>
          <w:color w:val="000000" w:themeColor="text1"/>
          <w:sz w:val="22"/>
          <w:szCs w:val="22"/>
        </w:rPr>
        <w:t>dopadová analýza Vltavské filharmonie, ověření reálnosti dle dostupných zahraničních dopadových studií podobných projektů:</w:t>
      </w:r>
    </w:p>
    <w:p w14:paraId="51BCD974" w14:textId="77777777" w:rsidR="00890C04" w:rsidRPr="00606935" w:rsidRDefault="00890C04" w:rsidP="0050226C">
      <w:pPr>
        <w:pStyle w:val="Odstavecseseznamem"/>
        <w:numPr>
          <w:ilvl w:val="1"/>
          <w:numId w:val="8"/>
        </w:numPr>
        <w:spacing w:after="120"/>
        <w:ind w:left="1440"/>
        <w:contextualSpacing/>
        <w:jc w:val="both"/>
        <w:rPr>
          <w:rStyle w:val="Zdraznnjemn"/>
          <w:rFonts w:ascii="Arial" w:hAnsi="Arial" w:cs="Arial"/>
          <w:i w:val="0"/>
          <w:iCs w:val="0"/>
          <w:color w:val="000000" w:themeColor="text1"/>
          <w:sz w:val="22"/>
          <w:szCs w:val="22"/>
        </w:rPr>
      </w:pPr>
      <w:r w:rsidRPr="00606935">
        <w:rPr>
          <w:rStyle w:val="Zdraznnjemn"/>
          <w:rFonts w:ascii="Arial" w:hAnsi="Arial" w:cs="Arial"/>
          <w:color w:val="000000" w:themeColor="text1"/>
          <w:sz w:val="22"/>
          <w:szCs w:val="22"/>
        </w:rPr>
        <w:t>výpočet ekonomických dopadů včetně multiplikačních efektů dle certifikované Metodiky pro výpočet ekonomických dopadů; vypočteny budou ekonomické dopady vyplývající z prvotní investice a 20 let provozu (na základě programu, aktivit, návštěvnosti, rozpočtu a dalších dat v provozním a finančním modelu),</w:t>
      </w:r>
    </w:p>
    <w:p w14:paraId="54EF2968" w14:textId="77777777" w:rsidR="00890C04" w:rsidRPr="00606935" w:rsidRDefault="00890C04" w:rsidP="0050226C">
      <w:pPr>
        <w:pStyle w:val="Odstavecseseznamem"/>
        <w:numPr>
          <w:ilvl w:val="1"/>
          <w:numId w:val="8"/>
        </w:numPr>
        <w:spacing w:after="120"/>
        <w:ind w:left="1440"/>
        <w:contextualSpacing/>
        <w:jc w:val="both"/>
        <w:rPr>
          <w:rStyle w:val="Zdraznnjemn"/>
          <w:rFonts w:ascii="Arial" w:hAnsi="Arial" w:cs="Arial"/>
          <w:i w:val="0"/>
          <w:iCs w:val="0"/>
          <w:color w:val="000000" w:themeColor="text1"/>
          <w:sz w:val="22"/>
          <w:szCs w:val="22"/>
        </w:rPr>
      </w:pPr>
      <w:r w:rsidRPr="00606935">
        <w:rPr>
          <w:rStyle w:val="Zdraznnjemn"/>
          <w:rFonts w:ascii="Arial" w:hAnsi="Arial" w:cs="Arial"/>
          <w:color w:val="000000" w:themeColor="text1"/>
          <w:sz w:val="22"/>
          <w:szCs w:val="22"/>
        </w:rPr>
        <w:t>identifikace a popis neekonomických či obtížně měřitelných dopadů projektu (na prestiž města, kvalitu života místních obyvatel, rozvoj kultury, české hudby a místních orchestrů a dalších subjektů, architekturu Prahy atd.).</w:t>
      </w:r>
    </w:p>
    <w:p w14:paraId="761454B1" w14:textId="77777777" w:rsidR="00890C04" w:rsidRPr="00606935" w:rsidRDefault="00890C04" w:rsidP="00327901">
      <w:pPr>
        <w:pStyle w:val="Nadpis1"/>
        <w:spacing w:before="0" w:line="240" w:lineRule="auto"/>
        <w:jc w:val="both"/>
        <w:rPr>
          <w:rStyle w:val="Zdraznnjemn"/>
          <w:b w:val="0"/>
          <w:i w:val="0"/>
          <w:iCs w:val="0"/>
          <w:color w:val="000000" w:themeColor="text1"/>
          <w:sz w:val="22"/>
          <w:szCs w:val="22"/>
        </w:rPr>
      </w:pPr>
      <w:r w:rsidRPr="00606935">
        <w:rPr>
          <w:rStyle w:val="Zdraznnjemn"/>
          <w:b w:val="0"/>
          <w:color w:val="000000" w:themeColor="text1"/>
          <w:sz w:val="22"/>
          <w:szCs w:val="22"/>
        </w:rPr>
        <w:t xml:space="preserve">Výstupy </w:t>
      </w:r>
      <w:r>
        <w:rPr>
          <w:rStyle w:val="Zdraznnjemn"/>
          <w:b w:val="0"/>
          <w:color w:val="000000" w:themeColor="text1"/>
          <w:sz w:val="22"/>
          <w:szCs w:val="22"/>
        </w:rPr>
        <w:t>Díla</w:t>
      </w:r>
      <w:r w:rsidRPr="00606935">
        <w:rPr>
          <w:rStyle w:val="Zdraznnjemn"/>
          <w:b w:val="0"/>
          <w:color w:val="000000" w:themeColor="text1"/>
          <w:sz w:val="22"/>
          <w:szCs w:val="22"/>
        </w:rPr>
        <w:t>:</w:t>
      </w:r>
    </w:p>
    <w:p w14:paraId="0502094F" w14:textId="77777777" w:rsidR="00890C04" w:rsidRPr="00606935" w:rsidRDefault="00890C04" w:rsidP="00327901">
      <w:pPr>
        <w:numPr>
          <w:ilvl w:val="0"/>
          <w:numId w:val="9"/>
        </w:numPr>
        <w:spacing w:after="120" w:line="240" w:lineRule="auto"/>
        <w:jc w:val="both"/>
        <w:rPr>
          <w:rStyle w:val="Zdraznnjemn"/>
          <w:i w:val="0"/>
          <w:iCs w:val="0"/>
          <w:color w:val="000000" w:themeColor="text1"/>
          <w:sz w:val="22"/>
          <w:szCs w:val="22"/>
        </w:rPr>
      </w:pPr>
      <w:r w:rsidRPr="00606935">
        <w:rPr>
          <w:rStyle w:val="Zdraznnjemn"/>
          <w:color w:val="000000" w:themeColor="text1"/>
          <w:sz w:val="22"/>
          <w:szCs w:val="22"/>
        </w:rPr>
        <w:t xml:space="preserve">Výsledná zpráva – dokument zpracovaný v členění dle kapitol uvedených výše v českém jazyce, v rozsahu min. 30 stran. </w:t>
      </w:r>
    </w:p>
    <w:p w14:paraId="3A2BCAAE" w14:textId="77777777" w:rsidR="00890C04" w:rsidRPr="00606935" w:rsidRDefault="00890C04" w:rsidP="00327901">
      <w:pPr>
        <w:numPr>
          <w:ilvl w:val="0"/>
          <w:numId w:val="9"/>
        </w:numPr>
        <w:spacing w:after="120" w:line="240" w:lineRule="auto"/>
        <w:jc w:val="both"/>
        <w:rPr>
          <w:rStyle w:val="Zdraznnjemn"/>
          <w:i w:val="0"/>
          <w:iCs w:val="0"/>
          <w:color w:val="000000" w:themeColor="text1"/>
          <w:sz w:val="22"/>
          <w:szCs w:val="22"/>
        </w:rPr>
      </w:pPr>
      <w:r w:rsidRPr="00606935">
        <w:rPr>
          <w:rStyle w:val="Zdraznnjemn"/>
          <w:color w:val="000000" w:themeColor="text1"/>
          <w:sz w:val="22"/>
          <w:szCs w:val="22"/>
        </w:rPr>
        <w:t>Manažerské shrnutí – zásadní závěry a výsledky analýzy budou shrnuty přehledně graficky do jednostranného shrnutí.</w:t>
      </w:r>
    </w:p>
    <w:p w14:paraId="3D0B4AC8" w14:textId="77777777" w:rsidR="00890C04" w:rsidRPr="00606935" w:rsidRDefault="00890C04" w:rsidP="00327901">
      <w:pPr>
        <w:numPr>
          <w:ilvl w:val="0"/>
          <w:numId w:val="9"/>
        </w:numPr>
        <w:spacing w:after="120" w:line="240" w:lineRule="auto"/>
        <w:jc w:val="both"/>
        <w:rPr>
          <w:rStyle w:val="Zdraznnjemn"/>
          <w:i w:val="0"/>
          <w:iCs w:val="0"/>
          <w:color w:val="000000" w:themeColor="text1"/>
          <w:sz w:val="22"/>
          <w:szCs w:val="22"/>
        </w:rPr>
      </w:pPr>
      <w:r w:rsidRPr="00606935">
        <w:rPr>
          <w:rStyle w:val="Zdraznnjemn"/>
          <w:color w:val="000000" w:themeColor="text1"/>
          <w:sz w:val="22"/>
          <w:szCs w:val="22"/>
        </w:rPr>
        <w:t xml:space="preserve">Prezentace – zkrácený </w:t>
      </w:r>
      <w:proofErr w:type="gramStart"/>
      <w:r w:rsidRPr="00606935">
        <w:rPr>
          <w:rStyle w:val="Zdraznnjemn"/>
          <w:color w:val="000000" w:themeColor="text1"/>
          <w:sz w:val="22"/>
          <w:szCs w:val="22"/>
        </w:rPr>
        <w:t>výstup - prezentace</w:t>
      </w:r>
      <w:proofErr w:type="gramEnd"/>
      <w:r w:rsidRPr="00606935">
        <w:rPr>
          <w:rStyle w:val="Zdraznnjemn"/>
          <w:color w:val="000000" w:themeColor="text1"/>
          <w:sz w:val="22"/>
          <w:szCs w:val="22"/>
        </w:rPr>
        <w:t xml:space="preserve"> odvozená z výsledné zprávy v českém jazyce, v rozsahu min. 10 stran.</w:t>
      </w:r>
    </w:p>
    <w:p w14:paraId="75409EC3" w14:textId="77777777" w:rsidR="00890C04" w:rsidRPr="00606935" w:rsidRDefault="00890C04" w:rsidP="00327901">
      <w:pPr>
        <w:spacing w:after="120" w:line="240" w:lineRule="auto"/>
        <w:jc w:val="both"/>
        <w:rPr>
          <w:sz w:val="24"/>
          <w:szCs w:val="24"/>
        </w:rPr>
      </w:pPr>
      <w:proofErr w:type="gramStart"/>
      <w:r>
        <w:rPr>
          <w:rStyle w:val="Zdraznnjemn"/>
          <w:color w:val="000000" w:themeColor="text1"/>
          <w:sz w:val="22"/>
          <w:szCs w:val="22"/>
        </w:rPr>
        <w:t>Dílo - d</w:t>
      </w:r>
      <w:r w:rsidRPr="00606935">
        <w:rPr>
          <w:rStyle w:val="Zdraznnjemn"/>
          <w:color w:val="000000" w:themeColor="text1"/>
          <w:sz w:val="22"/>
          <w:szCs w:val="22"/>
        </w:rPr>
        <w:t>okumenty</w:t>
      </w:r>
      <w:proofErr w:type="gramEnd"/>
      <w:r w:rsidRPr="00606935">
        <w:rPr>
          <w:rStyle w:val="Zdraznnjemn"/>
          <w:color w:val="000000" w:themeColor="text1"/>
          <w:sz w:val="22"/>
          <w:szCs w:val="22"/>
        </w:rPr>
        <w:t xml:space="preserve"> budou zpracovány v programu MS Office a předány v elektronické verzi ve formátu</w:t>
      </w:r>
      <w:r>
        <w:rPr>
          <w:rStyle w:val="Zdraznnjemn"/>
          <w:color w:val="000000" w:themeColor="text1"/>
          <w:sz w:val="22"/>
          <w:szCs w:val="22"/>
        </w:rPr>
        <w:t xml:space="preserve"> PDF.</w:t>
      </w:r>
    </w:p>
    <w:p w14:paraId="4B17A350" w14:textId="77777777" w:rsidR="00890C04" w:rsidRPr="00606935" w:rsidRDefault="00890C04" w:rsidP="00327901">
      <w:pPr>
        <w:spacing w:after="120" w:line="240" w:lineRule="auto"/>
        <w:jc w:val="both"/>
        <w:rPr>
          <w:sz w:val="24"/>
          <w:szCs w:val="24"/>
        </w:rPr>
      </w:pPr>
    </w:p>
    <w:p w14:paraId="64E1134B" w14:textId="77777777" w:rsidR="00890C04" w:rsidRPr="00606935" w:rsidRDefault="00890C04" w:rsidP="00327901">
      <w:pPr>
        <w:numPr>
          <w:ilvl w:val="0"/>
          <w:numId w:val="2"/>
        </w:numPr>
        <w:spacing w:after="120" w:line="240" w:lineRule="auto"/>
        <w:ind w:left="0" w:firstLine="0"/>
        <w:jc w:val="both"/>
        <w:rPr>
          <w:sz w:val="22"/>
          <w:szCs w:val="22"/>
        </w:rPr>
      </w:pPr>
      <w:r w:rsidRPr="00606935">
        <w:rPr>
          <w:sz w:val="22"/>
          <w:szCs w:val="22"/>
          <w:u w:val="single"/>
        </w:rPr>
        <w:t>Cena předmětu plnění</w:t>
      </w:r>
      <w:r w:rsidRPr="00606935">
        <w:rPr>
          <w:sz w:val="22"/>
          <w:szCs w:val="22"/>
        </w:rPr>
        <w:t xml:space="preserve">: </w:t>
      </w:r>
    </w:p>
    <w:p w14:paraId="29AE1F48" w14:textId="5884BB06" w:rsidR="00890C04" w:rsidRPr="00606935" w:rsidRDefault="00890C04" w:rsidP="00327901">
      <w:pPr>
        <w:tabs>
          <w:tab w:val="left" w:pos="284"/>
        </w:tabs>
        <w:spacing w:after="120" w:line="240" w:lineRule="auto"/>
        <w:ind w:left="284"/>
        <w:jc w:val="both"/>
        <w:rPr>
          <w:sz w:val="22"/>
          <w:szCs w:val="22"/>
        </w:rPr>
      </w:pPr>
      <w:r w:rsidRPr="00606935">
        <w:rPr>
          <w:sz w:val="22"/>
          <w:szCs w:val="22"/>
        </w:rPr>
        <w:t xml:space="preserve">Celková cena za </w:t>
      </w:r>
      <w:r>
        <w:rPr>
          <w:sz w:val="22"/>
          <w:szCs w:val="22"/>
        </w:rPr>
        <w:t>dílo</w:t>
      </w:r>
      <w:r w:rsidRPr="00606935">
        <w:rPr>
          <w:sz w:val="22"/>
          <w:szCs w:val="22"/>
        </w:rPr>
        <w:t xml:space="preserve"> dle čl. 1 této smlouvy činí </w:t>
      </w:r>
      <w:r w:rsidR="00AB22B9" w:rsidRPr="00AB22B9">
        <w:rPr>
          <w:sz w:val="22"/>
          <w:szCs w:val="22"/>
        </w:rPr>
        <w:t>575.000,-</w:t>
      </w:r>
      <w:r w:rsidRPr="00AB22B9">
        <w:rPr>
          <w:sz w:val="22"/>
          <w:szCs w:val="22"/>
        </w:rPr>
        <w:t xml:space="preserve"> Kč</w:t>
      </w:r>
      <w:r w:rsidRPr="00606935">
        <w:rPr>
          <w:sz w:val="22"/>
          <w:szCs w:val="22"/>
        </w:rPr>
        <w:t xml:space="preserve"> bez DPH, tj. celkem </w:t>
      </w:r>
      <w:proofErr w:type="gramStart"/>
      <w:r w:rsidR="00AB22B9">
        <w:rPr>
          <w:sz w:val="22"/>
          <w:szCs w:val="22"/>
        </w:rPr>
        <w:t>695.750,-</w:t>
      </w:r>
      <w:proofErr w:type="gramEnd"/>
      <w:r w:rsidRPr="00606935">
        <w:rPr>
          <w:sz w:val="22"/>
          <w:szCs w:val="22"/>
        </w:rPr>
        <w:t xml:space="preserve"> Kč včetně DPH.</w:t>
      </w:r>
    </w:p>
    <w:p w14:paraId="17F2CA60" w14:textId="77777777" w:rsidR="00890C04" w:rsidRPr="00606935" w:rsidRDefault="00890C04" w:rsidP="00327901">
      <w:pPr>
        <w:tabs>
          <w:tab w:val="left" w:pos="284"/>
        </w:tabs>
        <w:spacing w:after="120" w:line="240" w:lineRule="auto"/>
        <w:ind w:left="284"/>
        <w:jc w:val="both"/>
        <w:rPr>
          <w:sz w:val="22"/>
          <w:szCs w:val="22"/>
        </w:rPr>
      </w:pPr>
      <w:r w:rsidRPr="00606935">
        <w:rPr>
          <w:sz w:val="22"/>
          <w:szCs w:val="22"/>
        </w:rPr>
        <w:t xml:space="preserve">Cena je stanovena jako maximální a zahrnuje veškeré náklady spojené s provedením předmětu </w:t>
      </w:r>
      <w:r>
        <w:rPr>
          <w:sz w:val="22"/>
          <w:szCs w:val="22"/>
        </w:rPr>
        <w:t>díla</w:t>
      </w:r>
      <w:r w:rsidRPr="00606935">
        <w:rPr>
          <w:sz w:val="22"/>
          <w:szCs w:val="22"/>
        </w:rPr>
        <w:t>.</w:t>
      </w:r>
    </w:p>
    <w:p w14:paraId="584A87B6" w14:textId="77777777" w:rsidR="00890C04" w:rsidRDefault="00890C04" w:rsidP="00327901">
      <w:pPr>
        <w:tabs>
          <w:tab w:val="left" w:pos="284"/>
        </w:tabs>
        <w:spacing w:after="120" w:line="240" w:lineRule="auto"/>
        <w:ind w:left="284"/>
        <w:jc w:val="both"/>
        <w:rPr>
          <w:sz w:val="22"/>
          <w:szCs w:val="22"/>
        </w:rPr>
      </w:pPr>
    </w:p>
    <w:p w14:paraId="3E452BDB" w14:textId="77777777" w:rsidR="00890C04" w:rsidRPr="00606935" w:rsidRDefault="00890C04" w:rsidP="00327901">
      <w:pPr>
        <w:numPr>
          <w:ilvl w:val="0"/>
          <w:numId w:val="2"/>
        </w:numPr>
        <w:spacing w:after="120" w:line="240" w:lineRule="auto"/>
        <w:ind w:left="0" w:firstLine="0"/>
        <w:jc w:val="both"/>
        <w:rPr>
          <w:sz w:val="22"/>
          <w:szCs w:val="22"/>
          <w:u w:val="single"/>
        </w:rPr>
      </w:pPr>
      <w:r w:rsidRPr="00606935">
        <w:rPr>
          <w:sz w:val="22"/>
          <w:szCs w:val="22"/>
          <w:u w:val="single"/>
        </w:rPr>
        <w:t>Doba plnění</w:t>
      </w:r>
      <w:r w:rsidRPr="00606935">
        <w:rPr>
          <w:sz w:val="22"/>
          <w:szCs w:val="22"/>
        </w:rPr>
        <w:t>:</w:t>
      </w:r>
    </w:p>
    <w:p w14:paraId="7EB0491F" w14:textId="77777777" w:rsidR="00890C04" w:rsidRPr="00606935" w:rsidRDefault="00890C04" w:rsidP="00327901">
      <w:pPr>
        <w:numPr>
          <w:ilvl w:val="0"/>
          <w:numId w:val="10"/>
        </w:numPr>
        <w:pBdr>
          <w:top w:val="nil"/>
          <w:left w:val="nil"/>
          <w:bottom w:val="nil"/>
          <w:right w:val="nil"/>
          <w:between w:val="nil"/>
        </w:pBdr>
        <w:spacing w:after="120" w:line="240" w:lineRule="auto"/>
        <w:jc w:val="both"/>
        <w:rPr>
          <w:color w:val="000000"/>
          <w:sz w:val="22"/>
          <w:szCs w:val="22"/>
        </w:rPr>
      </w:pPr>
      <w:r w:rsidRPr="00606935">
        <w:rPr>
          <w:color w:val="000000"/>
          <w:sz w:val="22"/>
          <w:szCs w:val="22"/>
        </w:rPr>
        <w:t>Smlouva je uzavřena na dobu určitou, a to do 31. 1</w:t>
      </w:r>
      <w:r>
        <w:rPr>
          <w:color w:val="000000"/>
          <w:sz w:val="22"/>
          <w:szCs w:val="22"/>
        </w:rPr>
        <w:t>2</w:t>
      </w:r>
      <w:r w:rsidRPr="00606935">
        <w:rPr>
          <w:color w:val="000000"/>
          <w:sz w:val="22"/>
          <w:szCs w:val="22"/>
        </w:rPr>
        <w:t>. 202</w:t>
      </w:r>
      <w:r>
        <w:rPr>
          <w:color w:val="000000"/>
          <w:sz w:val="22"/>
          <w:szCs w:val="22"/>
        </w:rPr>
        <w:t>4</w:t>
      </w:r>
      <w:r w:rsidRPr="00606935">
        <w:rPr>
          <w:color w:val="000000"/>
          <w:sz w:val="22"/>
          <w:szCs w:val="22"/>
        </w:rPr>
        <w:t xml:space="preserve">. </w:t>
      </w:r>
    </w:p>
    <w:p w14:paraId="4BF21EED" w14:textId="77777777" w:rsidR="00890C04" w:rsidRPr="00606935" w:rsidRDefault="00890C04" w:rsidP="00327901">
      <w:pPr>
        <w:numPr>
          <w:ilvl w:val="0"/>
          <w:numId w:val="10"/>
        </w:numPr>
        <w:pBdr>
          <w:top w:val="nil"/>
          <w:left w:val="nil"/>
          <w:bottom w:val="nil"/>
          <w:right w:val="nil"/>
          <w:between w:val="nil"/>
        </w:pBdr>
        <w:spacing w:after="120" w:line="240" w:lineRule="auto"/>
        <w:jc w:val="both"/>
        <w:rPr>
          <w:color w:val="000000"/>
          <w:sz w:val="22"/>
          <w:szCs w:val="22"/>
        </w:rPr>
      </w:pPr>
      <w:r w:rsidRPr="00606935">
        <w:rPr>
          <w:color w:val="000000"/>
          <w:sz w:val="22"/>
          <w:szCs w:val="22"/>
        </w:rPr>
        <w:lastRenderedPageBreak/>
        <w:t xml:space="preserve">Splnění </w:t>
      </w:r>
      <w:r>
        <w:rPr>
          <w:color w:val="000000"/>
          <w:sz w:val="22"/>
          <w:szCs w:val="22"/>
        </w:rPr>
        <w:t>předmětu díla / převzetí díla</w:t>
      </w:r>
      <w:r w:rsidRPr="00606935">
        <w:rPr>
          <w:color w:val="000000"/>
          <w:sz w:val="22"/>
          <w:szCs w:val="22"/>
        </w:rPr>
        <w:t xml:space="preserve"> </w:t>
      </w:r>
      <w:r>
        <w:rPr>
          <w:color w:val="000000"/>
          <w:sz w:val="22"/>
          <w:szCs w:val="22"/>
        </w:rPr>
        <w:t xml:space="preserve">musí být </w:t>
      </w:r>
      <w:r w:rsidRPr="00606935">
        <w:rPr>
          <w:color w:val="000000"/>
          <w:sz w:val="22"/>
          <w:szCs w:val="22"/>
        </w:rPr>
        <w:t xml:space="preserve">Objednatelem potvrzeno, přičemž </w:t>
      </w:r>
      <w:r>
        <w:rPr>
          <w:color w:val="000000"/>
          <w:sz w:val="22"/>
          <w:szCs w:val="22"/>
        </w:rPr>
        <w:t xml:space="preserve">toto </w:t>
      </w:r>
      <w:r w:rsidRPr="00606935">
        <w:rPr>
          <w:color w:val="000000"/>
          <w:sz w:val="22"/>
          <w:szCs w:val="22"/>
        </w:rPr>
        <w:t>potvrzení Objednatele je podkladem pro fakturaci</w:t>
      </w:r>
      <w:r>
        <w:rPr>
          <w:color w:val="000000"/>
          <w:sz w:val="22"/>
          <w:szCs w:val="22"/>
        </w:rPr>
        <w:t xml:space="preserve"> (potvrzení může být vytvořeno jak v písemné, tak v elektronické podobě)</w:t>
      </w:r>
      <w:r w:rsidRPr="00606935">
        <w:rPr>
          <w:color w:val="000000"/>
          <w:sz w:val="22"/>
          <w:szCs w:val="22"/>
        </w:rPr>
        <w:t xml:space="preserve">. K předanému výstupu se Objednatel zavazuje vyjádřit nejpozději do 5 pracovních dnů od jeho předání. Objednatel je oprávněn výstup písemně odmítnout a vrátit k dopracování v případě, že výstup nesplňuje zadání. Nevyjádří-li se Objednatel k předanému výstupu ve lhůtě 3 pracovních dnů, není Dodavatel v prodlení s dokončením díla. </w:t>
      </w:r>
    </w:p>
    <w:p w14:paraId="22993CE5" w14:textId="77777777" w:rsidR="00890C04" w:rsidRPr="00606935" w:rsidRDefault="00890C04" w:rsidP="00327901">
      <w:pPr>
        <w:numPr>
          <w:ilvl w:val="0"/>
          <w:numId w:val="10"/>
        </w:numPr>
        <w:pBdr>
          <w:top w:val="nil"/>
          <w:left w:val="nil"/>
          <w:bottom w:val="nil"/>
          <w:right w:val="nil"/>
          <w:between w:val="nil"/>
        </w:pBdr>
        <w:spacing w:after="120" w:line="240" w:lineRule="auto"/>
        <w:jc w:val="both"/>
        <w:rPr>
          <w:rFonts w:eastAsia="Times New Roman"/>
          <w:color w:val="000000"/>
          <w:sz w:val="22"/>
          <w:szCs w:val="22"/>
        </w:rPr>
      </w:pPr>
      <w:r w:rsidRPr="00606935">
        <w:rPr>
          <w:color w:val="000000"/>
          <w:sz w:val="22"/>
          <w:szCs w:val="22"/>
        </w:rPr>
        <w:t xml:space="preserve">V případě prodlení Dodavatele se splněním </w:t>
      </w:r>
      <w:r>
        <w:rPr>
          <w:color w:val="000000"/>
          <w:sz w:val="22"/>
          <w:szCs w:val="22"/>
        </w:rPr>
        <w:t>Díla</w:t>
      </w:r>
      <w:r w:rsidRPr="00606935">
        <w:rPr>
          <w:color w:val="000000"/>
          <w:sz w:val="22"/>
          <w:szCs w:val="22"/>
        </w:rPr>
        <w:t xml:space="preserve"> je Dodavatel povinen uhradit smluvní pokutu ve výši </w:t>
      </w:r>
      <w:r>
        <w:rPr>
          <w:color w:val="000000"/>
          <w:sz w:val="22"/>
          <w:szCs w:val="22"/>
        </w:rPr>
        <w:t>1 ‰ z ceny díla</w:t>
      </w:r>
      <w:r w:rsidRPr="00606935">
        <w:rPr>
          <w:color w:val="000000"/>
          <w:sz w:val="22"/>
          <w:szCs w:val="22"/>
        </w:rPr>
        <w:t xml:space="preserve"> za každý den prodlení. </w:t>
      </w:r>
    </w:p>
    <w:p w14:paraId="6BC1EC03" w14:textId="77777777" w:rsidR="00890C04" w:rsidRPr="00606935" w:rsidRDefault="00890C04" w:rsidP="00327901">
      <w:pPr>
        <w:spacing w:after="120" w:line="240" w:lineRule="auto"/>
        <w:ind w:left="284"/>
        <w:jc w:val="both"/>
        <w:rPr>
          <w:sz w:val="22"/>
          <w:szCs w:val="22"/>
        </w:rPr>
      </w:pPr>
    </w:p>
    <w:p w14:paraId="09883298" w14:textId="77777777" w:rsidR="00890C04" w:rsidRPr="00606935" w:rsidRDefault="00890C04" w:rsidP="00327901">
      <w:pPr>
        <w:numPr>
          <w:ilvl w:val="0"/>
          <w:numId w:val="2"/>
        </w:numPr>
        <w:tabs>
          <w:tab w:val="left" w:pos="284"/>
        </w:tabs>
        <w:spacing w:after="120" w:line="240" w:lineRule="auto"/>
        <w:ind w:left="0" w:firstLine="0"/>
        <w:jc w:val="both"/>
        <w:rPr>
          <w:sz w:val="22"/>
          <w:szCs w:val="22"/>
        </w:rPr>
      </w:pPr>
      <w:r w:rsidRPr="00606935">
        <w:rPr>
          <w:sz w:val="22"/>
          <w:szCs w:val="22"/>
          <w:u w:val="single"/>
        </w:rPr>
        <w:t>Platební podmínky</w:t>
      </w:r>
      <w:r w:rsidRPr="00606935">
        <w:rPr>
          <w:sz w:val="22"/>
          <w:szCs w:val="22"/>
        </w:rPr>
        <w:t>: </w:t>
      </w:r>
    </w:p>
    <w:p w14:paraId="49099C4D" w14:textId="77777777" w:rsidR="00890C04" w:rsidRPr="00C07B2B" w:rsidRDefault="00890C04" w:rsidP="0050226C">
      <w:pPr>
        <w:numPr>
          <w:ilvl w:val="0"/>
          <w:numId w:val="12"/>
        </w:numPr>
        <w:pBdr>
          <w:top w:val="nil"/>
          <w:left w:val="nil"/>
          <w:bottom w:val="nil"/>
          <w:right w:val="nil"/>
          <w:between w:val="nil"/>
        </w:pBdr>
        <w:spacing w:after="120" w:line="240" w:lineRule="auto"/>
        <w:jc w:val="both"/>
        <w:rPr>
          <w:color w:val="000000"/>
          <w:sz w:val="22"/>
          <w:szCs w:val="22"/>
        </w:rPr>
      </w:pPr>
      <w:r w:rsidRPr="00C07B2B">
        <w:rPr>
          <w:color w:val="000000"/>
          <w:sz w:val="22"/>
          <w:szCs w:val="22"/>
        </w:rPr>
        <w:t>Cena za předmětné plnění bude účtována Objednateli po předání díla.</w:t>
      </w:r>
    </w:p>
    <w:p w14:paraId="10BE20D3" w14:textId="77777777" w:rsidR="00890C04" w:rsidRPr="00C07B2B" w:rsidRDefault="00890C04" w:rsidP="0050226C">
      <w:pPr>
        <w:numPr>
          <w:ilvl w:val="0"/>
          <w:numId w:val="12"/>
        </w:numPr>
        <w:pBdr>
          <w:top w:val="nil"/>
          <w:left w:val="nil"/>
          <w:bottom w:val="nil"/>
          <w:right w:val="nil"/>
          <w:between w:val="nil"/>
        </w:pBdr>
        <w:spacing w:after="120" w:line="240" w:lineRule="auto"/>
        <w:jc w:val="both"/>
        <w:rPr>
          <w:color w:val="000000"/>
          <w:sz w:val="22"/>
          <w:szCs w:val="22"/>
        </w:rPr>
      </w:pPr>
      <w:r w:rsidRPr="00C07B2B">
        <w:rPr>
          <w:color w:val="000000"/>
          <w:sz w:val="22"/>
          <w:szCs w:val="22"/>
        </w:rPr>
        <w:t>Cena dle čl. 4 odst. 1 výše bude hrazena na základě vystaveného daňového dokladu (faktury). Faktura musí být vystavena nejpozději do 30 dnů po písemném schválení poskytnutých služeb.  </w:t>
      </w:r>
    </w:p>
    <w:p w14:paraId="68FDF2E0" w14:textId="77777777" w:rsidR="00890C04" w:rsidRPr="00C07B2B" w:rsidRDefault="00890C04" w:rsidP="0050226C">
      <w:pPr>
        <w:numPr>
          <w:ilvl w:val="0"/>
          <w:numId w:val="12"/>
        </w:numPr>
        <w:pBdr>
          <w:top w:val="nil"/>
          <w:left w:val="nil"/>
          <w:bottom w:val="nil"/>
          <w:right w:val="nil"/>
          <w:between w:val="nil"/>
        </w:pBdr>
        <w:spacing w:after="120" w:line="240" w:lineRule="auto"/>
        <w:jc w:val="both"/>
        <w:rPr>
          <w:color w:val="000000"/>
          <w:sz w:val="22"/>
          <w:szCs w:val="22"/>
        </w:rPr>
      </w:pPr>
      <w:r w:rsidRPr="00C07B2B">
        <w:rPr>
          <w:color w:val="000000"/>
          <w:sz w:val="22"/>
          <w:szCs w:val="22"/>
        </w:rPr>
        <w:t>Faktura bude vystavena na adresu sídla Objednatele uvedenou v záhlaví smlouvy. </w:t>
      </w:r>
    </w:p>
    <w:p w14:paraId="715B6C5D" w14:textId="7BA6A09E" w:rsidR="00890C04" w:rsidRPr="00C07B2B" w:rsidRDefault="00890C04" w:rsidP="0050226C">
      <w:pPr>
        <w:numPr>
          <w:ilvl w:val="0"/>
          <w:numId w:val="12"/>
        </w:numPr>
        <w:pBdr>
          <w:top w:val="nil"/>
          <w:left w:val="nil"/>
          <w:bottom w:val="nil"/>
          <w:right w:val="nil"/>
          <w:between w:val="nil"/>
        </w:pBdr>
        <w:spacing w:after="120" w:line="240" w:lineRule="auto"/>
        <w:jc w:val="both"/>
        <w:rPr>
          <w:color w:val="000000"/>
          <w:sz w:val="22"/>
          <w:szCs w:val="22"/>
        </w:rPr>
      </w:pPr>
      <w:r w:rsidRPr="00C07B2B">
        <w:rPr>
          <w:color w:val="000000"/>
          <w:sz w:val="22"/>
          <w:szCs w:val="22"/>
        </w:rPr>
        <w:t xml:space="preserve">Faktura bude doručena na adresu sídla Objednatele nebo elektronicky na emailovou adresu kontaktní osoby Objednatele – </w:t>
      </w:r>
      <w:r w:rsidR="00AB22B9">
        <w:rPr>
          <w:color w:val="000000"/>
          <w:sz w:val="22"/>
          <w:szCs w:val="22"/>
        </w:rPr>
        <w:t>XXXX</w:t>
      </w:r>
    </w:p>
    <w:p w14:paraId="5B5928B0" w14:textId="77777777" w:rsidR="00890C04" w:rsidRPr="00C07B2B" w:rsidRDefault="00890C04" w:rsidP="0050226C">
      <w:pPr>
        <w:numPr>
          <w:ilvl w:val="0"/>
          <w:numId w:val="12"/>
        </w:numPr>
        <w:pBdr>
          <w:top w:val="nil"/>
          <w:left w:val="nil"/>
          <w:bottom w:val="nil"/>
          <w:right w:val="nil"/>
          <w:between w:val="nil"/>
        </w:pBdr>
        <w:spacing w:after="120" w:line="240" w:lineRule="auto"/>
        <w:jc w:val="both"/>
        <w:rPr>
          <w:color w:val="000000"/>
          <w:sz w:val="22"/>
          <w:szCs w:val="22"/>
        </w:rPr>
      </w:pPr>
      <w:r w:rsidRPr="00C07B2B">
        <w:rPr>
          <w:color w:val="000000"/>
          <w:sz w:val="22"/>
          <w:szCs w:val="22"/>
        </w:rPr>
        <w:t>Splatnost faktury bude stanovena na 21 dnů ode dne doručení faktury Objednateli. </w:t>
      </w:r>
    </w:p>
    <w:p w14:paraId="067AE05A" w14:textId="77777777" w:rsidR="00890C04" w:rsidRPr="00C07B2B" w:rsidRDefault="00890C04" w:rsidP="0050226C">
      <w:pPr>
        <w:numPr>
          <w:ilvl w:val="0"/>
          <w:numId w:val="12"/>
        </w:numPr>
        <w:pBdr>
          <w:top w:val="nil"/>
          <w:left w:val="nil"/>
          <w:bottom w:val="nil"/>
          <w:right w:val="nil"/>
          <w:between w:val="nil"/>
        </w:pBdr>
        <w:spacing w:after="120" w:line="240" w:lineRule="auto"/>
        <w:jc w:val="both"/>
        <w:rPr>
          <w:color w:val="000000"/>
          <w:sz w:val="22"/>
          <w:szCs w:val="22"/>
        </w:rPr>
      </w:pPr>
      <w:r w:rsidRPr="00C07B2B">
        <w:rPr>
          <w:color w:val="000000"/>
          <w:sz w:val="22"/>
          <w:szCs w:val="22"/>
        </w:rPr>
        <w:t>Vystavená faktura musí mít veškeré náležitosti daňového dokladu ve smyslu zákona č. 235/2004 Sb., o dani z přidané hodnoty, ve znění pozdějších předpisů, a musí obsahovat minimálně tyto údaje: </w:t>
      </w:r>
    </w:p>
    <w:p w14:paraId="32FD8C33" w14:textId="77777777" w:rsidR="00890C04" w:rsidRPr="00C07B2B" w:rsidRDefault="00890C04" w:rsidP="00327901">
      <w:pPr>
        <w:numPr>
          <w:ilvl w:val="1"/>
          <w:numId w:val="6"/>
        </w:numPr>
        <w:pBdr>
          <w:top w:val="nil"/>
          <w:left w:val="nil"/>
          <w:bottom w:val="nil"/>
          <w:right w:val="nil"/>
          <w:between w:val="nil"/>
        </w:pBdr>
        <w:spacing w:after="120" w:line="240" w:lineRule="auto"/>
        <w:ind w:left="1276" w:hanging="357"/>
        <w:jc w:val="both"/>
        <w:rPr>
          <w:i/>
          <w:iCs/>
          <w:color w:val="000000"/>
          <w:sz w:val="22"/>
          <w:szCs w:val="22"/>
        </w:rPr>
      </w:pPr>
      <w:r w:rsidRPr="00C07B2B">
        <w:rPr>
          <w:i/>
          <w:iCs/>
          <w:color w:val="000000"/>
          <w:sz w:val="22"/>
          <w:szCs w:val="22"/>
        </w:rPr>
        <w:t>označení Objednatele a Dodavatele, jejich sídla, jejich IČO a DIČ, bankovní spojení a údaj o zápisu v obchodním, živnostenském nebo obdobném rejstříku včetně spisové značky, </w:t>
      </w:r>
    </w:p>
    <w:p w14:paraId="43F86083" w14:textId="77777777" w:rsidR="00890C04" w:rsidRPr="00C07B2B" w:rsidRDefault="00890C04" w:rsidP="00327901">
      <w:pPr>
        <w:numPr>
          <w:ilvl w:val="1"/>
          <w:numId w:val="6"/>
        </w:numPr>
        <w:pBdr>
          <w:top w:val="nil"/>
          <w:left w:val="nil"/>
          <w:bottom w:val="nil"/>
          <w:right w:val="nil"/>
          <w:between w:val="nil"/>
        </w:pBdr>
        <w:spacing w:after="120" w:line="240" w:lineRule="auto"/>
        <w:ind w:left="1276" w:hanging="357"/>
        <w:jc w:val="both"/>
        <w:rPr>
          <w:i/>
          <w:iCs/>
          <w:color w:val="000000"/>
          <w:sz w:val="22"/>
          <w:szCs w:val="22"/>
        </w:rPr>
      </w:pPr>
      <w:r w:rsidRPr="00C07B2B">
        <w:rPr>
          <w:i/>
          <w:iCs/>
          <w:color w:val="000000"/>
          <w:sz w:val="22"/>
          <w:szCs w:val="22"/>
        </w:rPr>
        <w:t>předmět a číslo smlouvy, </w:t>
      </w:r>
    </w:p>
    <w:p w14:paraId="2A9B4F38" w14:textId="77777777" w:rsidR="00890C04" w:rsidRPr="00C07B2B" w:rsidRDefault="00890C04" w:rsidP="00327901">
      <w:pPr>
        <w:numPr>
          <w:ilvl w:val="1"/>
          <w:numId w:val="6"/>
        </w:numPr>
        <w:pBdr>
          <w:top w:val="nil"/>
          <w:left w:val="nil"/>
          <w:bottom w:val="nil"/>
          <w:right w:val="nil"/>
          <w:between w:val="nil"/>
        </w:pBdr>
        <w:spacing w:after="120" w:line="240" w:lineRule="auto"/>
        <w:ind w:left="1276" w:hanging="357"/>
        <w:jc w:val="both"/>
        <w:rPr>
          <w:i/>
          <w:iCs/>
          <w:color w:val="000000"/>
          <w:sz w:val="22"/>
          <w:szCs w:val="22"/>
        </w:rPr>
      </w:pPr>
      <w:r w:rsidRPr="00C07B2B">
        <w:rPr>
          <w:i/>
          <w:iCs/>
          <w:color w:val="000000"/>
          <w:sz w:val="22"/>
          <w:szCs w:val="22"/>
        </w:rPr>
        <w:t>číslo faktury, den vystavení faktury, datum splatnosti, den uskutečnění plnění a fakturovanou částku, </w:t>
      </w:r>
    </w:p>
    <w:p w14:paraId="233AD1B7" w14:textId="77777777" w:rsidR="00890C04" w:rsidRPr="00C07B2B" w:rsidRDefault="00890C04" w:rsidP="00327901">
      <w:pPr>
        <w:numPr>
          <w:ilvl w:val="1"/>
          <w:numId w:val="6"/>
        </w:numPr>
        <w:pBdr>
          <w:top w:val="nil"/>
          <w:left w:val="nil"/>
          <w:bottom w:val="nil"/>
          <w:right w:val="nil"/>
          <w:between w:val="nil"/>
        </w:pBdr>
        <w:spacing w:after="120" w:line="240" w:lineRule="auto"/>
        <w:ind w:left="1276" w:hanging="357"/>
        <w:jc w:val="both"/>
        <w:rPr>
          <w:i/>
          <w:iCs/>
          <w:color w:val="000000"/>
          <w:sz w:val="22"/>
          <w:szCs w:val="22"/>
        </w:rPr>
      </w:pPr>
      <w:r w:rsidRPr="00C07B2B">
        <w:rPr>
          <w:i/>
          <w:iCs/>
          <w:color w:val="000000"/>
          <w:sz w:val="22"/>
          <w:szCs w:val="22"/>
        </w:rPr>
        <w:t>základ dané (DPH), sazbu daně a její výši, razítko a podpis oprávněné osoby Dodavatele, stvrzující oprávněnost a formální a věcnou správnost faktury. </w:t>
      </w:r>
    </w:p>
    <w:p w14:paraId="228C2011" w14:textId="77777777" w:rsidR="00890C04" w:rsidRPr="00606935" w:rsidRDefault="00890C04" w:rsidP="0050226C">
      <w:pPr>
        <w:numPr>
          <w:ilvl w:val="0"/>
          <w:numId w:val="12"/>
        </w:numPr>
        <w:pBdr>
          <w:top w:val="nil"/>
          <w:left w:val="nil"/>
          <w:bottom w:val="nil"/>
          <w:right w:val="nil"/>
          <w:between w:val="nil"/>
        </w:pBdr>
        <w:spacing w:after="120" w:line="240" w:lineRule="auto"/>
        <w:jc w:val="both"/>
        <w:rPr>
          <w:color w:val="000000"/>
          <w:sz w:val="22"/>
          <w:szCs w:val="22"/>
        </w:rPr>
      </w:pPr>
      <w:r w:rsidRPr="00606935">
        <w:rPr>
          <w:color w:val="000000"/>
          <w:sz w:val="22"/>
          <w:szCs w:val="22"/>
        </w:rPr>
        <w:t>V případě, že faktura bude obsahovat nesprávné údaje nebo nebude obsahovat právními předpisy vyžadované údaje, je Objednatel oprávněn fakturu vrátit Dodavateli k opravě.  </w:t>
      </w:r>
    </w:p>
    <w:p w14:paraId="74B6E3B2" w14:textId="77777777" w:rsidR="00890C04" w:rsidRPr="00606935" w:rsidRDefault="00890C04" w:rsidP="0050226C">
      <w:pPr>
        <w:numPr>
          <w:ilvl w:val="0"/>
          <w:numId w:val="12"/>
        </w:numPr>
        <w:pBdr>
          <w:top w:val="nil"/>
          <w:left w:val="nil"/>
          <w:bottom w:val="nil"/>
          <w:right w:val="nil"/>
          <w:between w:val="nil"/>
        </w:pBdr>
        <w:spacing w:after="120" w:line="240" w:lineRule="auto"/>
        <w:jc w:val="both"/>
        <w:rPr>
          <w:color w:val="000000"/>
          <w:sz w:val="22"/>
          <w:szCs w:val="22"/>
        </w:rPr>
      </w:pPr>
      <w:r w:rsidRPr="00606935">
        <w:rPr>
          <w:color w:val="000000"/>
          <w:sz w:val="22"/>
          <w:szCs w:val="22"/>
        </w:rPr>
        <w:t>Objednatel uhradí cenu za předmět plnění bankovním převodem na účet Dodavatele, vedený u banky v České republice, specifikovaný v této smlouvě. Ke splnění závazku Objednatele dojde odepsáním částky z účtu Objednatele. </w:t>
      </w:r>
    </w:p>
    <w:p w14:paraId="274A145C" w14:textId="77777777" w:rsidR="00890C04" w:rsidRDefault="00890C04" w:rsidP="00327901">
      <w:pPr>
        <w:pBdr>
          <w:top w:val="nil"/>
          <w:left w:val="nil"/>
          <w:bottom w:val="nil"/>
          <w:right w:val="nil"/>
          <w:between w:val="nil"/>
        </w:pBdr>
        <w:spacing w:after="120" w:line="240" w:lineRule="auto"/>
        <w:ind w:left="720"/>
        <w:jc w:val="both"/>
        <w:rPr>
          <w:color w:val="000000"/>
          <w:sz w:val="22"/>
          <w:szCs w:val="22"/>
        </w:rPr>
      </w:pPr>
    </w:p>
    <w:p w14:paraId="5FFBC817" w14:textId="77777777" w:rsidR="00890C04" w:rsidRPr="00C07B2B" w:rsidRDefault="00890C04" w:rsidP="00327901">
      <w:pPr>
        <w:numPr>
          <w:ilvl w:val="0"/>
          <w:numId w:val="2"/>
        </w:numPr>
        <w:tabs>
          <w:tab w:val="left" w:pos="284"/>
        </w:tabs>
        <w:spacing w:after="120" w:line="240" w:lineRule="auto"/>
        <w:ind w:left="0" w:firstLine="0"/>
        <w:jc w:val="both"/>
        <w:rPr>
          <w:sz w:val="22"/>
          <w:szCs w:val="22"/>
          <w:u w:val="single"/>
        </w:rPr>
      </w:pPr>
      <w:r w:rsidRPr="00606935">
        <w:rPr>
          <w:sz w:val="22"/>
          <w:szCs w:val="22"/>
          <w:u w:val="single"/>
        </w:rPr>
        <w:t>Další podmínky</w:t>
      </w:r>
      <w:r w:rsidRPr="00606935">
        <w:rPr>
          <w:sz w:val="22"/>
          <w:szCs w:val="22"/>
        </w:rPr>
        <w:t>:</w:t>
      </w:r>
    </w:p>
    <w:p w14:paraId="5937FCCF" w14:textId="77777777" w:rsidR="00890C04" w:rsidRPr="00606935" w:rsidRDefault="00890C04" w:rsidP="00327901">
      <w:pPr>
        <w:numPr>
          <w:ilvl w:val="0"/>
          <w:numId w:val="11"/>
        </w:numPr>
        <w:pBdr>
          <w:top w:val="nil"/>
          <w:left w:val="nil"/>
          <w:bottom w:val="nil"/>
          <w:right w:val="nil"/>
          <w:between w:val="nil"/>
        </w:pBdr>
        <w:spacing w:after="120" w:line="240" w:lineRule="auto"/>
        <w:jc w:val="both"/>
        <w:rPr>
          <w:color w:val="000000"/>
          <w:sz w:val="22"/>
          <w:szCs w:val="22"/>
        </w:rPr>
      </w:pPr>
      <w:r w:rsidRPr="00606935">
        <w:rPr>
          <w:color w:val="000000"/>
          <w:sz w:val="22"/>
          <w:szCs w:val="22"/>
        </w:rPr>
        <w:t xml:space="preserve">Dodavatel prohlašuje, že pečlivě přezkoumal tuto smlouvu, a v době uzavření této smlouvy dostupné nebo Objednatelem poskytnuté doklady a neshledal žádné zásadní chyby či nesrovnalosti, které by mu bránily v poskytnutí činností a splnění povinností dle této smlouvy, tedy nezjistil žádné další překážky nebo chyby, které by znamenaly jednotlivě nebo ve svém souhrnu nemožnost provést předmět plnění dle této smlouvy či realizovat projekt, nekompletnost  specifikace předmětu plnění či jeho nesoulad s </w:t>
      </w:r>
      <w:r w:rsidRPr="00606935">
        <w:rPr>
          <w:color w:val="000000"/>
          <w:sz w:val="22"/>
          <w:szCs w:val="22"/>
        </w:rPr>
        <w:lastRenderedPageBreak/>
        <w:t>účely této smlouvy. Dodavatel prohlašuje, že předmět plnění spolu se všemi součástmi této smlouvy jsou dle jeho nejlepšího vědomí dostatečně specifikovány. Z toho důvodu nebude Dodavatel oprávněn namítat kdykoliv po uzavření této smlouvy vady, chyby či nedostatky, které mohly být s odbornou péčí Dodavatele zjistitelné přezkoumáním dle tohoto odstavce smlouvy před jejím uzavřením.</w:t>
      </w:r>
    </w:p>
    <w:p w14:paraId="53EA84F6" w14:textId="77777777" w:rsidR="00890C04" w:rsidRPr="00606935" w:rsidRDefault="00890C04" w:rsidP="00327901">
      <w:pPr>
        <w:numPr>
          <w:ilvl w:val="0"/>
          <w:numId w:val="11"/>
        </w:numPr>
        <w:pBdr>
          <w:top w:val="nil"/>
          <w:left w:val="nil"/>
          <w:bottom w:val="nil"/>
          <w:right w:val="nil"/>
          <w:between w:val="nil"/>
        </w:pBdr>
        <w:spacing w:after="120" w:line="240" w:lineRule="auto"/>
        <w:jc w:val="both"/>
        <w:rPr>
          <w:color w:val="000000"/>
          <w:sz w:val="22"/>
          <w:szCs w:val="22"/>
        </w:rPr>
      </w:pPr>
      <w:r w:rsidRPr="00606935">
        <w:rPr>
          <w:color w:val="000000"/>
          <w:sz w:val="22"/>
          <w:szCs w:val="22"/>
        </w:rPr>
        <w:t>Smluvní strany prohlašují, že skutečnosti uvedené v této smlouvě nepovažují za obchodní tajemství ve smyslu § 504 občanského zákoníku a udělují svolení k jejich užití a zveřejnění bez stanovení jakýchkoliv dalších podmínek. </w:t>
      </w:r>
    </w:p>
    <w:p w14:paraId="66FBC38E" w14:textId="77777777" w:rsidR="00890C04" w:rsidRPr="00606935" w:rsidRDefault="00890C04" w:rsidP="00327901">
      <w:pPr>
        <w:numPr>
          <w:ilvl w:val="0"/>
          <w:numId w:val="11"/>
        </w:numPr>
        <w:pBdr>
          <w:top w:val="nil"/>
          <w:left w:val="nil"/>
          <w:bottom w:val="nil"/>
          <w:right w:val="nil"/>
          <w:between w:val="nil"/>
        </w:pBdr>
        <w:spacing w:after="120" w:line="240" w:lineRule="auto"/>
        <w:jc w:val="both"/>
        <w:rPr>
          <w:color w:val="000000"/>
          <w:sz w:val="22"/>
          <w:szCs w:val="22"/>
        </w:rPr>
      </w:pPr>
      <w:r w:rsidRPr="00606935">
        <w:rPr>
          <w:color w:val="000000"/>
          <w:sz w:val="22"/>
          <w:szCs w:val="22"/>
        </w:rPr>
        <w:t>Dodavatel bere na vědomí, že Objednatel je povinen na dotaz třetí osoby poskytovat informace v souladu se zákonem č. 106/1999 Sb., o svobodném přístupu k informacím, ve znění pozdějších předpisů, a souhlasí s tím, aby veškeré informace obsažené v této smlouvě byly v souladu s citovaným zákonem poskytnuty třetím osobám, pokud o ně požádají. Objednatel je povinen k uveřejnění smlouvy nad 50 000,- Kč prostřednictvím registru smluv.</w:t>
      </w:r>
    </w:p>
    <w:p w14:paraId="638A17E5" w14:textId="77777777" w:rsidR="00890C04" w:rsidRPr="00606935" w:rsidRDefault="00890C04" w:rsidP="00327901">
      <w:pPr>
        <w:numPr>
          <w:ilvl w:val="0"/>
          <w:numId w:val="11"/>
        </w:numPr>
        <w:pBdr>
          <w:top w:val="nil"/>
          <w:left w:val="nil"/>
          <w:bottom w:val="nil"/>
          <w:right w:val="nil"/>
          <w:between w:val="nil"/>
        </w:pBdr>
        <w:spacing w:after="120" w:line="240" w:lineRule="auto"/>
        <w:jc w:val="both"/>
        <w:rPr>
          <w:color w:val="000000"/>
          <w:sz w:val="22"/>
          <w:szCs w:val="22"/>
        </w:rPr>
      </w:pPr>
      <w:r w:rsidRPr="00606935">
        <w:rPr>
          <w:color w:val="000000"/>
          <w:sz w:val="22"/>
          <w:szCs w:val="22"/>
        </w:rPr>
        <w:t>Dodavatel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včetně prostředků poskytnutých z Evropské unie. Toto spolupůsobení je povinen zajistit i u svých případných subdodavatelů. </w:t>
      </w:r>
    </w:p>
    <w:p w14:paraId="43C388F4" w14:textId="77777777" w:rsidR="00890C04" w:rsidRDefault="00890C04" w:rsidP="00327901">
      <w:pPr>
        <w:numPr>
          <w:ilvl w:val="0"/>
          <w:numId w:val="11"/>
        </w:numPr>
        <w:pBdr>
          <w:top w:val="nil"/>
          <w:left w:val="nil"/>
          <w:bottom w:val="nil"/>
          <w:right w:val="nil"/>
          <w:between w:val="nil"/>
        </w:pBdr>
        <w:spacing w:after="120" w:line="240" w:lineRule="auto"/>
        <w:jc w:val="both"/>
        <w:rPr>
          <w:color w:val="000000"/>
          <w:sz w:val="22"/>
          <w:szCs w:val="22"/>
        </w:rPr>
      </w:pPr>
      <w:bookmarkStart w:id="0" w:name="_heading=h.gjdgxs" w:colFirst="0" w:colLast="0"/>
      <w:bookmarkEnd w:id="0"/>
      <w:r w:rsidRPr="00606935">
        <w:rPr>
          <w:color w:val="000000"/>
          <w:sz w:val="22"/>
          <w:szCs w:val="22"/>
        </w:rPr>
        <w:t>Dodavatel není oprávněn postoupit jakékoliv své pohledávky z této smlouvy na třetí osobu bez předchozího písemného souhlasu Objednatele, a to ani částečně.</w:t>
      </w:r>
    </w:p>
    <w:p w14:paraId="3F69CD89" w14:textId="77777777" w:rsidR="00890C04" w:rsidRDefault="00890C04" w:rsidP="00327901">
      <w:pPr>
        <w:numPr>
          <w:ilvl w:val="0"/>
          <w:numId w:val="11"/>
        </w:numPr>
        <w:pBdr>
          <w:top w:val="nil"/>
          <w:left w:val="nil"/>
          <w:bottom w:val="nil"/>
          <w:right w:val="nil"/>
          <w:between w:val="nil"/>
        </w:pBdr>
        <w:spacing w:after="120" w:line="240" w:lineRule="auto"/>
        <w:jc w:val="both"/>
        <w:rPr>
          <w:color w:val="000000"/>
          <w:sz w:val="22"/>
          <w:szCs w:val="22"/>
        </w:rPr>
      </w:pPr>
      <w:r w:rsidRPr="00C07B2B">
        <w:rPr>
          <w:color w:val="000000"/>
          <w:sz w:val="22"/>
          <w:szCs w:val="22"/>
        </w:rPr>
        <w:t xml:space="preserve">Bude-li v rámci předmětu plnění dle této smlouvy vyžadován jakýkoliv souhlas fyzických osob v souvislosti s ochranou osobnosti, zavazuje se Dodavatel souhlas zajistit, pakliže nebude možné zásah do soukromí této osoby provést bez jejího souhlasu za podmínek § 89 občanského zákoníku. </w:t>
      </w:r>
    </w:p>
    <w:p w14:paraId="58FED2E4" w14:textId="77777777" w:rsidR="00890C04" w:rsidRPr="00C07B2B" w:rsidRDefault="00890C04" w:rsidP="00327901">
      <w:pPr>
        <w:numPr>
          <w:ilvl w:val="0"/>
          <w:numId w:val="11"/>
        </w:numPr>
        <w:pBdr>
          <w:top w:val="nil"/>
          <w:left w:val="nil"/>
          <w:bottom w:val="nil"/>
          <w:right w:val="nil"/>
          <w:between w:val="nil"/>
        </w:pBdr>
        <w:spacing w:after="120" w:line="240" w:lineRule="auto"/>
        <w:jc w:val="both"/>
        <w:rPr>
          <w:color w:val="000000"/>
          <w:sz w:val="22"/>
          <w:szCs w:val="22"/>
        </w:rPr>
      </w:pPr>
      <w:r w:rsidRPr="00C07B2B">
        <w:rPr>
          <w:color w:val="000000"/>
          <w:sz w:val="22"/>
          <w:szCs w:val="22"/>
        </w:rPr>
        <w:t>Od smlouvy je Objednatel oprávněn odstoupit zejména v níže uvedených případech:</w:t>
      </w:r>
    </w:p>
    <w:p w14:paraId="42ED51AA" w14:textId="77777777" w:rsidR="00890C04" w:rsidRPr="00C07B2B" w:rsidRDefault="00890C04" w:rsidP="00327901">
      <w:pPr>
        <w:keepLines/>
        <w:widowControl w:val="0"/>
        <w:numPr>
          <w:ilvl w:val="2"/>
          <w:numId w:val="4"/>
        </w:numPr>
        <w:pBdr>
          <w:top w:val="nil"/>
          <w:left w:val="nil"/>
          <w:bottom w:val="nil"/>
          <w:right w:val="nil"/>
          <w:between w:val="nil"/>
        </w:pBdr>
        <w:spacing w:after="120" w:line="240" w:lineRule="auto"/>
        <w:jc w:val="both"/>
        <w:rPr>
          <w:i/>
          <w:iCs/>
          <w:color w:val="000000"/>
          <w:sz w:val="22"/>
          <w:szCs w:val="22"/>
        </w:rPr>
      </w:pPr>
      <w:r w:rsidRPr="00C07B2B">
        <w:rPr>
          <w:i/>
          <w:iCs/>
          <w:color w:val="000000"/>
          <w:sz w:val="22"/>
          <w:szCs w:val="22"/>
        </w:rPr>
        <w:t>jestliže byl prohlášen úpadek Dodavatele ve smyslu zákona č. 182/2006 Sb., insolvenční zákon, ve znění pozdějších předpisů,</w:t>
      </w:r>
    </w:p>
    <w:p w14:paraId="2562C29F" w14:textId="77777777" w:rsidR="00890C04" w:rsidRPr="00C07B2B" w:rsidRDefault="00890C04" w:rsidP="00327901">
      <w:pPr>
        <w:keepLines/>
        <w:widowControl w:val="0"/>
        <w:numPr>
          <w:ilvl w:val="2"/>
          <w:numId w:val="4"/>
        </w:numPr>
        <w:pBdr>
          <w:top w:val="nil"/>
          <w:left w:val="nil"/>
          <w:bottom w:val="nil"/>
          <w:right w:val="nil"/>
          <w:between w:val="nil"/>
        </w:pBdr>
        <w:spacing w:after="120" w:line="240" w:lineRule="auto"/>
        <w:jc w:val="both"/>
        <w:rPr>
          <w:i/>
          <w:iCs/>
          <w:color w:val="000000"/>
          <w:sz w:val="22"/>
          <w:szCs w:val="22"/>
        </w:rPr>
      </w:pPr>
      <w:r w:rsidRPr="00C07B2B">
        <w:rPr>
          <w:i/>
          <w:iCs/>
          <w:color w:val="000000"/>
          <w:sz w:val="22"/>
          <w:szCs w:val="22"/>
        </w:rPr>
        <w:t>jestliže předmět plnění nebude splňovat parametry stanovené v této smlouvě, obecně závaznými právními předpisy či technickými normami;</w:t>
      </w:r>
    </w:p>
    <w:p w14:paraId="58D11BC3" w14:textId="77777777" w:rsidR="00890C04" w:rsidRPr="00C07B2B" w:rsidRDefault="00890C04" w:rsidP="00327901">
      <w:pPr>
        <w:keepLines/>
        <w:widowControl w:val="0"/>
        <w:numPr>
          <w:ilvl w:val="2"/>
          <w:numId w:val="4"/>
        </w:numPr>
        <w:pBdr>
          <w:top w:val="nil"/>
          <w:left w:val="nil"/>
          <w:bottom w:val="nil"/>
          <w:right w:val="nil"/>
          <w:between w:val="nil"/>
        </w:pBdr>
        <w:spacing w:after="120" w:line="240" w:lineRule="auto"/>
        <w:jc w:val="both"/>
        <w:rPr>
          <w:i/>
          <w:iCs/>
          <w:color w:val="000000"/>
          <w:sz w:val="22"/>
          <w:szCs w:val="22"/>
        </w:rPr>
      </w:pPr>
      <w:r w:rsidRPr="00C07B2B">
        <w:rPr>
          <w:i/>
          <w:iCs/>
          <w:color w:val="000000"/>
          <w:sz w:val="22"/>
          <w:szCs w:val="22"/>
        </w:rPr>
        <w:t>jestliže Dodavatel vstoupí do likvidace,</w:t>
      </w:r>
    </w:p>
    <w:p w14:paraId="6922E50C" w14:textId="77777777" w:rsidR="00890C04" w:rsidRPr="00C07B2B" w:rsidRDefault="00890C04" w:rsidP="00327901">
      <w:pPr>
        <w:keepLines/>
        <w:widowControl w:val="0"/>
        <w:numPr>
          <w:ilvl w:val="2"/>
          <w:numId w:val="4"/>
        </w:numPr>
        <w:pBdr>
          <w:top w:val="nil"/>
          <w:left w:val="nil"/>
          <w:bottom w:val="nil"/>
          <w:right w:val="nil"/>
          <w:between w:val="nil"/>
        </w:pBdr>
        <w:spacing w:after="120" w:line="240" w:lineRule="auto"/>
        <w:jc w:val="both"/>
        <w:rPr>
          <w:i/>
          <w:iCs/>
          <w:color w:val="000000"/>
          <w:sz w:val="22"/>
          <w:szCs w:val="22"/>
        </w:rPr>
      </w:pPr>
      <w:r w:rsidRPr="00C07B2B">
        <w:rPr>
          <w:i/>
          <w:iCs/>
          <w:color w:val="000000"/>
          <w:sz w:val="22"/>
          <w:szCs w:val="22"/>
        </w:rPr>
        <w:t>jestliže Objednatel zjistí, že o Dodavateli byly v průběhu zadávacího řízení uvedeny v evidenci skutečných majitelů nepravdivé údaje; to neplatí, pokud si Dodavatel nepravdivosti nebyl a nemohl být vědom, nebo pokud nepravdivost spočívala v chybě psaní či v jiné nepodstatné okolnosti,</w:t>
      </w:r>
    </w:p>
    <w:p w14:paraId="7AB9FC0F" w14:textId="77777777" w:rsidR="00890C04" w:rsidRPr="00C07B2B" w:rsidRDefault="00890C04" w:rsidP="00327901">
      <w:pPr>
        <w:keepLines/>
        <w:widowControl w:val="0"/>
        <w:numPr>
          <w:ilvl w:val="2"/>
          <w:numId w:val="4"/>
        </w:numPr>
        <w:pBdr>
          <w:top w:val="nil"/>
          <w:left w:val="nil"/>
          <w:bottom w:val="nil"/>
          <w:right w:val="nil"/>
          <w:between w:val="nil"/>
        </w:pBdr>
        <w:spacing w:after="120" w:line="240" w:lineRule="auto"/>
        <w:jc w:val="both"/>
        <w:rPr>
          <w:i/>
          <w:iCs/>
          <w:color w:val="000000"/>
          <w:sz w:val="22"/>
          <w:szCs w:val="22"/>
        </w:rPr>
      </w:pPr>
      <w:r w:rsidRPr="00C07B2B">
        <w:rPr>
          <w:i/>
          <w:iCs/>
          <w:color w:val="000000"/>
          <w:sz w:val="22"/>
          <w:szCs w:val="22"/>
        </w:rPr>
        <w:t>jestliže vybraný Dodavatel jako zahraniční právnická osoba před uzavřením smlouvy předložil výpis ze zahraniční evidence obdobné evidenci skutečných majitelů, přičemž údaje v něm obsažené neodpovídaly skutečnosti,</w:t>
      </w:r>
    </w:p>
    <w:p w14:paraId="4C07D192" w14:textId="77777777" w:rsidR="00890C04" w:rsidRPr="00C07B2B" w:rsidRDefault="00890C04" w:rsidP="00327901">
      <w:pPr>
        <w:keepLines/>
        <w:widowControl w:val="0"/>
        <w:numPr>
          <w:ilvl w:val="2"/>
          <w:numId w:val="4"/>
        </w:numPr>
        <w:pBdr>
          <w:top w:val="nil"/>
          <w:left w:val="nil"/>
          <w:bottom w:val="nil"/>
          <w:right w:val="nil"/>
          <w:between w:val="nil"/>
        </w:pBdr>
        <w:spacing w:after="120" w:line="240" w:lineRule="auto"/>
        <w:jc w:val="both"/>
        <w:rPr>
          <w:i/>
          <w:iCs/>
          <w:color w:val="000000"/>
          <w:sz w:val="22"/>
          <w:szCs w:val="22"/>
        </w:rPr>
      </w:pPr>
      <w:bookmarkStart w:id="1" w:name="_heading=h.tyjcwt" w:colFirst="0" w:colLast="0"/>
      <w:bookmarkEnd w:id="1"/>
      <w:r w:rsidRPr="00C07B2B">
        <w:rPr>
          <w:i/>
          <w:iCs/>
          <w:color w:val="000000"/>
          <w:sz w:val="22"/>
          <w:szCs w:val="22"/>
        </w:rPr>
        <w:t>pokud neexistuje zahraniční evidence dle písm. h), jestliže vybraný Dodavatel zahraniční právnická osoba k výzvě Objednatele před uzavřením této smlouvy:</w:t>
      </w:r>
    </w:p>
    <w:p w14:paraId="62FFAD45" w14:textId="77777777" w:rsidR="00890C04" w:rsidRPr="00C07B2B" w:rsidRDefault="00890C04" w:rsidP="00327901">
      <w:pPr>
        <w:keepLines/>
        <w:widowControl w:val="0"/>
        <w:numPr>
          <w:ilvl w:val="3"/>
          <w:numId w:val="5"/>
        </w:numPr>
        <w:pBdr>
          <w:top w:val="nil"/>
          <w:left w:val="nil"/>
          <w:bottom w:val="nil"/>
          <w:right w:val="nil"/>
          <w:between w:val="nil"/>
        </w:pBdr>
        <w:spacing w:after="120" w:line="240" w:lineRule="auto"/>
        <w:jc w:val="both"/>
        <w:rPr>
          <w:i/>
          <w:iCs/>
          <w:color w:val="000000"/>
          <w:sz w:val="22"/>
          <w:szCs w:val="22"/>
        </w:rPr>
      </w:pPr>
      <w:r w:rsidRPr="00C07B2B">
        <w:rPr>
          <w:i/>
          <w:iCs/>
          <w:color w:val="000000"/>
          <w:sz w:val="22"/>
          <w:szCs w:val="22"/>
        </w:rPr>
        <w:t xml:space="preserve">sdělil identifikační údaje všech osob, které mají být jeho skutečným majitelem, a </w:t>
      </w:r>
    </w:p>
    <w:p w14:paraId="05A72B1A" w14:textId="77777777" w:rsidR="00890C04" w:rsidRPr="00C07B2B" w:rsidRDefault="00890C04" w:rsidP="00327901">
      <w:pPr>
        <w:keepLines/>
        <w:widowControl w:val="0"/>
        <w:numPr>
          <w:ilvl w:val="3"/>
          <w:numId w:val="5"/>
        </w:numPr>
        <w:pBdr>
          <w:top w:val="nil"/>
          <w:left w:val="nil"/>
          <w:bottom w:val="nil"/>
          <w:right w:val="nil"/>
          <w:between w:val="nil"/>
        </w:pBdr>
        <w:spacing w:after="120" w:line="240" w:lineRule="auto"/>
        <w:jc w:val="both"/>
        <w:rPr>
          <w:i/>
          <w:iCs/>
          <w:color w:val="000000"/>
          <w:sz w:val="22"/>
          <w:szCs w:val="22"/>
        </w:rPr>
      </w:pPr>
      <w:r w:rsidRPr="00C07B2B">
        <w:rPr>
          <w:i/>
          <w:iCs/>
          <w:color w:val="000000"/>
          <w:sz w:val="22"/>
          <w:szCs w:val="22"/>
        </w:rPr>
        <w:t xml:space="preserve">předložil doklady, z nichž má vyplývat vztah všech osob podle písmene a.  k Dodavateli; těmito doklady jsou zejména </w:t>
      </w:r>
    </w:p>
    <w:p w14:paraId="792D41A9" w14:textId="77777777" w:rsidR="00890C04" w:rsidRPr="00C07B2B" w:rsidRDefault="00890C04" w:rsidP="00327901">
      <w:pPr>
        <w:keepLines/>
        <w:widowControl w:val="0"/>
        <w:numPr>
          <w:ilvl w:val="4"/>
          <w:numId w:val="3"/>
        </w:numPr>
        <w:pBdr>
          <w:top w:val="nil"/>
          <w:left w:val="nil"/>
          <w:bottom w:val="nil"/>
          <w:right w:val="nil"/>
          <w:between w:val="nil"/>
        </w:pBdr>
        <w:spacing w:after="120" w:line="240" w:lineRule="auto"/>
        <w:jc w:val="both"/>
        <w:rPr>
          <w:i/>
          <w:iCs/>
          <w:color w:val="000000"/>
          <w:sz w:val="22"/>
          <w:szCs w:val="22"/>
        </w:rPr>
      </w:pPr>
      <w:r w:rsidRPr="00C07B2B">
        <w:rPr>
          <w:i/>
          <w:iCs/>
          <w:color w:val="000000"/>
          <w:sz w:val="22"/>
          <w:szCs w:val="22"/>
        </w:rPr>
        <w:lastRenderedPageBreak/>
        <w:t>výpis ze zahraniční evidence obdobné veřejnému rejstříku,</w:t>
      </w:r>
    </w:p>
    <w:p w14:paraId="583CD998" w14:textId="77777777" w:rsidR="00890C04" w:rsidRPr="00C07B2B" w:rsidRDefault="00890C04" w:rsidP="00327901">
      <w:pPr>
        <w:keepLines/>
        <w:widowControl w:val="0"/>
        <w:numPr>
          <w:ilvl w:val="4"/>
          <w:numId w:val="3"/>
        </w:numPr>
        <w:pBdr>
          <w:top w:val="nil"/>
          <w:left w:val="nil"/>
          <w:bottom w:val="nil"/>
          <w:right w:val="nil"/>
          <w:between w:val="nil"/>
        </w:pBdr>
        <w:spacing w:after="120" w:line="240" w:lineRule="auto"/>
        <w:jc w:val="both"/>
        <w:rPr>
          <w:i/>
          <w:iCs/>
          <w:color w:val="000000"/>
          <w:sz w:val="22"/>
          <w:szCs w:val="22"/>
        </w:rPr>
      </w:pPr>
      <w:r w:rsidRPr="00C07B2B">
        <w:rPr>
          <w:i/>
          <w:iCs/>
          <w:color w:val="000000"/>
          <w:sz w:val="22"/>
          <w:szCs w:val="22"/>
        </w:rPr>
        <w:t>seznam akcionářů,</w:t>
      </w:r>
    </w:p>
    <w:p w14:paraId="317476F5" w14:textId="77777777" w:rsidR="00890C04" w:rsidRPr="00C07B2B" w:rsidRDefault="00890C04" w:rsidP="00327901">
      <w:pPr>
        <w:keepLines/>
        <w:widowControl w:val="0"/>
        <w:numPr>
          <w:ilvl w:val="4"/>
          <w:numId w:val="3"/>
        </w:numPr>
        <w:pBdr>
          <w:top w:val="nil"/>
          <w:left w:val="nil"/>
          <w:bottom w:val="nil"/>
          <w:right w:val="nil"/>
          <w:between w:val="nil"/>
        </w:pBdr>
        <w:spacing w:after="120" w:line="240" w:lineRule="auto"/>
        <w:jc w:val="both"/>
        <w:rPr>
          <w:i/>
          <w:iCs/>
          <w:color w:val="000000"/>
          <w:sz w:val="22"/>
          <w:szCs w:val="22"/>
        </w:rPr>
      </w:pPr>
      <w:r w:rsidRPr="00C07B2B">
        <w:rPr>
          <w:i/>
          <w:iCs/>
          <w:color w:val="000000"/>
          <w:sz w:val="22"/>
          <w:szCs w:val="22"/>
        </w:rPr>
        <w:t>rozhodnutí statutárního orgánu o vyplacení podílu na zisku,</w:t>
      </w:r>
    </w:p>
    <w:p w14:paraId="5C046D91" w14:textId="77777777" w:rsidR="00890C04" w:rsidRPr="00C07B2B" w:rsidRDefault="00890C04" w:rsidP="00327901">
      <w:pPr>
        <w:keepLines/>
        <w:widowControl w:val="0"/>
        <w:numPr>
          <w:ilvl w:val="4"/>
          <w:numId w:val="3"/>
        </w:numPr>
        <w:pBdr>
          <w:top w:val="nil"/>
          <w:left w:val="nil"/>
          <w:bottom w:val="nil"/>
          <w:right w:val="nil"/>
          <w:between w:val="nil"/>
        </w:pBdr>
        <w:spacing w:after="120" w:line="240" w:lineRule="auto"/>
        <w:jc w:val="both"/>
        <w:rPr>
          <w:i/>
          <w:iCs/>
          <w:color w:val="000000"/>
          <w:sz w:val="22"/>
          <w:szCs w:val="22"/>
        </w:rPr>
      </w:pPr>
      <w:r w:rsidRPr="00C07B2B">
        <w:rPr>
          <w:i/>
          <w:iCs/>
          <w:color w:val="000000"/>
          <w:sz w:val="22"/>
          <w:szCs w:val="22"/>
        </w:rPr>
        <w:t>společenská smlouva, zakladatelská listina nebo stanovy, které však neodpovídaly skutečnosti.</w:t>
      </w:r>
    </w:p>
    <w:p w14:paraId="30EC4857" w14:textId="77777777" w:rsidR="00890C04" w:rsidRPr="00606935" w:rsidRDefault="00890C04" w:rsidP="00327901">
      <w:pPr>
        <w:numPr>
          <w:ilvl w:val="0"/>
          <w:numId w:val="11"/>
        </w:numPr>
        <w:pBdr>
          <w:top w:val="nil"/>
          <w:left w:val="nil"/>
          <w:bottom w:val="nil"/>
          <w:right w:val="nil"/>
          <w:between w:val="nil"/>
        </w:pBdr>
        <w:spacing w:after="120" w:line="240" w:lineRule="auto"/>
        <w:jc w:val="both"/>
        <w:rPr>
          <w:color w:val="000000"/>
          <w:sz w:val="22"/>
          <w:szCs w:val="22"/>
        </w:rPr>
      </w:pPr>
      <w:r w:rsidRPr="00606935">
        <w:rPr>
          <w:color w:val="000000"/>
          <w:sz w:val="22"/>
          <w:szCs w:val="22"/>
        </w:rPr>
        <w:t>Pro případné spory smluvní strany sjednávají místní příslušnost obecného soudu Objednatele. </w:t>
      </w:r>
    </w:p>
    <w:p w14:paraId="73A00453" w14:textId="77777777" w:rsidR="00890C04" w:rsidRPr="00606935" w:rsidRDefault="00890C04" w:rsidP="00327901">
      <w:pPr>
        <w:numPr>
          <w:ilvl w:val="0"/>
          <w:numId w:val="11"/>
        </w:numPr>
        <w:pBdr>
          <w:top w:val="nil"/>
          <w:left w:val="nil"/>
          <w:bottom w:val="nil"/>
          <w:right w:val="nil"/>
          <w:between w:val="nil"/>
        </w:pBdr>
        <w:spacing w:after="120" w:line="240" w:lineRule="auto"/>
        <w:jc w:val="both"/>
        <w:rPr>
          <w:color w:val="000000"/>
          <w:sz w:val="22"/>
          <w:szCs w:val="22"/>
        </w:rPr>
      </w:pPr>
      <w:r w:rsidRPr="00606935">
        <w:rPr>
          <w:color w:val="000000"/>
          <w:sz w:val="22"/>
          <w:szCs w:val="22"/>
        </w:rPr>
        <w:t>Tato smlouva je vyhotovena ve třech stejnopisech, z nichž dva obdrží Objednatel a jeden Dodavatel. </w:t>
      </w:r>
    </w:p>
    <w:p w14:paraId="5CD2D25F" w14:textId="77777777" w:rsidR="00890C04" w:rsidRPr="00606935" w:rsidRDefault="00890C04" w:rsidP="00327901">
      <w:pPr>
        <w:numPr>
          <w:ilvl w:val="0"/>
          <w:numId w:val="11"/>
        </w:numPr>
        <w:pBdr>
          <w:top w:val="nil"/>
          <w:left w:val="nil"/>
          <w:bottom w:val="nil"/>
          <w:right w:val="nil"/>
          <w:between w:val="nil"/>
        </w:pBdr>
        <w:spacing w:after="120" w:line="240" w:lineRule="auto"/>
        <w:jc w:val="both"/>
        <w:rPr>
          <w:color w:val="000000"/>
          <w:sz w:val="22"/>
          <w:szCs w:val="22"/>
        </w:rPr>
      </w:pPr>
      <w:r w:rsidRPr="00606935">
        <w:rPr>
          <w:color w:val="000000"/>
          <w:sz w:val="22"/>
          <w:szCs w:val="22"/>
        </w:rPr>
        <w:t>Tato smlouva může být měněna nebo zrušena pouze písemně, a to v případě změn smlouvy číslovanými dodatky, které musí být podepsány oběma Smluvními stranami.  </w:t>
      </w:r>
    </w:p>
    <w:p w14:paraId="1EDD67D9" w14:textId="77777777" w:rsidR="00890C04" w:rsidRPr="00606935" w:rsidRDefault="00890C04" w:rsidP="00327901">
      <w:pPr>
        <w:numPr>
          <w:ilvl w:val="0"/>
          <w:numId w:val="11"/>
        </w:numPr>
        <w:pBdr>
          <w:top w:val="nil"/>
          <w:left w:val="nil"/>
          <w:bottom w:val="nil"/>
          <w:right w:val="nil"/>
          <w:between w:val="nil"/>
        </w:pBdr>
        <w:spacing w:after="120" w:line="240" w:lineRule="auto"/>
        <w:jc w:val="both"/>
        <w:rPr>
          <w:color w:val="000000"/>
          <w:sz w:val="22"/>
          <w:szCs w:val="22"/>
        </w:rPr>
      </w:pPr>
      <w:r w:rsidRPr="00606935">
        <w:rPr>
          <w:color w:val="000000"/>
          <w:sz w:val="22"/>
          <w:szCs w:val="22"/>
        </w:rPr>
        <w:t>Tato smlouva je uzavřena dnem podpisu oběma Smluvním stranami a nabývá účinnosti zveřejněním v Registru smluv.</w:t>
      </w:r>
    </w:p>
    <w:p w14:paraId="2EE5A170" w14:textId="77777777" w:rsidR="00890C04" w:rsidRDefault="00890C04" w:rsidP="00327901">
      <w:pPr>
        <w:spacing w:after="120" w:line="240" w:lineRule="auto"/>
        <w:jc w:val="both"/>
        <w:rPr>
          <w:sz w:val="22"/>
          <w:szCs w:val="22"/>
        </w:rPr>
      </w:pPr>
    </w:p>
    <w:tbl>
      <w:tblPr>
        <w:tblW w:w="907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023"/>
        <w:gridCol w:w="2996"/>
        <w:gridCol w:w="1551"/>
        <w:gridCol w:w="2489"/>
        <w:gridCol w:w="13"/>
      </w:tblGrid>
      <w:tr w:rsidR="00890C04" w14:paraId="222E62F9" w14:textId="77777777" w:rsidTr="00F61FD7">
        <w:trPr>
          <w:trHeight w:val="328"/>
        </w:trPr>
        <w:tc>
          <w:tcPr>
            <w:tcW w:w="9072" w:type="dxa"/>
            <w:gridSpan w:val="5"/>
            <w:tcBorders>
              <w:top w:val="nil"/>
              <w:left w:val="nil"/>
              <w:bottom w:val="single" w:sz="4" w:space="0" w:color="000000"/>
              <w:right w:val="nil"/>
            </w:tcBorders>
            <w:shd w:val="clear" w:color="auto" w:fill="auto"/>
            <w:vAlign w:val="center"/>
          </w:tcPr>
          <w:p w14:paraId="3A6F029B" w14:textId="77777777" w:rsidR="00890C04" w:rsidRDefault="00890C04" w:rsidP="00327901">
            <w:pPr>
              <w:keepNext/>
              <w:keepLines/>
              <w:pBdr>
                <w:top w:val="nil"/>
                <w:left w:val="nil"/>
                <w:bottom w:val="nil"/>
                <w:right w:val="nil"/>
                <w:between w:val="nil"/>
              </w:pBdr>
              <w:spacing w:after="120" w:line="240" w:lineRule="auto"/>
              <w:jc w:val="both"/>
              <w:rPr>
                <w:b/>
                <w:color w:val="000000"/>
                <w:sz w:val="22"/>
                <w:szCs w:val="22"/>
              </w:rPr>
            </w:pPr>
            <w:r>
              <w:rPr>
                <w:b/>
                <w:color w:val="000000"/>
                <w:sz w:val="22"/>
                <w:szCs w:val="22"/>
              </w:rPr>
              <w:t>Za Objednatele:</w:t>
            </w:r>
          </w:p>
          <w:p w14:paraId="4FC3C1A2" w14:textId="77777777" w:rsidR="00890C04" w:rsidRDefault="00890C04" w:rsidP="00327901">
            <w:pPr>
              <w:spacing w:after="120" w:line="240" w:lineRule="auto"/>
              <w:jc w:val="both"/>
              <w:rPr>
                <w:sz w:val="22"/>
                <w:szCs w:val="22"/>
              </w:rPr>
            </w:pPr>
            <w:r w:rsidRPr="00606935">
              <w:rPr>
                <w:b/>
                <w:sz w:val="22"/>
                <w:szCs w:val="22"/>
              </w:rPr>
              <w:t>Pražská developerská společnost, příspěvková organizace</w:t>
            </w:r>
          </w:p>
          <w:p w14:paraId="23E84F13" w14:textId="77777777" w:rsidR="00890C04" w:rsidRDefault="00890C04" w:rsidP="00327901">
            <w:pPr>
              <w:keepNext/>
              <w:keepLines/>
              <w:pBdr>
                <w:top w:val="nil"/>
                <w:left w:val="nil"/>
                <w:bottom w:val="nil"/>
                <w:right w:val="nil"/>
                <w:between w:val="nil"/>
              </w:pBdr>
              <w:spacing w:after="120" w:line="240" w:lineRule="auto"/>
              <w:jc w:val="both"/>
              <w:rPr>
                <w:b/>
                <w:color w:val="000000"/>
                <w:sz w:val="22"/>
                <w:szCs w:val="22"/>
              </w:rPr>
            </w:pPr>
            <w:r w:rsidRPr="00606935">
              <w:rPr>
                <w:sz w:val="22"/>
                <w:szCs w:val="22"/>
              </w:rPr>
              <w:t>IČ: 09211322</w:t>
            </w:r>
          </w:p>
        </w:tc>
      </w:tr>
      <w:tr w:rsidR="00890C04" w14:paraId="0364025E" w14:textId="77777777" w:rsidTr="00F61FD7">
        <w:trPr>
          <w:gridAfter w:val="1"/>
          <w:wAfter w:w="13" w:type="dxa"/>
          <w:trHeight w:val="328"/>
        </w:trPr>
        <w:tc>
          <w:tcPr>
            <w:tcW w:w="20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97A07A" w14:textId="77777777" w:rsidR="00890C04" w:rsidRDefault="00890C04" w:rsidP="00327901">
            <w:pPr>
              <w:keepNext/>
              <w:keepLines/>
              <w:pBdr>
                <w:top w:val="nil"/>
                <w:left w:val="nil"/>
                <w:bottom w:val="nil"/>
                <w:right w:val="nil"/>
                <w:between w:val="nil"/>
              </w:pBdr>
              <w:spacing w:after="120" w:line="240" w:lineRule="auto"/>
              <w:jc w:val="both"/>
              <w:rPr>
                <w:b/>
                <w:color w:val="000000"/>
                <w:sz w:val="22"/>
                <w:szCs w:val="22"/>
              </w:rPr>
            </w:pPr>
            <w:r>
              <w:rPr>
                <w:color w:val="000000"/>
                <w:sz w:val="22"/>
                <w:szCs w:val="22"/>
              </w:rPr>
              <w:t>Funkce:</w:t>
            </w:r>
          </w:p>
        </w:tc>
        <w:tc>
          <w:tcPr>
            <w:tcW w:w="2996" w:type="dxa"/>
            <w:tcBorders>
              <w:top w:val="single" w:sz="4" w:space="0" w:color="000000"/>
              <w:left w:val="single" w:sz="4" w:space="0" w:color="000000"/>
              <w:bottom w:val="single" w:sz="4" w:space="0" w:color="000000"/>
              <w:right w:val="single" w:sz="4" w:space="0" w:color="000000"/>
            </w:tcBorders>
            <w:vAlign w:val="center"/>
          </w:tcPr>
          <w:p w14:paraId="1BF4671A" w14:textId="77777777" w:rsidR="00890C04" w:rsidRDefault="00890C04" w:rsidP="00327901">
            <w:pPr>
              <w:keepNext/>
              <w:keepLines/>
              <w:pBdr>
                <w:top w:val="nil"/>
                <w:left w:val="nil"/>
                <w:bottom w:val="nil"/>
                <w:right w:val="nil"/>
                <w:between w:val="nil"/>
              </w:pBdr>
              <w:spacing w:after="120" w:line="240" w:lineRule="auto"/>
              <w:jc w:val="both"/>
              <w:rPr>
                <w:color w:val="000000"/>
                <w:sz w:val="22"/>
                <w:szCs w:val="22"/>
              </w:rPr>
            </w:pPr>
            <w:r>
              <w:rPr>
                <w:color w:val="000000"/>
                <w:sz w:val="22"/>
                <w:szCs w:val="22"/>
              </w:rPr>
              <w:t>Jméno a příjmení:</w:t>
            </w:r>
          </w:p>
        </w:tc>
        <w:tc>
          <w:tcPr>
            <w:tcW w:w="1551" w:type="dxa"/>
            <w:tcBorders>
              <w:top w:val="single" w:sz="4" w:space="0" w:color="000000"/>
              <w:left w:val="single" w:sz="4" w:space="0" w:color="000000"/>
              <w:bottom w:val="single" w:sz="4" w:space="0" w:color="000000"/>
              <w:right w:val="single" w:sz="4" w:space="0" w:color="000000"/>
            </w:tcBorders>
            <w:vAlign w:val="center"/>
          </w:tcPr>
          <w:p w14:paraId="0A2410D0" w14:textId="77777777" w:rsidR="00890C04" w:rsidRDefault="00890C04" w:rsidP="00327901">
            <w:pPr>
              <w:keepNext/>
              <w:keepLines/>
              <w:pBdr>
                <w:top w:val="nil"/>
                <w:left w:val="nil"/>
                <w:bottom w:val="nil"/>
                <w:right w:val="nil"/>
                <w:between w:val="nil"/>
              </w:pBdr>
              <w:spacing w:after="120" w:line="240" w:lineRule="auto"/>
              <w:jc w:val="both"/>
              <w:rPr>
                <w:color w:val="000000"/>
                <w:sz w:val="22"/>
                <w:szCs w:val="22"/>
              </w:rPr>
            </w:pPr>
            <w:r>
              <w:rPr>
                <w:color w:val="000000"/>
                <w:sz w:val="22"/>
                <w:szCs w:val="22"/>
              </w:rPr>
              <w:t>Datum:</w:t>
            </w:r>
          </w:p>
        </w:tc>
        <w:tc>
          <w:tcPr>
            <w:tcW w:w="2489" w:type="dxa"/>
            <w:tcBorders>
              <w:top w:val="single" w:sz="4" w:space="0" w:color="000000"/>
              <w:left w:val="single" w:sz="4" w:space="0" w:color="000000"/>
              <w:bottom w:val="single" w:sz="4" w:space="0" w:color="000000"/>
              <w:right w:val="single" w:sz="4" w:space="0" w:color="000000"/>
            </w:tcBorders>
            <w:vAlign w:val="center"/>
          </w:tcPr>
          <w:p w14:paraId="24A5B02A" w14:textId="77777777" w:rsidR="00890C04" w:rsidRDefault="00890C04" w:rsidP="00327901">
            <w:pPr>
              <w:keepNext/>
              <w:keepLines/>
              <w:pBdr>
                <w:top w:val="nil"/>
                <w:left w:val="nil"/>
                <w:bottom w:val="nil"/>
                <w:right w:val="nil"/>
                <w:between w:val="nil"/>
              </w:pBdr>
              <w:spacing w:after="120" w:line="240" w:lineRule="auto"/>
              <w:jc w:val="both"/>
              <w:rPr>
                <w:color w:val="000000"/>
                <w:sz w:val="22"/>
                <w:szCs w:val="22"/>
              </w:rPr>
            </w:pPr>
            <w:r>
              <w:rPr>
                <w:color w:val="000000"/>
                <w:sz w:val="22"/>
                <w:szCs w:val="22"/>
              </w:rPr>
              <w:t>Podpis:</w:t>
            </w:r>
          </w:p>
        </w:tc>
      </w:tr>
      <w:tr w:rsidR="00890C04" w14:paraId="5E0674B9" w14:textId="77777777" w:rsidTr="00F61FD7">
        <w:trPr>
          <w:gridAfter w:val="1"/>
          <w:wAfter w:w="13" w:type="dxa"/>
          <w:trHeight w:val="328"/>
        </w:trPr>
        <w:tc>
          <w:tcPr>
            <w:tcW w:w="20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BB9216" w14:textId="77777777" w:rsidR="00890C04" w:rsidRDefault="00890C04" w:rsidP="00327901">
            <w:pPr>
              <w:keepNext/>
              <w:keepLines/>
              <w:pBdr>
                <w:top w:val="nil"/>
                <w:left w:val="nil"/>
                <w:bottom w:val="nil"/>
                <w:right w:val="nil"/>
                <w:between w:val="nil"/>
              </w:pBdr>
              <w:spacing w:after="120" w:line="240" w:lineRule="auto"/>
              <w:jc w:val="both"/>
              <w:rPr>
                <w:color w:val="000000"/>
                <w:sz w:val="22"/>
                <w:szCs w:val="22"/>
              </w:rPr>
            </w:pPr>
            <w:r>
              <w:rPr>
                <w:color w:val="000000"/>
                <w:sz w:val="22"/>
                <w:szCs w:val="22"/>
              </w:rPr>
              <w:t>Ředitel</w:t>
            </w:r>
          </w:p>
        </w:tc>
        <w:tc>
          <w:tcPr>
            <w:tcW w:w="2996" w:type="dxa"/>
            <w:tcBorders>
              <w:top w:val="single" w:sz="4" w:space="0" w:color="000000"/>
              <w:left w:val="single" w:sz="4" w:space="0" w:color="000000"/>
              <w:bottom w:val="single" w:sz="4" w:space="0" w:color="000000"/>
              <w:right w:val="single" w:sz="4" w:space="0" w:color="000000"/>
            </w:tcBorders>
            <w:vAlign w:val="center"/>
          </w:tcPr>
          <w:p w14:paraId="6CE029D6" w14:textId="77777777" w:rsidR="00890C04" w:rsidRDefault="00890C04" w:rsidP="00327901">
            <w:pPr>
              <w:keepNext/>
              <w:keepLines/>
              <w:pBdr>
                <w:top w:val="nil"/>
                <w:left w:val="nil"/>
                <w:bottom w:val="nil"/>
                <w:right w:val="nil"/>
                <w:between w:val="nil"/>
              </w:pBdr>
              <w:spacing w:after="120" w:line="240" w:lineRule="auto"/>
              <w:jc w:val="both"/>
              <w:rPr>
                <w:color w:val="000000"/>
                <w:sz w:val="22"/>
                <w:szCs w:val="22"/>
              </w:rPr>
            </w:pPr>
            <w:r>
              <w:rPr>
                <w:color w:val="000000"/>
                <w:sz w:val="22"/>
                <w:szCs w:val="22"/>
              </w:rPr>
              <w:t>Petr Urbánek</w:t>
            </w:r>
          </w:p>
        </w:tc>
        <w:tc>
          <w:tcPr>
            <w:tcW w:w="1551" w:type="dxa"/>
            <w:tcBorders>
              <w:top w:val="single" w:sz="4" w:space="0" w:color="000000"/>
              <w:left w:val="single" w:sz="4" w:space="0" w:color="000000"/>
              <w:bottom w:val="single" w:sz="4" w:space="0" w:color="000000"/>
              <w:right w:val="single" w:sz="4" w:space="0" w:color="000000"/>
            </w:tcBorders>
            <w:vAlign w:val="center"/>
          </w:tcPr>
          <w:p w14:paraId="6EB1DA65" w14:textId="0FEE2F6B" w:rsidR="00890C04" w:rsidRPr="00AB22B9" w:rsidRDefault="00AB22B9" w:rsidP="00327901">
            <w:pPr>
              <w:keepNext/>
              <w:keepLines/>
              <w:pBdr>
                <w:top w:val="nil"/>
                <w:left w:val="nil"/>
                <w:bottom w:val="nil"/>
                <w:right w:val="nil"/>
                <w:between w:val="nil"/>
              </w:pBdr>
              <w:spacing w:after="120" w:line="240" w:lineRule="auto"/>
              <w:jc w:val="both"/>
              <w:rPr>
                <w:color w:val="000000"/>
                <w:sz w:val="22"/>
                <w:szCs w:val="22"/>
              </w:rPr>
            </w:pPr>
            <w:r w:rsidRPr="00AB22B9">
              <w:rPr>
                <w:color w:val="000000"/>
                <w:sz w:val="22"/>
                <w:szCs w:val="22"/>
              </w:rPr>
              <w:t>6.9.2024</w:t>
            </w:r>
          </w:p>
        </w:tc>
        <w:tc>
          <w:tcPr>
            <w:tcW w:w="2489" w:type="dxa"/>
            <w:tcBorders>
              <w:top w:val="single" w:sz="4" w:space="0" w:color="000000"/>
              <w:left w:val="single" w:sz="4" w:space="0" w:color="000000"/>
              <w:bottom w:val="single" w:sz="4" w:space="0" w:color="000000"/>
              <w:right w:val="single" w:sz="4" w:space="0" w:color="000000"/>
            </w:tcBorders>
            <w:vAlign w:val="center"/>
          </w:tcPr>
          <w:p w14:paraId="38144502" w14:textId="77777777" w:rsidR="00890C04" w:rsidRDefault="00890C04" w:rsidP="00327901">
            <w:pPr>
              <w:keepNext/>
              <w:keepLines/>
              <w:pBdr>
                <w:top w:val="nil"/>
                <w:left w:val="nil"/>
                <w:bottom w:val="nil"/>
                <w:right w:val="nil"/>
                <w:between w:val="nil"/>
              </w:pBdr>
              <w:spacing w:after="120" w:line="240" w:lineRule="auto"/>
              <w:jc w:val="both"/>
              <w:rPr>
                <w:color w:val="000000"/>
                <w:sz w:val="22"/>
                <w:szCs w:val="22"/>
              </w:rPr>
            </w:pPr>
          </w:p>
          <w:p w14:paraId="7CA8425A" w14:textId="77777777" w:rsidR="00890C04" w:rsidRDefault="00890C04" w:rsidP="00327901">
            <w:pPr>
              <w:keepNext/>
              <w:keepLines/>
              <w:pBdr>
                <w:top w:val="nil"/>
                <w:left w:val="nil"/>
                <w:bottom w:val="nil"/>
                <w:right w:val="nil"/>
                <w:between w:val="nil"/>
              </w:pBdr>
              <w:spacing w:after="120" w:line="240" w:lineRule="auto"/>
              <w:jc w:val="both"/>
              <w:rPr>
                <w:color w:val="000000"/>
                <w:sz w:val="22"/>
                <w:szCs w:val="22"/>
              </w:rPr>
            </w:pPr>
          </w:p>
        </w:tc>
      </w:tr>
    </w:tbl>
    <w:p w14:paraId="38B8CB21" w14:textId="77777777" w:rsidR="00890C04" w:rsidRDefault="00890C04" w:rsidP="00327901">
      <w:pPr>
        <w:spacing w:after="120" w:line="240" w:lineRule="auto"/>
        <w:jc w:val="both"/>
        <w:rPr>
          <w:sz w:val="22"/>
          <w:szCs w:val="22"/>
        </w:rPr>
      </w:pPr>
    </w:p>
    <w:tbl>
      <w:tblPr>
        <w:tblW w:w="907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023"/>
        <w:gridCol w:w="2996"/>
        <w:gridCol w:w="1551"/>
        <w:gridCol w:w="2489"/>
        <w:gridCol w:w="13"/>
      </w:tblGrid>
      <w:tr w:rsidR="00890C04" w14:paraId="38A90A63" w14:textId="77777777" w:rsidTr="00F61FD7">
        <w:trPr>
          <w:trHeight w:val="328"/>
        </w:trPr>
        <w:tc>
          <w:tcPr>
            <w:tcW w:w="9072" w:type="dxa"/>
            <w:gridSpan w:val="5"/>
            <w:tcBorders>
              <w:top w:val="nil"/>
              <w:left w:val="nil"/>
              <w:bottom w:val="single" w:sz="4" w:space="0" w:color="000000"/>
              <w:right w:val="nil"/>
            </w:tcBorders>
            <w:shd w:val="clear" w:color="auto" w:fill="auto"/>
            <w:vAlign w:val="center"/>
          </w:tcPr>
          <w:p w14:paraId="24557660" w14:textId="77777777" w:rsidR="00890C04" w:rsidRDefault="00890C04" w:rsidP="00327901">
            <w:pPr>
              <w:keepNext/>
              <w:keepLines/>
              <w:pBdr>
                <w:top w:val="nil"/>
                <w:left w:val="nil"/>
                <w:bottom w:val="nil"/>
                <w:right w:val="nil"/>
                <w:between w:val="nil"/>
              </w:pBdr>
              <w:spacing w:after="120" w:line="240" w:lineRule="auto"/>
              <w:jc w:val="both"/>
              <w:rPr>
                <w:b/>
                <w:color w:val="000000"/>
                <w:sz w:val="22"/>
                <w:szCs w:val="22"/>
              </w:rPr>
            </w:pPr>
            <w:r>
              <w:rPr>
                <w:b/>
                <w:color w:val="000000"/>
                <w:sz w:val="22"/>
                <w:szCs w:val="22"/>
              </w:rPr>
              <w:t>Za Dodavatele:</w:t>
            </w:r>
          </w:p>
          <w:p w14:paraId="7DAAFBFD" w14:textId="761B8428" w:rsidR="00890C04" w:rsidRDefault="00AB22B9" w:rsidP="00327901">
            <w:pPr>
              <w:spacing w:after="120" w:line="240" w:lineRule="auto"/>
              <w:jc w:val="both"/>
              <w:rPr>
                <w:rFonts w:eastAsiaTheme="minorHAnsi"/>
                <w:sz w:val="22"/>
                <w:szCs w:val="22"/>
                <w:lang w:eastAsia="en-US"/>
              </w:rPr>
            </w:pPr>
            <w:r>
              <w:rPr>
                <w:rFonts w:eastAsiaTheme="minorHAnsi"/>
                <w:b/>
                <w:sz w:val="22"/>
                <w:szCs w:val="22"/>
                <w:lang w:eastAsia="en-US"/>
              </w:rPr>
              <w:t>KROKEM s.r.o.</w:t>
            </w:r>
          </w:p>
          <w:p w14:paraId="2392252E" w14:textId="0980D506" w:rsidR="00890C04" w:rsidRPr="00452802" w:rsidRDefault="00890C04" w:rsidP="00327901">
            <w:pPr>
              <w:spacing w:after="120" w:line="240" w:lineRule="auto"/>
              <w:jc w:val="both"/>
              <w:rPr>
                <w:rFonts w:eastAsiaTheme="minorHAnsi"/>
                <w:sz w:val="22"/>
                <w:szCs w:val="22"/>
                <w:lang w:eastAsia="en-US"/>
              </w:rPr>
            </w:pPr>
            <w:r w:rsidRPr="00606935">
              <w:rPr>
                <w:rFonts w:eastAsiaTheme="minorHAnsi"/>
                <w:sz w:val="22"/>
                <w:szCs w:val="22"/>
                <w:lang w:eastAsia="en-US"/>
              </w:rPr>
              <w:t xml:space="preserve">IČ: </w:t>
            </w:r>
            <w:r w:rsidR="00AB22B9">
              <w:rPr>
                <w:rFonts w:eastAsiaTheme="minorHAnsi"/>
                <w:sz w:val="22"/>
                <w:szCs w:val="22"/>
                <w:lang w:eastAsia="en-US"/>
              </w:rPr>
              <w:t>06946861</w:t>
            </w:r>
          </w:p>
        </w:tc>
      </w:tr>
      <w:tr w:rsidR="00890C04" w14:paraId="699CE4F1" w14:textId="77777777" w:rsidTr="00F61FD7">
        <w:trPr>
          <w:gridAfter w:val="1"/>
          <w:wAfter w:w="13" w:type="dxa"/>
          <w:trHeight w:val="328"/>
        </w:trPr>
        <w:tc>
          <w:tcPr>
            <w:tcW w:w="20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00460A" w14:textId="77777777" w:rsidR="00890C04" w:rsidRDefault="00890C04" w:rsidP="00327901">
            <w:pPr>
              <w:keepNext/>
              <w:keepLines/>
              <w:pBdr>
                <w:top w:val="nil"/>
                <w:left w:val="nil"/>
                <w:bottom w:val="nil"/>
                <w:right w:val="nil"/>
                <w:between w:val="nil"/>
              </w:pBdr>
              <w:spacing w:after="120" w:line="240" w:lineRule="auto"/>
              <w:jc w:val="both"/>
              <w:rPr>
                <w:b/>
                <w:color w:val="000000"/>
                <w:sz w:val="22"/>
                <w:szCs w:val="22"/>
              </w:rPr>
            </w:pPr>
            <w:r>
              <w:rPr>
                <w:color w:val="000000"/>
                <w:sz w:val="22"/>
                <w:szCs w:val="22"/>
              </w:rPr>
              <w:t>Funkce:</w:t>
            </w:r>
          </w:p>
        </w:tc>
        <w:tc>
          <w:tcPr>
            <w:tcW w:w="2996" w:type="dxa"/>
            <w:tcBorders>
              <w:top w:val="single" w:sz="4" w:space="0" w:color="000000"/>
              <w:left w:val="single" w:sz="4" w:space="0" w:color="000000"/>
              <w:bottom w:val="single" w:sz="4" w:space="0" w:color="000000"/>
              <w:right w:val="single" w:sz="4" w:space="0" w:color="000000"/>
            </w:tcBorders>
            <w:vAlign w:val="center"/>
          </w:tcPr>
          <w:p w14:paraId="4D8BD1D0" w14:textId="77777777" w:rsidR="00890C04" w:rsidRDefault="00890C04" w:rsidP="00327901">
            <w:pPr>
              <w:keepNext/>
              <w:keepLines/>
              <w:pBdr>
                <w:top w:val="nil"/>
                <w:left w:val="nil"/>
                <w:bottom w:val="nil"/>
                <w:right w:val="nil"/>
                <w:between w:val="nil"/>
              </w:pBdr>
              <w:spacing w:after="120" w:line="240" w:lineRule="auto"/>
              <w:jc w:val="both"/>
              <w:rPr>
                <w:color w:val="000000"/>
                <w:sz w:val="22"/>
                <w:szCs w:val="22"/>
              </w:rPr>
            </w:pPr>
            <w:r>
              <w:rPr>
                <w:color w:val="000000"/>
                <w:sz w:val="22"/>
                <w:szCs w:val="22"/>
              </w:rPr>
              <w:t>Jméno a příjmení:</w:t>
            </w:r>
          </w:p>
        </w:tc>
        <w:tc>
          <w:tcPr>
            <w:tcW w:w="1551" w:type="dxa"/>
            <w:tcBorders>
              <w:top w:val="single" w:sz="4" w:space="0" w:color="000000"/>
              <w:left w:val="single" w:sz="4" w:space="0" w:color="000000"/>
              <w:bottom w:val="single" w:sz="4" w:space="0" w:color="000000"/>
              <w:right w:val="single" w:sz="4" w:space="0" w:color="000000"/>
            </w:tcBorders>
            <w:vAlign w:val="center"/>
          </w:tcPr>
          <w:p w14:paraId="07FCECC9" w14:textId="77777777" w:rsidR="00890C04" w:rsidRDefault="00890C04" w:rsidP="00327901">
            <w:pPr>
              <w:keepNext/>
              <w:keepLines/>
              <w:pBdr>
                <w:top w:val="nil"/>
                <w:left w:val="nil"/>
                <w:bottom w:val="nil"/>
                <w:right w:val="nil"/>
                <w:between w:val="nil"/>
              </w:pBdr>
              <w:spacing w:after="120" w:line="240" w:lineRule="auto"/>
              <w:jc w:val="both"/>
              <w:rPr>
                <w:color w:val="000000"/>
                <w:sz w:val="22"/>
                <w:szCs w:val="22"/>
              </w:rPr>
            </w:pPr>
            <w:r>
              <w:rPr>
                <w:color w:val="000000"/>
                <w:sz w:val="22"/>
                <w:szCs w:val="22"/>
              </w:rPr>
              <w:t>Datum:</w:t>
            </w:r>
          </w:p>
        </w:tc>
        <w:tc>
          <w:tcPr>
            <w:tcW w:w="2489" w:type="dxa"/>
            <w:tcBorders>
              <w:top w:val="single" w:sz="4" w:space="0" w:color="000000"/>
              <w:left w:val="single" w:sz="4" w:space="0" w:color="000000"/>
              <w:bottom w:val="single" w:sz="4" w:space="0" w:color="000000"/>
              <w:right w:val="single" w:sz="4" w:space="0" w:color="000000"/>
            </w:tcBorders>
            <w:vAlign w:val="center"/>
          </w:tcPr>
          <w:p w14:paraId="0D1494CB" w14:textId="77777777" w:rsidR="00890C04" w:rsidRDefault="00890C04" w:rsidP="00327901">
            <w:pPr>
              <w:keepNext/>
              <w:keepLines/>
              <w:pBdr>
                <w:top w:val="nil"/>
                <w:left w:val="nil"/>
                <w:bottom w:val="nil"/>
                <w:right w:val="nil"/>
                <w:between w:val="nil"/>
              </w:pBdr>
              <w:spacing w:after="120" w:line="240" w:lineRule="auto"/>
              <w:jc w:val="both"/>
              <w:rPr>
                <w:color w:val="000000"/>
                <w:sz w:val="22"/>
                <w:szCs w:val="22"/>
              </w:rPr>
            </w:pPr>
            <w:r>
              <w:rPr>
                <w:color w:val="000000"/>
                <w:sz w:val="22"/>
                <w:szCs w:val="22"/>
              </w:rPr>
              <w:t>Podpis:</w:t>
            </w:r>
          </w:p>
        </w:tc>
      </w:tr>
      <w:tr w:rsidR="00890C04" w14:paraId="69D8D12E" w14:textId="77777777" w:rsidTr="00F61FD7">
        <w:trPr>
          <w:gridAfter w:val="1"/>
          <w:wAfter w:w="13" w:type="dxa"/>
          <w:trHeight w:val="328"/>
        </w:trPr>
        <w:tc>
          <w:tcPr>
            <w:tcW w:w="20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8EFAE7" w14:textId="77777777" w:rsidR="00890C04" w:rsidRDefault="00890C04" w:rsidP="00327901">
            <w:pPr>
              <w:spacing w:after="120" w:line="240" w:lineRule="auto"/>
              <w:jc w:val="both"/>
              <w:rPr>
                <w:rFonts w:ascii="Helvetica Neue" w:hAnsi="Helvetica Neue" w:cs="Lucida Grande"/>
              </w:rPr>
            </w:pPr>
          </w:p>
          <w:p w14:paraId="3C1FE690" w14:textId="7D02E48B" w:rsidR="00FD39F3" w:rsidRPr="00AB22B9" w:rsidRDefault="00AB22B9" w:rsidP="00327901">
            <w:pPr>
              <w:spacing w:after="120" w:line="240" w:lineRule="auto"/>
              <w:jc w:val="both"/>
              <w:rPr>
                <w:sz w:val="22"/>
                <w:szCs w:val="22"/>
              </w:rPr>
            </w:pPr>
            <w:r w:rsidRPr="00AB22B9">
              <w:rPr>
                <w:sz w:val="22"/>
                <w:szCs w:val="22"/>
              </w:rPr>
              <w:t>Jednatel</w:t>
            </w:r>
          </w:p>
          <w:p w14:paraId="4307F068" w14:textId="77777777" w:rsidR="00FD39F3" w:rsidRPr="005A4200" w:rsidRDefault="00FD39F3" w:rsidP="00327901">
            <w:pPr>
              <w:spacing w:after="120" w:line="240" w:lineRule="auto"/>
              <w:jc w:val="both"/>
              <w:rPr>
                <w:rFonts w:ascii="Helvetica Neue" w:hAnsi="Helvetica Neue" w:cs="Lucida Grande"/>
              </w:rPr>
            </w:pPr>
          </w:p>
        </w:tc>
        <w:tc>
          <w:tcPr>
            <w:tcW w:w="2996" w:type="dxa"/>
            <w:tcBorders>
              <w:top w:val="single" w:sz="4" w:space="0" w:color="000000"/>
              <w:left w:val="single" w:sz="4" w:space="0" w:color="000000"/>
              <w:bottom w:val="single" w:sz="4" w:space="0" w:color="000000"/>
              <w:right w:val="single" w:sz="4" w:space="0" w:color="000000"/>
            </w:tcBorders>
            <w:vAlign w:val="center"/>
          </w:tcPr>
          <w:p w14:paraId="229E8D1D" w14:textId="22C94E0B" w:rsidR="00890C04" w:rsidRPr="00C6570B" w:rsidRDefault="00AB22B9" w:rsidP="00327901">
            <w:pPr>
              <w:keepNext/>
              <w:keepLines/>
              <w:pBdr>
                <w:top w:val="nil"/>
                <w:left w:val="nil"/>
                <w:bottom w:val="nil"/>
                <w:right w:val="nil"/>
                <w:between w:val="nil"/>
              </w:pBdr>
              <w:spacing w:after="120" w:line="240" w:lineRule="auto"/>
              <w:jc w:val="both"/>
              <w:rPr>
                <w:color w:val="000000"/>
                <w:sz w:val="22"/>
                <w:szCs w:val="22"/>
              </w:rPr>
            </w:pPr>
            <w:r>
              <w:rPr>
                <w:color w:val="000000"/>
                <w:sz w:val="22"/>
                <w:szCs w:val="22"/>
              </w:rPr>
              <w:t>Mgr. Ondřej Špaček</w:t>
            </w:r>
          </w:p>
        </w:tc>
        <w:tc>
          <w:tcPr>
            <w:tcW w:w="1551" w:type="dxa"/>
            <w:tcBorders>
              <w:top w:val="single" w:sz="4" w:space="0" w:color="000000"/>
              <w:left w:val="single" w:sz="4" w:space="0" w:color="000000"/>
              <w:bottom w:val="single" w:sz="4" w:space="0" w:color="000000"/>
              <w:right w:val="single" w:sz="4" w:space="0" w:color="000000"/>
            </w:tcBorders>
            <w:vAlign w:val="center"/>
          </w:tcPr>
          <w:p w14:paraId="37986861" w14:textId="5CF4D056" w:rsidR="00890C04" w:rsidRDefault="00AB22B9" w:rsidP="00327901">
            <w:pPr>
              <w:keepNext/>
              <w:keepLines/>
              <w:pBdr>
                <w:top w:val="nil"/>
                <w:left w:val="nil"/>
                <w:bottom w:val="nil"/>
                <w:right w:val="nil"/>
                <w:between w:val="nil"/>
              </w:pBdr>
              <w:spacing w:after="120" w:line="240" w:lineRule="auto"/>
              <w:jc w:val="both"/>
              <w:rPr>
                <w:color w:val="000000"/>
                <w:sz w:val="22"/>
                <w:szCs w:val="22"/>
              </w:rPr>
            </w:pPr>
            <w:r>
              <w:rPr>
                <w:color w:val="000000"/>
                <w:sz w:val="22"/>
                <w:szCs w:val="22"/>
              </w:rPr>
              <w:t>17.8.2024</w:t>
            </w:r>
          </w:p>
        </w:tc>
        <w:tc>
          <w:tcPr>
            <w:tcW w:w="2489" w:type="dxa"/>
            <w:tcBorders>
              <w:top w:val="single" w:sz="4" w:space="0" w:color="000000"/>
              <w:left w:val="single" w:sz="4" w:space="0" w:color="000000"/>
              <w:bottom w:val="single" w:sz="4" w:space="0" w:color="000000"/>
              <w:right w:val="single" w:sz="4" w:space="0" w:color="000000"/>
            </w:tcBorders>
            <w:vAlign w:val="center"/>
          </w:tcPr>
          <w:p w14:paraId="6CE918B8" w14:textId="77777777" w:rsidR="00890C04" w:rsidRDefault="00890C04" w:rsidP="00327901">
            <w:pPr>
              <w:keepNext/>
              <w:keepLines/>
              <w:pBdr>
                <w:top w:val="nil"/>
                <w:left w:val="nil"/>
                <w:bottom w:val="nil"/>
                <w:right w:val="nil"/>
                <w:between w:val="nil"/>
              </w:pBdr>
              <w:spacing w:after="120" w:line="240" w:lineRule="auto"/>
              <w:jc w:val="both"/>
              <w:rPr>
                <w:color w:val="000000"/>
                <w:sz w:val="22"/>
                <w:szCs w:val="22"/>
              </w:rPr>
            </w:pPr>
          </w:p>
          <w:p w14:paraId="7C3DCC70" w14:textId="77777777" w:rsidR="00890C04" w:rsidRDefault="00890C04" w:rsidP="00327901">
            <w:pPr>
              <w:keepNext/>
              <w:keepLines/>
              <w:pBdr>
                <w:top w:val="nil"/>
                <w:left w:val="nil"/>
                <w:bottom w:val="nil"/>
                <w:right w:val="nil"/>
                <w:between w:val="nil"/>
              </w:pBdr>
              <w:spacing w:after="120" w:line="240" w:lineRule="auto"/>
              <w:jc w:val="both"/>
              <w:rPr>
                <w:color w:val="000000"/>
                <w:sz w:val="22"/>
                <w:szCs w:val="22"/>
              </w:rPr>
            </w:pPr>
          </w:p>
        </w:tc>
      </w:tr>
    </w:tbl>
    <w:p w14:paraId="342A1D66" w14:textId="6959B68C" w:rsidR="00C92C2F" w:rsidRPr="00327901" w:rsidRDefault="00890C04" w:rsidP="00327901">
      <w:pPr>
        <w:spacing w:after="120" w:line="240" w:lineRule="auto"/>
        <w:jc w:val="both"/>
        <w:rPr>
          <w:sz w:val="22"/>
          <w:szCs w:val="22"/>
        </w:rPr>
      </w:pPr>
      <w:r>
        <w:rPr>
          <w:sz w:val="22"/>
          <w:szCs w:val="22"/>
        </w:rPr>
        <w:t> </w:t>
      </w:r>
    </w:p>
    <w:sectPr w:rsidR="00C92C2F" w:rsidRPr="00327901" w:rsidSect="00890C04">
      <w:headerReference w:type="even" r:id="rId8"/>
      <w:headerReference w:type="default" r:id="rId9"/>
      <w:footerReference w:type="even" r:id="rId10"/>
      <w:footerReference w:type="default" r:id="rId11"/>
      <w:headerReference w:type="first" r:id="rId12"/>
      <w:footerReference w:type="first" r:id="rId13"/>
      <w:pgSz w:w="11906" w:h="16838"/>
      <w:pgMar w:top="142" w:right="1417" w:bottom="1276" w:left="1417" w:header="708" w:footer="45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AD938" w14:textId="77777777" w:rsidR="00713AC2" w:rsidRDefault="00713AC2" w:rsidP="00327901">
      <w:pPr>
        <w:spacing w:after="0" w:line="240" w:lineRule="auto"/>
      </w:pPr>
      <w:r>
        <w:separator/>
      </w:r>
    </w:p>
  </w:endnote>
  <w:endnote w:type="continuationSeparator" w:id="0">
    <w:p w14:paraId="100E51E8" w14:textId="77777777" w:rsidR="00713AC2" w:rsidRDefault="00713AC2" w:rsidP="00327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Noto Sans Symbols">
    <w:charset w:val="00"/>
    <w:family w:val="auto"/>
    <w:pitch w:val="default"/>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Lucida Grande">
    <w:charset w:val="00"/>
    <w:family w:val="swiss"/>
    <w:pitch w:val="variable"/>
    <w:sig w:usb0="E1000AEF" w:usb1="5000A1FF" w:usb2="00000000" w:usb3="00000000" w:csb0="000001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4F0D4" w14:textId="77777777" w:rsidR="007D204F" w:rsidRDefault="007D204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2053978"/>
      <w:docPartObj>
        <w:docPartGallery w:val="Page Numbers (Bottom of Page)"/>
        <w:docPartUnique/>
      </w:docPartObj>
    </w:sdtPr>
    <w:sdtEndPr>
      <w:rPr>
        <w:noProof/>
      </w:rPr>
    </w:sdtEndPr>
    <w:sdtContent>
      <w:p w14:paraId="2D82D95F" w14:textId="1ED3B89E" w:rsidR="00327901" w:rsidRDefault="00327901">
        <w:pPr>
          <w:pStyle w:val="Zpat"/>
          <w:jc w:val="right"/>
        </w:pPr>
        <w:r>
          <w:fldChar w:fldCharType="begin"/>
        </w:r>
        <w:r>
          <w:instrText xml:space="preserve"> PAGE   \* MERGEFORMAT </w:instrText>
        </w:r>
        <w:r>
          <w:fldChar w:fldCharType="separate"/>
        </w:r>
        <w:r>
          <w:rPr>
            <w:noProof/>
          </w:rPr>
          <w:t>2</w:t>
        </w:r>
        <w:r>
          <w:rPr>
            <w:noProof/>
          </w:rPr>
          <w:fldChar w:fldCharType="end"/>
        </w:r>
      </w:p>
    </w:sdtContent>
  </w:sdt>
  <w:p w14:paraId="052BEDBF" w14:textId="77777777" w:rsidR="00FD39F3" w:rsidRDefault="00FD39F3">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8D904" w14:textId="77777777" w:rsidR="007D204F" w:rsidRDefault="007D20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449D8" w14:textId="77777777" w:rsidR="00713AC2" w:rsidRDefault="00713AC2" w:rsidP="00327901">
      <w:pPr>
        <w:spacing w:after="0" w:line="240" w:lineRule="auto"/>
      </w:pPr>
      <w:r>
        <w:separator/>
      </w:r>
    </w:p>
  </w:footnote>
  <w:footnote w:type="continuationSeparator" w:id="0">
    <w:p w14:paraId="4DF99AFF" w14:textId="77777777" w:rsidR="00713AC2" w:rsidRDefault="00713AC2" w:rsidP="003279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A045E" w14:textId="77777777" w:rsidR="007D204F" w:rsidRDefault="007D204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54DA9" w14:textId="77777777" w:rsidR="00FD39F3" w:rsidRDefault="00FD39F3">
    <w:pPr>
      <w:jc w:val="both"/>
      <w:rPr>
        <w:sz w:val="22"/>
        <w:szCs w:val="22"/>
      </w:rPr>
    </w:pPr>
    <w:bookmarkStart w:id="2" w:name="_heading=h.3dy6vkm" w:colFirst="0" w:colLast="0"/>
    <w:bookmarkEnd w:id="2"/>
    <w:r>
      <w:rPr>
        <w:noProof/>
      </w:rPr>
      <w:drawing>
        <wp:anchor distT="0" distB="0" distL="114300" distR="114300" simplePos="0" relativeHeight="251659264" behindDoc="0" locked="0" layoutInCell="1" hidden="0" allowOverlap="1" wp14:anchorId="3D48E7CF" wp14:editId="4D9F1947">
          <wp:simplePos x="0" y="0"/>
          <wp:positionH relativeFrom="column">
            <wp:posOffset>-86995</wp:posOffset>
          </wp:positionH>
          <wp:positionV relativeFrom="paragraph">
            <wp:posOffset>-81280</wp:posOffset>
          </wp:positionV>
          <wp:extent cx="2159000" cy="704850"/>
          <wp:effectExtent l="0" t="0" r="0" b="0"/>
          <wp:wrapTopAndBottom distT="0" distB="0"/>
          <wp:docPr id="173222210" name="image1.jpg" descr="logo_PDS_male_cz.jpg"/>
          <wp:cNvGraphicFramePr/>
          <a:graphic xmlns:a="http://schemas.openxmlformats.org/drawingml/2006/main">
            <a:graphicData uri="http://schemas.openxmlformats.org/drawingml/2006/picture">
              <pic:pic xmlns:pic="http://schemas.openxmlformats.org/drawingml/2006/picture">
                <pic:nvPicPr>
                  <pic:cNvPr id="0" name="image1.jpg" descr="logo_PDS_male_cz.jpg"/>
                  <pic:cNvPicPr preferRelativeResize="0"/>
                </pic:nvPicPr>
                <pic:blipFill>
                  <a:blip r:embed="rId1"/>
                  <a:srcRect/>
                  <a:stretch>
                    <a:fillRect/>
                  </a:stretch>
                </pic:blipFill>
                <pic:spPr>
                  <a:xfrm>
                    <a:off x="0" y="0"/>
                    <a:ext cx="2159000" cy="704850"/>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27C55" w14:textId="77777777" w:rsidR="007D204F" w:rsidRDefault="007D204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D6BCD"/>
    <w:multiLevelType w:val="hybridMultilevel"/>
    <w:tmpl w:val="5E4AD3F6"/>
    <w:lvl w:ilvl="0" w:tplc="0809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E67C25"/>
    <w:multiLevelType w:val="multilevel"/>
    <w:tmpl w:val="D0D87A9A"/>
    <w:lvl w:ilvl="0">
      <w:start w:val="1"/>
      <w:numFmt w:val="decimal"/>
      <w:lvlText w:val=" %1."/>
      <w:lvlJc w:val="left"/>
      <w:pPr>
        <w:ind w:left="720" w:hanging="360"/>
      </w:pPr>
    </w:lvl>
    <w:lvl w:ilvl="1">
      <w:start w:val="1"/>
      <w:numFmt w:val="decimal"/>
      <w:lvlText w:val=" %1.%2."/>
      <w:lvlJc w:val="left"/>
      <w:pPr>
        <w:ind w:left="2628" w:hanging="360"/>
      </w:pPr>
    </w:lvl>
    <w:lvl w:ilvl="2">
      <w:start w:val="1"/>
      <w:numFmt w:val="lowerLetter"/>
      <w:lvlText w:val=" %3)"/>
      <w:lvlJc w:val="left"/>
      <w:pPr>
        <w:ind w:left="1440" w:hanging="360"/>
      </w:pPr>
    </w:lvl>
    <w:lvl w:ilvl="3">
      <w:start w:val="1"/>
      <w:numFmt w:val="bullet"/>
      <w:lvlText w:val="●"/>
      <w:lvlJc w:val="left"/>
      <w:pPr>
        <w:ind w:left="1800" w:hanging="360"/>
      </w:pPr>
      <w:rPr>
        <w:rFonts w:ascii="Noto Sans Symbols" w:eastAsia="Noto Sans Symbols" w:hAnsi="Noto Sans Symbols" w:cs="Noto Sans Symbols"/>
        <w:sz w:val="18"/>
        <w:szCs w:val="18"/>
      </w:rPr>
    </w:lvl>
    <w:lvl w:ilvl="4">
      <w:start w:val="1"/>
      <w:numFmt w:val="bullet"/>
      <w:lvlText w:val="●"/>
      <w:lvlJc w:val="left"/>
      <w:pPr>
        <w:ind w:left="2160" w:hanging="360"/>
      </w:pPr>
      <w:rPr>
        <w:rFonts w:ascii="Noto Sans Symbols" w:eastAsia="Noto Sans Symbols" w:hAnsi="Noto Sans Symbols" w:cs="Noto Sans Symbols"/>
        <w:sz w:val="18"/>
        <w:szCs w:val="18"/>
      </w:rPr>
    </w:lvl>
    <w:lvl w:ilvl="5">
      <w:start w:val="1"/>
      <w:numFmt w:val="bullet"/>
      <w:lvlText w:val="●"/>
      <w:lvlJc w:val="left"/>
      <w:pPr>
        <w:ind w:left="2520" w:hanging="360"/>
      </w:pPr>
      <w:rPr>
        <w:rFonts w:ascii="Noto Sans Symbols" w:eastAsia="Noto Sans Symbols" w:hAnsi="Noto Sans Symbols" w:cs="Noto Sans Symbols"/>
        <w:sz w:val="18"/>
        <w:szCs w:val="18"/>
      </w:rPr>
    </w:lvl>
    <w:lvl w:ilvl="6">
      <w:start w:val="1"/>
      <w:numFmt w:val="bullet"/>
      <w:lvlText w:val="●"/>
      <w:lvlJc w:val="left"/>
      <w:pPr>
        <w:ind w:left="2880" w:hanging="360"/>
      </w:pPr>
      <w:rPr>
        <w:rFonts w:ascii="Noto Sans Symbols" w:eastAsia="Noto Sans Symbols" w:hAnsi="Noto Sans Symbols" w:cs="Noto Sans Symbols"/>
        <w:sz w:val="18"/>
        <w:szCs w:val="18"/>
      </w:rPr>
    </w:lvl>
    <w:lvl w:ilvl="7">
      <w:start w:val="1"/>
      <w:numFmt w:val="bullet"/>
      <w:lvlText w:val="●"/>
      <w:lvlJc w:val="left"/>
      <w:pPr>
        <w:ind w:left="3240" w:hanging="360"/>
      </w:pPr>
      <w:rPr>
        <w:rFonts w:ascii="Noto Sans Symbols" w:eastAsia="Noto Sans Symbols" w:hAnsi="Noto Sans Symbols" w:cs="Noto Sans Symbols"/>
        <w:sz w:val="18"/>
        <w:szCs w:val="18"/>
      </w:rPr>
    </w:lvl>
    <w:lvl w:ilvl="8">
      <w:start w:val="1"/>
      <w:numFmt w:val="bullet"/>
      <w:lvlText w:val="●"/>
      <w:lvlJc w:val="left"/>
      <w:pPr>
        <w:ind w:left="3600" w:hanging="360"/>
      </w:pPr>
      <w:rPr>
        <w:rFonts w:ascii="Noto Sans Symbols" w:eastAsia="Noto Sans Symbols" w:hAnsi="Noto Sans Symbols" w:cs="Noto Sans Symbols"/>
        <w:sz w:val="18"/>
        <w:szCs w:val="18"/>
      </w:rPr>
    </w:lvl>
  </w:abstractNum>
  <w:abstractNum w:abstractNumId="2" w15:restartNumberingAfterBreak="0">
    <w:nsid w:val="18A4085C"/>
    <w:multiLevelType w:val="multilevel"/>
    <w:tmpl w:val="CF2448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58327C"/>
    <w:multiLevelType w:val="hybridMultilevel"/>
    <w:tmpl w:val="30081826"/>
    <w:lvl w:ilvl="0" w:tplc="24B801E0">
      <w:start w:val="1"/>
      <w:numFmt w:val="bullet"/>
      <w:lvlText w:val="-"/>
      <w:lvlJc w:val="left"/>
      <w:pPr>
        <w:ind w:left="1080" w:hanging="360"/>
      </w:pPr>
      <w:rPr>
        <w:rFonts w:ascii="Segoe UI" w:eastAsiaTheme="minorHAnsi" w:hAnsi="Segoe UI" w:cs="Segoe UI"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21951A87"/>
    <w:multiLevelType w:val="multilevel"/>
    <w:tmpl w:val="BDDE85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552EDA"/>
    <w:multiLevelType w:val="multilevel"/>
    <w:tmpl w:val="1BFE3232"/>
    <w:lvl w:ilvl="0">
      <w:start w:val="2"/>
      <w:numFmt w:val="decimal"/>
      <w:lvlText w:val="%1."/>
      <w:lvlJc w:val="left"/>
      <w:pPr>
        <w:ind w:left="720" w:hanging="360"/>
      </w:pPr>
    </w:lvl>
    <w:lvl w:ilvl="1">
      <w:start w:val="1"/>
      <w:numFmt w:val="bullet"/>
      <w:lvlText w:val="-"/>
      <w:lvlJc w:val="left"/>
      <w:pPr>
        <w:ind w:left="1440" w:hanging="360"/>
      </w:pPr>
      <w:rPr>
        <w:rFonts w:ascii="Arial" w:eastAsia="Arial" w:hAnsi="Arial" w:cs="Arial"/>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382A601C"/>
    <w:multiLevelType w:val="hybridMultilevel"/>
    <w:tmpl w:val="D590992C"/>
    <w:lvl w:ilvl="0" w:tplc="AAB43420">
      <w:start w:val="1"/>
      <w:numFmt w:val="bullet"/>
      <w:lvlText w:val=""/>
      <w:lvlJc w:val="left"/>
      <w:pPr>
        <w:tabs>
          <w:tab w:val="num" w:pos="720"/>
        </w:tabs>
        <w:ind w:left="720" w:hanging="360"/>
      </w:pPr>
      <w:rPr>
        <w:rFonts w:ascii="Wingdings" w:hAnsi="Wingdings" w:hint="default"/>
      </w:rPr>
    </w:lvl>
    <w:lvl w:ilvl="1" w:tplc="058C4F48" w:tentative="1">
      <w:start w:val="1"/>
      <w:numFmt w:val="bullet"/>
      <w:lvlText w:val=""/>
      <w:lvlJc w:val="left"/>
      <w:pPr>
        <w:tabs>
          <w:tab w:val="num" w:pos="1440"/>
        </w:tabs>
        <w:ind w:left="1440" w:hanging="360"/>
      </w:pPr>
      <w:rPr>
        <w:rFonts w:ascii="Wingdings" w:hAnsi="Wingdings" w:hint="default"/>
      </w:rPr>
    </w:lvl>
    <w:lvl w:ilvl="2" w:tplc="0B10B4C2" w:tentative="1">
      <w:start w:val="1"/>
      <w:numFmt w:val="bullet"/>
      <w:lvlText w:val=""/>
      <w:lvlJc w:val="left"/>
      <w:pPr>
        <w:tabs>
          <w:tab w:val="num" w:pos="2160"/>
        </w:tabs>
        <w:ind w:left="2160" w:hanging="360"/>
      </w:pPr>
      <w:rPr>
        <w:rFonts w:ascii="Wingdings" w:hAnsi="Wingdings" w:hint="default"/>
      </w:rPr>
    </w:lvl>
    <w:lvl w:ilvl="3" w:tplc="2BEC51F4" w:tentative="1">
      <w:start w:val="1"/>
      <w:numFmt w:val="bullet"/>
      <w:lvlText w:val=""/>
      <w:lvlJc w:val="left"/>
      <w:pPr>
        <w:tabs>
          <w:tab w:val="num" w:pos="2880"/>
        </w:tabs>
        <w:ind w:left="2880" w:hanging="360"/>
      </w:pPr>
      <w:rPr>
        <w:rFonts w:ascii="Wingdings" w:hAnsi="Wingdings" w:hint="default"/>
      </w:rPr>
    </w:lvl>
    <w:lvl w:ilvl="4" w:tplc="85604136" w:tentative="1">
      <w:start w:val="1"/>
      <w:numFmt w:val="bullet"/>
      <w:lvlText w:val=""/>
      <w:lvlJc w:val="left"/>
      <w:pPr>
        <w:tabs>
          <w:tab w:val="num" w:pos="3600"/>
        </w:tabs>
        <w:ind w:left="3600" w:hanging="360"/>
      </w:pPr>
      <w:rPr>
        <w:rFonts w:ascii="Wingdings" w:hAnsi="Wingdings" w:hint="default"/>
      </w:rPr>
    </w:lvl>
    <w:lvl w:ilvl="5" w:tplc="059A31A2" w:tentative="1">
      <w:start w:val="1"/>
      <w:numFmt w:val="bullet"/>
      <w:lvlText w:val=""/>
      <w:lvlJc w:val="left"/>
      <w:pPr>
        <w:tabs>
          <w:tab w:val="num" w:pos="4320"/>
        </w:tabs>
        <w:ind w:left="4320" w:hanging="360"/>
      </w:pPr>
      <w:rPr>
        <w:rFonts w:ascii="Wingdings" w:hAnsi="Wingdings" w:hint="default"/>
      </w:rPr>
    </w:lvl>
    <w:lvl w:ilvl="6" w:tplc="63424618" w:tentative="1">
      <w:start w:val="1"/>
      <w:numFmt w:val="bullet"/>
      <w:lvlText w:val=""/>
      <w:lvlJc w:val="left"/>
      <w:pPr>
        <w:tabs>
          <w:tab w:val="num" w:pos="5040"/>
        </w:tabs>
        <w:ind w:left="5040" w:hanging="360"/>
      </w:pPr>
      <w:rPr>
        <w:rFonts w:ascii="Wingdings" w:hAnsi="Wingdings" w:hint="default"/>
      </w:rPr>
    </w:lvl>
    <w:lvl w:ilvl="7" w:tplc="93FCA770" w:tentative="1">
      <w:start w:val="1"/>
      <w:numFmt w:val="bullet"/>
      <w:lvlText w:val=""/>
      <w:lvlJc w:val="left"/>
      <w:pPr>
        <w:tabs>
          <w:tab w:val="num" w:pos="5760"/>
        </w:tabs>
        <w:ind w:left="5760" w:hanging="360"/>
      </w:pPr>
      <w:rPr>
        <w:rFonts w:ascii="Wingdings" w:hAnsi="Wingdings" w:hint="default"/>
      </w:rPr>
    </w:lvl>
    <w:lvl w:ilvl="8" w:tplc="FD74D68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A00B80"/>
    <w:multiLevelType w:val="multilevel"/>
    <w:tmpl w:val="A2644B82"/>
    <w:lvl w:ilvl="0">
      <w:start w:val="1"/>
      <w:numFmt w:val="decimal"/>
      <w:lvlText w:val=" %1."/>
      <w:lvlJc w:val="left"/>
      <w:pPr>
        <w:ind w:left="720" w:hanging="360"/>
      </w:pPr>
    </w:lvl>
    <w:lvl w:ilvl="1">
      <w:start w:val="1"/>
      <w:numFmt w:val="decimal"/>
      <w:lvlText w:val=" %1.%2."/>
      <w:lvlJc w:val="left"/>
      <w:pPr>
        <w:ind w:left="2628" w:hanging="360"/>
      </w:pPr>
    </w:lvl>
    <w:lvl w:ilvl="2">
      <w:start w:val="1"/>
      <w:numFmt w:val="lowerLetter"/>
      <w:lvlText w:val=" %3)"/>
      <w:lvlJc w:val="left"/>
      <w:pPr>
        <w:ind w:left="1440" w:hanging="360"/>
      </w:pPr>
    </w:lvl>
    <w:lvl w:ilvl="3">
      <w:start w:val="1"/>
      <w:numFmt w:val="bullet"/>
      <w:lvlText w:val="●"/>
      <w:lvlJc w:val="left"/>
      <w:pPr>
        <w:ind w:left="1800" w:hanging="360"/>
      </w:pPr>
      <w:rPr>
        <w:rFonts w:ascii="Noto Sans Symbols" w:eastAsia="Noto Sans Symbols" w:hAnsi="Noto Sans Symbols" w:cs="Noto Sans Symbols"/>
        <w:sz w:val="18"/>
        <w:szCs w:val="18"/>
      </w:rPr>
    </w:lvl>
    <w:lvl w:ilvl="4">
      <w:numFmt w:val="bullet"/>
      <w:lvlText w:val="-"/>
      <w:lvlJc w:val="left"/>
      <w:pPr>
        <w:ind w:left="2160" w:hanging="360"/>
      </w:pPr>
      <w:rPr>
        <w:rFonts w:ascii="Arial" w:eastAsia="Arial" w:hAnsi="Arial" w:cs="Arial"/>
        <w:sz w:val="18"/>
        <w:szCs w:val="18"/>
      </w:rPr>
    </w:lvl>
    <w:lvl w:ilvl="5">
      <w:start w:val="1"/>
      <w:numFmt w:val="bullet"/>
      <w:lvlText w:val="●"/>
      <w:lvlJc w:val="left"/>
      <w:pPr>
        <w:ind w:left="2520" w:hanging="360"/>
      </w:pPr>
      <w:rPr>
        <w:rFonts w:ascii="Noto Sans Symbols" w:eastAsia="Noto Sans Symbols" w:hAnsi="Noto Sans Symbols" w:cs="Noto Sans Symbols"/>
        <w:sz w:val="18"/>
        <w:szCs w:val="18"/>
      </w:rPr>
    </w:lvl>
    <w:lvl w:ilvl="6">
      <w:start w:val="1"/>
      <w:numFmt w:val="bullet"/>
      <w:lvlText w:val="●"/>
      <w:lvlJc w:val="left"/>
      <w:pPr>
        <w:ind w:left="2880" w:hanging="360"/>
      </w:pPr>
      <w:rPr>
        <w:rFonts w:ascii="Noto Sans Symbols" w:eastAsia="Noto Sans Symbols" w:hAnsi="Noto Sans Symbols" w:cs="Noto Sans Symbols"/>
        <w:sz w:val="18"/>
        <w:szCs w:val="18"/>
      </w:rPr>
    </w:lvl>
    <w:lvl w:ilvl="7">
      <w:start w:val="1"/>
      <w:numFmt w:val="bullet"/>
      <w:lvlText w:val="●"/>
      <w:lvlJc w:val="left"/>
      <w:pPr>
        <w:ind w:left="3240" w:hanging="360"/>
      </w:pPr>
      <w:rPr>
        <w:rFonts w:ascii="Noto Sans Symbols" w:eastAsia="Noto Sans Symbols" w:hAnsi="Noto Sans Symbols" w:cs="Noto Sans Symbols"/>
        <w:sz w:val="18"/>
        <w:szCs w:val="18"/>
      </w:rPr>
    </w:lvl>
    <w:lvl w:ilvl="8">
      <w:start w:val="1"/>
      <w:numFmt w:val="bullet"/>
      <w:lvlText w:val="●"/>
      <w:lvlJc w:val="left"/>
      <w:pPr>
        <w:ind w:left="3600" w:hanging="360"/>
      </w:pPr>
      <w:rPr>
        <w:rFonts w:ascii="Noto Sans Symbols" w:eastAsia="Noto Sans Symbols" w:hAnsi="Noto Sans Symbols" w:cs="Noto Sans Symbols"/>
        <w:sz w:val="18"/>
        <w:szCs w:val="18"/>
      </w:rPr>
    </w:lvl>
  </w:abstractNum>
  <w:abstractNum w:abstractNumId="8" w15:restartNumberingAfterBreak="0">
    <w:nsid w:val="569425E8"/>
    <w:multiLevelType w:val="multilevel"/>
    <w:tmpl w:val="CF2448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B9363F6"/>
    <w:multiLevelType w:val="multilevel"/>
    <w:tmpl w:val="58A4FB7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71790C1F"/>
    <w:multiLevelType w:val="multilevel"/>
    <w:tmpl w:val="680606DE"/>
    <w:lvl w:ilvl="0">
      <w:start w:val="1"/>
      <w:numFmt w:val="decimal"/>
      <w:lvlText w:val=" %1."/>
      <w:lvlJc w:val="left"/>
      <w:pPr>
        <w:ind w:left="720" w:hanging="360"/>
      </w:pPr>
    </w:lvl>
    <w:lvl w:ilvl="1">
      <w:start w:val="1"/>
      <w:numFmt w:val="decimal"/>
      <w:lvlText w:val=" %1.%2."/>
      <w:lvlJc w:val="left"/>
      <w:pPr>
        <w:ind w:left="2628" w:hanging="360"/>
      </w:pPr>
    </w:lvl>
    <w:lvl w:ilvl="2">
      <w:start w:val="1"/>
      <w:numFmt w:val="lowerLetter"/>
      <w:lvlText w:val="%3."/>
      <w:lvlJc w:val="left"/>
      <w:pPr>
        <w:ind w:left="1440" w:hanging="360"/>
      </w:pPr>
    </w:lvl>
    <w:lvl w:ilvl="3">
      <w:start w:val="1"/>
      <w:numFmt w:val="lowerLetter"/>
      <w:lvlText w:val="%4."/>
      <w:lvlJc w:val="left"/>
      <w:pPr>
        <w:ind w:left="1800" w:hanging="360"/>
      </w:pPr>
      <w:rPr>
        <w:sz w:val="22"/>
        <w:szCs w:val="22"/>
      </w:rPr>
    </w:lvl>
    <w:lvl w:ilvl="4">
      <w:start w:val="1"/>
      <w:numFmt w:val="bullet"/>
      <w:lvlText w:val="●"/>
      <w:lvlJc w:val="left"/>
      <w:pPr>
        <w:ind w:left="2160" w:hanging="360"/>
      </w:pPr>
      <w:rPr>
        <w:rFonts w:ascii="Noto Sans Symbols" w:eastAsia="Noto Sans Symbols" w:hAnsi="Noto Sans Symbols" w:cs="Noto Sans Symbols"/>
        <w:sz w:val="18"/>
        <w:szCs w:val="18"/>
      </w:rPr>
    </w:lvl>
    <w:lvl w:ilvl="5">
      <w:start w:val="1"/>
      <w:numFmt w:val="bullet"/>
      <w:lvlText w:val="●"/>
      <w:lvlJc w:val="left"/>
      <w:pPr>
        <w:ind w:left="2520" w:hanging="360"/>
      </w:pPr>
      <w:rPr>
        <w:rFonts w:ascii="Noto Sans Symbols" w:eastAsia="Noto Sans Symbols" w:hAnsi="Noto Sans Symbols" w:cs="Noto Sans Symbols"/>
        <w:sz w:val="18"/>
        <w:szCs w:val="18"/>
      </w:rPr>
    </w:lvl>
    <w:lvl w:ilvl="6">
      <w:start w:val="1"/>
      <w:numFmt w:val="bullet"/>
      <w:lvlText w:val="●"/>
      <w:lvlJc w:val="left"/>
      <w:pPr>
        <w:ind w:left="2880" w:hanging="360"/>
      </w:pPr>
      <w:rPr>
        <w:rFonts w:ascii="Noto Sans Symbols" w:eastAsia="Noto Sans Symbols" w:hAnsi="Noto Sans Symbols" w:cs="Noto Sans Symbols"/>
        <w:sz w:val="18"/>
        <w:szCs w:val="18"/>
      </w:rPr>
    </w:lvl>
    <w:lvl w:ilvl="7">
      <w:start w:val="1"/>
      <w:numFmt w:val="bullet"/>
      <w:lvlText w:val="●"/>
      <w:lvlJc w:val="left"/>
      <w:pPr>
        <w:ind w:left="3240" w:hanging="360"/>
      </w:pPr>
      <w:rPr>
        <w:rFonts w:ascii="Noto Sans Symbols" w:eastAsia="Noto Sans Symbols" w:hAnsi="Noto Sans Symbols" w:cs="Noto Sans Symbols"/>
        <w:sz w:val="18"/>
        <w:szCs w:val="18"/>
      </w:rPr>
    </w:lvl>
    <w:lvl w:ilvl="8">
      <w:start w:val="1"/>
      <w:numFmt w:val="bullet"/>
      <w:lvlText w:val="●"/>
      <w:lvlJc w:val="left"/>
      <w:pPr>
        <w:ind w:left="3600" w:hanging="360"/>
      </w:pPr>
      <w:rPr>
        <w:rFonts w:ascii="Noto Sans Symbols" w:eastAsia="Noto Sans Symbols" w:hAnsi="Noto Sans Symbols" w:cs="Noto Sans Symbols"/>
        <w:sz w:val="18"/>
        <w:szCs w:val="18"/>
      </w:rPr>
    </w:lvl>
  </w:abstractNum>
  <w:abstractNum w:abstractNumId="11" w15:restartNumberingAfterBreak="0">
    <w:nsid w:val="77030F3F"/>
    <w:multiLevelType w:val="multilevel"/>
    <w:tmpl w:val="5998B650"/>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858958140">
    <w:abstractNumId w:val="9"/>
  </w:num>
  <w:num w:numId="2" w16cid:durableId="1104035871">
    <w:abstractNumId w:val="5"/>
  </w:num>
  <w:num w:numId="3" w16cid:durableId="1810777645">
    <w:abstractNumId w:val="7"/>
  </w:num>
  <w:num w:numId="4" w16cid:durableId="1779793430">
    <w:abstractNumId w:val="1"/>
  </w:num>
  <w:num w:numId="5" w16cid:durableId="1117211135">
    <w:abstractNumId w:val="10"/>
  </w:num>
  <w:num w:numId="6" w16cid:durableId="2125542244">
    <w:abstractNumId w:val="4"/>
  </w:num>
  <w:num w:numId="7" w16cid:durableId="1037196102">
    <w:abstractNumId w:val="0"/>
  </w:num>
  <w:num w:numId="8" w16cid:durableId="1192257312">
    <w:abstractNumId w:val="3"/>
  </w:num>
  <w:num w:numId="9" w16cid:durableId="1633169798">
    <w:abstractNumId w:val="6"/>
  </w:num>
  <w:num w:numId="10" w16cid:durableId="1588151607">
    <w:abstractNumId w:val="8"/>
  </w:num>
  <w:num w:numId="11" w16cid:durableId="1696468501">
    <w:abstractNumId w:val="11"/>
  </w:num>
  <w:num w:numId="12" w16cid:durableId="14492017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C04"/>
    <w:rsid w:val="00002F50"/>
    <w:rsid w:val="000527D8"/>
    <w:rsid w:val="00055985"/>
    <w:rsid w:val="001F0902"/>
    <w:rsid w:val="00212CF4"/>
    <w:rsid w:val="0028349F"/>
    <w:rsid w:val="002836C9"/>
    <w:rsid w:val="002B67AC"/>
    <w:rsid w:val="002F5BE2"/>
    <w:rsid w:val="00327901"/>
    <w:rsid w:val="00340E2E"/>
    <w:rsid w:val="00346EC1"/>
    <w:rsid w:val="00350CD4"/>
    <w:rsid w:val="00356EAF"/>
    <w:rsid w:val="003770FC"/>
    <w:rsid w:val="00386C81"/>
    <w:rsid w:val="00393857"/>
    <w:rsid w:val="003D2B78"/>
    <w:rsid w:val="003F758C"/>
    <w:rsid w:val="004935E5"/>
    <w:rsid w:val="004939D1"/>
    <w:rsid w:val="0050226C"/>
    <w:rsid w:val="0050610D"/>
    <w:rsid w:val="00516DFF"/>
    <w:rsid w:val="0052238A"/>
    <w:rsid w:val="005775CD"/>
    <w:rsid w:val="00597D1D"/>
    <w:rsid w:val="005B4D71"/>
    <w:rsid w:val="005B6781"/>
    <w:rsid w:val="00600976"/>
    <w:rsid w:val="006112C8"/>
    <w:rsid w:val="00671C20"/>
    <w:rsid w:val="006A0C14"/>
    <w:rsid w:val="00713AC2"/>
    <w:rsid w:val="007165D9"/>
    <w:rsid w:val="00740243"/>
    <w:rsid w:val="0077414C"/>
    <w:rsid w:val="007A30D9"/>
    <w:rsid w:val="007C4F07"/>
    <w:rsid w:val="007D204F"/>
    <w:rsid w:val="0081061C"/>
    <w:rsid w:val="00824C7F"/>
    <w:rsid w:val="00864477"/>
    <w:rsid w:val="00890C04"/>
    <w:rsid w:val="0089391B"/>
    <w:rsid w:val="008C0E2C"/>
    <w:rsid w:val="00963257"/>
    <w:rsid w:val="009724B9"/>
    <w:rsid w:val="009B6264"/>
    <w:rsid w:val="009E219C"/>
    <w:rsid w:val="00A3524A"/>
    <w:rsid w:val="00A56B5B"/>
    <w:rsid w:val="00A948CC"/>
    <w:rsid w:val="00A94B31"/>
    <w:rsid w:val="00AA4E03"/>
    <w:rsid w:val="00AB22B9"/>
    <w:rsid w:val="00AB5E4B"/>
    <w:rsid w:val="00AC2E73"/>
    <w:rsid w:val="00AD6D59"/>
    <w:rsid w:val="00AE5C38"/>
    <w:rsid w:val="00B23D69"/>
    <w:rsid w:val="00B452C0"/>
    <w:rsid w:val="00B64B2E"/>
    <w:rsid w:val="00BC5F2E"/>
    <w:rsid w:val="00C12FFC"/>
    <w:rsid w:val="00C24326"/>
    <w:rsid w:val="00C92C2F"/>
    <w:rsid w:val="00CA6B6F"/>
    <w:rsid w:val="00D07057"/>
    <w:rsid w:val="00D35050"/>
    <w:rsid w:val="00D35732"/>
    <w:rsid w:val="00DD25C0"/>
    <w:rsid w:val="00DF7CEC"/>
    <w:rsid w:val="00E20307"/>
    <w:rsid w:val="00E24FD4"/>
    <w:rsid w:val="00E4291C"/>
    <w:rsid w:val="00E448D3"/>
    <w:rsid w:val="00E64A50"/>
    <w:rsid w:val="00E91562"/>
    <w:rsid w:val="00E92385"/>
    <w:rsid w:val="00E96819"/>
    <w:rsid w:val="00F152C3"/>
    <w:rsid w:val="00F33353"/>
    <w:rsid w:val="00F42F0B"/>
    <w:rsid w:val="00FA32F9"/>
    <w:rsid w:val="00FA7E82"/>
    <w:rsid w:val="00FB0E1A"/>
    <w:rsid w:val="00FD1EF7"/>
    <w:rsid w:val="00FD39F3"/>
    <w:rsid w:val="00FD40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8D9711"/>
  <w15:chartTrackingRefBased/>
  <w15:docId w15:val="{2EDAFEF3-87F7-41B2-B306-68D393012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90C04"/>
    <w:pPr>
      <w:spacing w:after="200" w:line="276" w:lineRule="auto"/>
    </w:pPr>
    <w:rPr>
      <w:rFonts w:ascii="Arial" w:eastAsia="Arial" w:hAnsi="Arial" w:cs="Arial"/>
      <w:kern w:val="0"/>
      <w:sz w:val="20"/>
      <w:szCs w:val="20"/>
      <w:lang w:val="cs-CZ" w:eastAsia="cs-CZ"/>
    </w:rPr>
  </w:style>
  <w:style w:type="paragraph" w:styleId="Nadpis1">
    <w:name w:val="heading 1"/>
    <w:basedOn w:val="Normln"/>
    <w:next w:val="Normln"/>
    <w:link w:val="Nadpis1Char"/>
    <w:uiPriority w:val="9"/>
    <w:qFormat/>
    <w:rsid w:val="00890C04"/>
    <w:pPr>
      <w:keepNext/>
      <w:keepLines/>
      <w:spacing w:before="480" w:after="120"/>
      <w:outlineLvl w:val="0"/>
    </w:pPr>
    <w:rPr>
      <w:b/>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90C04"/>
    <w:rPr>
      <w:rFonts w:ascii="Arial" w:eastAsia="Arial" w:hAnsi="Arial" w:cs="Arial"/>
      <w:b/>
      <w:kern w:val="0"/>
      <w:sz w:val="48"/>
      <w:szCs w:val="48"/>
      <w:lang w:val="cs-CZ" w:eastAsia="cs-CZ"/>
    </w:rPr>
  </w:style>
  <w:style w:type="paragraph" w:styleId="Zhlav">
    <w:name w:val="header"/>
    <w:basedOn w:val="Normln"/>
    <w:link w:val="ZhlavChar"/>
    <w:uiPriority w:val="99"/>
    <w:unhideWhenUsed/>
    <w:rsid w:val="00890C0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90C04"/>
    <w:rPr>
      <w:rFonts w:ascii="Arial" w:eastAsia="Arial" w:hAnsi="Arial" w:cs="Arial"/>
      <w:kern w:val="0"/>
      <w:sz w:val="20"/>
      <w:szCs w:val="20"/>
      <w:lang w:val="cs-CZ" w:eastAsia="cs-CZ"/>
    </w:rPr>
  </w:style>
  <w:style w:type="paragraph" w:styleId="Zpat">
    <w:name w:val="footer"/>
    <w:basedOn w:val="Normln"/>
    <w:link w:val="ZpatChar"/>
    <w:uiPriority w:val="99"/>
    <w:unhideWhenUsed/>
    <w:rsid w:val="00890C04"/>
    <w:pPr>
      <w:tabs>
        <w:tab w:val="center" w:pos="4536"/>
        <w:tab w:val="right" w:pos="9072"/>
      </w:tabs>
      <w:spacing w:after="0" w:line="240" w:lineRule="auto"/>
    </w:pPr>
  </w:style>
  <w:style w:type="character" w:customStyle="1" w:styleId="ZpatChar">
    <w:name w:val="Zápatí Char"/>
    <w:basedOn w:val="Standardnpsmoodstavce"/>
    <w:link w:val="Zpat"/>
    <w:uiPriority w:val="99"/>
    <w:rsid w:val="00890C04"/>
    <w:rPr>
      <w:rFonts w:ascii="Arial" w:eastAsia="Arial" w:hAnsi="Arial" w:cs="Arial"/>
      <w:kern w:val="0"/>
      <w:sz w:val="20"/>
      <w:szCs w:val="20"/>
      <w:lang w:val="cs-CZ" w:eastAsia="cs-CZ"/>
    </w:rPr>
  </w:style>
  <w:style w:type="paragraph" w:styleId="Odstavecseseznamem">
    <w:name w:val="List Paragraph"/>
    <w:aliases w:val="Bullet Number,A-Odrážky1,Odstavec s názvem,Nad,Odstavec_muj,Odstavec cíl se seznamem,Odstavec se seznamem5"/>
    <w:basedOn w:val="Normln"/>
    <w:link w:val="OdstavecseseznamemChar"/>
    <w:uiPriority w:val="34"/>
    <w:qFormat/>
    <w:rsid w:val="00890C04"/>
    <w:pPr>
      <w:spacing w:after="0" w:line="240" w:lineRule="auto"/>
      <w:ind w:left="708"/>
    </w:pPr>
    <w:rPr>
      <w:rFonts w:ascii="Times New Roman" w:eastAsia="Times New Roman" w:hAnsi="Times New Roman" w:cs="Times New Roman"/>
      <w:sz w:val="24"/>
    </w:rPr>
  </w:style>
  <w:style w:type="character" w:customStyle="1" w:styleId="OdstavecseseznamemChar">
    <w:name w:val="Odstavec se seznamem Char"/>
    <w:aliases w:val="Bullet Number Char,A-Odrážky1 Char,Odstavec s názvem Char,Nad Char,Odstavec_muj Char,Odstavec cíl se seznamem Char,Odstavec se seznamem5 Char"/>
    <w:link w:val="Odstavecseseznamem"/>
    <w:uiPriority w:val="34"/>
    <w:locked/>
    <w:rsid w:val="00890C04"/>
    <w:rPr>
      <w:rFonts w:ascii="Times New Roman" w:eastAsia="Times New Roman" w:hAnsi="Times New Roman" w:cs="Times New Roman"/>
      <w:kern w:val="0"/>
      <w:sz w:val="24"/>
      <w:szCs w:val="20"/>
      <w:lang w:val="cs-CZ" w:eastAsia="cs-CZ"/>
    </w:rPr>
  </w:style>
  <w:style w:type="character" w:styleId="Zdraznnjemn">
    <w:name w:val="Subtle Emphasis"/>
    <w:basedOn w:val="Standardnpsmoodstavce"/>
    <w:uiPriority w:val="19"/>
    <w:qFormat/>
    <w:rsid w:val="00890C04"/>
    <w:rPr>
      <w:i/>
      <w:iCs/>
      <w:color w:val="404040" w:themeColor="text1" w:themeTint="BF"/>
    </w:rPr>
  </w:style>
  <w:style w:type="paragraph" w:styleId="Revize">
    <w:name w:val="Revision"/>
    <w:hidden/>
    <w:uiPriority w:val="99"/>
    <w:semiHidden/>
    <w:rsid w:val="00356EAF"/>
    <w:pPr>
      <w:spacing w:after="0" w:line="240" w:lineRule="auto"/>
    </w:pPr>
    <w:rPr>
      <w:rFonts w:ascii="Arial" w:eastAsia="Arial" w:hAnsi="Arial" w:cs="Arial"/>
      <w:kern w:val="0"/>
      <w:sz w:val="20"/>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roperties xmlns="http://www.imanage.com/work/xmlschema">
  <documentid>LEGAL!692627.1</documentid>
  <senderid>PRIKRYLOVA</senderid>
  <senderemail>PRIKRYLOVA@PETERKAPARTNERS.CZ</senderemail>
  <lastmodified>2024-07-16T17:06:00.0000000+02:00</lastmodified>
  <database>LEGAL</database>
</properties>
</file>

<file path=customXml/itemProps1.xml><?xml version="1.0" encoding="utf-8"?>
<ds:datastoreItem xmlns:ds="http://schemas.openxmlformats.org/officeDocument/2006/customXml" ds:itemID="{2BBA214B-5EAD-4507-A872-ADA2FC0A0644}">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1572</Words>
  <Characters>9305</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Přikrylová</dc:creator>
  <cp:keywords/>
  <dc:description/>
  <cp:lastModifiedBy>Martina Treščáková</cp:lastModifiedBy>
  <cp:revision>3</cp:revision>
  <cp:lastPrinted>2024-07-04T10:29:00Z</cp:lastPrinted>
  <dcterms:created xsi:type="dcterms:W3CDTF">2024-07-17T19:33:00Z</dcterms:created>
  <dcterms:modified xsi:type="dcterms:W3CDTF">2024-09-09T08:49:00Z</dcterms:modified>
</cp:coreProperties>
</file>