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2FABFA1A" w:rsidR="00CC11A9" w:rsidRDefault="008F54C3" w:rsidP="00E4679A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 xml:space="preserve">                                                                                                   </w:t>
      </w:r>
      <w:r w:rsidR="00CC11A9" w:rsidRPr="081163BA">
        <w:rPr>
          <w:rFonts w:eastAsia="Times New Roman"/>
          <w:lang w:eastAsia="cs-CZ"/>
        </w:rPr>
        <w:t xml:space="preserve">Evidenční číslo smlouvy: </w:t>
      </w:r>
      <w:r w:rsidR="00E4679A">
        <w:rPr>
          <w:rFonts w:eastAsia="Times New Roman"/>
          <w:lang w:eastAsia="cs-CZ"/>
        </w:rPr>
        <w:t>KK0257</w:t>
      </w:r>
      <w:r w:rsidR="00DF3493">
        <w:rPr>
          <w:rFonts w:eastAsia="Times New Roman"/>
          <w:lang w:eastAsia="cs-CZ"/>
        </w:rPr>
        <w:t>2</w:t>
      </w:r>
      <w:r w:rsidR="00E4679A">
        <w:rPr>
          <w:rFonts w:eastAsia="Times New Roman"/>
          <w:lang w:eastAsia="cs-CZ"/>
        </w:rPr>
        <w:t>/2024</w:t>
      </w:r>
    </w:p>
    <w:p w14:paraId="43E00A7D" w14:textId="77777777" w:rsidR="00E4679A" w:rsidRPr="00C81072" w:rsidRDefault="00E4679A" w:rsidP="00E4679A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4CE4733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3E0B33" w:rsidRPr="003E0B33">
        <w:rPr>
          <w:rFonts w:eastAsia="Times New Roman"/>
          <w:lang w:eastAsia="cs-CZ"/>
        </w:rPr>
        <w:t>Ing. Vít Hromádko, člen rady pro oblast rozvoje venkova a zemědělství</w:t>
      </w:r>
    </w:p>
    <w:p w14:paraId="12A671FC" w14:textId="020D25D6" w:rsidR="0040656F" w:rsidRDefault="00CC11A9" w:rsidP="0040656F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40656F">
        <w:rPr>
          <w:rFonts w:eastAsia="Times New Roman"/>
          <w:lang w:eastAsia="cs-CZ"/>
        </w:rPr>
        <w:t xml:space="preserve"> </w:t>
      </w:r>
      <w:r w:rsidR="0040656F">
        <w:rPr>
          <w:rFonts w:eastAsia="Times New Roman"/>
          <w:lang w:eastAsia="cs-CZ"/>
        </w:rPr>
        <w:tab/>
      </w:r>
      <w:bookmarkStart w:id="0" w:name="_Hlk174021102"/>
      <w:r w:rsidR="0096375C">
        <w:rPr>
          <w:rFonts w:eastAsia="Times New Roman"/>
          <w:lang w:eastAsia="cs-CZ"/>
        </w:rPr>
        <w:t>XXXX</w:t>
      </w:r>
      <w:bookmarkEnd w:id="0"/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</w:p>
    <w:p w14:paraId="446C1E62" w14:textId="42161B0D" w:rsidR="00CC11A9" w:rsidRPr="00C81072" w:rsidRDefault="0040656F" w:rsidP="0040656F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C81072">
        <w:rPr>
          <w:rFonts w:eastAsia="Times New Roman"/>
          <w:lang w:eastAsia="cs-CZ"/>
        </w:rPr>
        <w:t>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96375C">
        <w:rPr>
          <w:rFonts w:eastAsia="Times New Roman"/>
          <w:lang w:eastAsia="cs-CZ"/>
        </w:rPr>
        <w:t>XXXX</w:t>
      </w:r>
    </w:p>
    <w:p w14:paraId="77403A26" w14:textId="1EA1688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6B6EA187" w:rsidR="00CC11A9" w:rsidRPr="0034277C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40656F" w:rsidRPr="0034277C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5DD41C90" w:rsidR="00CC11A9" w:rsidRPr="00DF3493" w:rsidRDefault="005B73C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FF0000"/>
          <w:lang w:eastAsia="cs-CZ"/>
        </w:rPr>
      </w:pPr>
      <w:r>
        <w:rPr>
          <w:rFonts w:eastAsia="Times New Roman"/>
          <w:b/>
          <w:bCs/>
          <w:lang w:eastAsia="cs-CZ"/>
        </w:rPr>
        <w:t>Město Mariánské Lázně</w:t>
      </w:r>
    </w:p>
    <w:p w14:paraId="3D634E8D" w14:textId="7CAD6FD1" w:rsidR="00E71658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="005B73CA">
        <w:rPr>
          <w:rFonts w:eastAsia="Times New Roman"/>
          <w:bCs/>
          <w:lang w:eastAsia="cs-CZ"/>
        </w:rPr>
        <w:t>Ruská 155/3</w:t>
      </w:r>
      <w:r w:rsidR="00E71658">
        <w:rPr>
          <w:rFonts w:eastAsia="Times New Roman"/>
          <w:bCs/>
          <w:lang w:eastAsia="cs-CZ"/>
        </w:rPr>
        <w:t xml:space="preserve">, </w:t>
      </w:r>
      <w:r w:rsidR="0054289F">
        <w:rPr>
          <w:rFonts w:eastAsia="Times New Roman"/>
          <w:bCs/>
          <w:lang w:eastAsia="cs-CZ"/>
        </w:rPr>
        <w:t>3</w:t>
      </w:r>
      <w:r w:rsidR="005B73CA">
        <w:rPr>
          <w:rFonts w:eastAsia="Times New Roman"/>
          <w:bCs/>
          <w:lang w:eastAsia="cs-CZ"/>
        </w:rPr>
        <w:t>53</w:t>
      </w:r>
      <w:r w:rsidR="00C445A4">
        <w:rPr>
          <w:rFonts w:eastAsia="Times New Roman"/>
          <w:bCs/>
          <w:lang w:eastAsia="cs-CZ"/>
        </w:rPr>
        <w:t xml:space="preserve"> </w:t>
      </w:r>
      <w:r w:rsidR="0054289F">
        <w:rPr>
          <w:rFonts w:eastAsia="Times New Roman"/>
          <w:bCs/>
          <w:lang w:eastAsia="cs-CZ"/>
        </w:rPr>
        <w:t xml:space="preserve">01 </w:t>
      </w:r>
      <w:r w:rsidR="005B73CA">
        <w:rPr>
          <w:rFonts w:eastAsia="Times New Roman"/>
          <w:bCs/>
          <w:lang w:eastAsia="cs-CZ"/>
        </w:rPr>
        <w:t>Mariánské Lázně</w:t>
      </w:r>
    </w:p>
    <w:p w14:paraId="0A324CFE" w14:textId="4E765C29" w:rsidR="00C445A4" w:rsidRPr="00C445A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C445A4" w:rsidRPr="00C445A4">
        <w:rPr>
          <w:rFonts w:eastAsia="Times New Roman"/>
          <w:bCs/>
          <w:color w:val="000000" w:themeColor="text1"/>
          <w:lang w:eastAsia="cs-CZ"/>
        </w:rPr>
        <w:t>00</w:t>
      </w:r>
      <w:r w:rsidR="005B73CA">
        <w:rPr>
          <w:rFonts w:eastAsia="Times New Roman"/>
          <w:bCs/>
          <w:color w:val="000000" w:themeColor="text1"/>
          <w:lang w:eastAsia="cs-CZ"/>
        </w:rPr>
        <w:t>254061</w:t>
      </w:r>
    </w:p>
    <w:p w14:paraId="5B9FA43D" w14:textId="6BE76708" w:rsidR="00CC11A9" w:rsidRPr="00C445A4" w:rsidRDefault="00CC11A9" w:rsidP="00853A61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Zastoupený:</w:t>
      </w:r>
      <w:r w:rsidR="005B73CA">
        <w:rPr>
          <w:rFonts w:eastAsia="Times New Roman"/>
          <w:color w:val="000000" w:themeColor="text1"/>
          <w:lang w:eastAsia="cs-CZ"/>
        </w:rPr>
        <w:tab/>
      </w:r>
      <w:r w:rsidR="00DE2B4B">
        <w:rPr>
          <w:rFonts w:eastAsia="Times New Roman"/>
          <w:color w:val="000000" w:themeColor="text1"/>
          <w:lang w:eastAsia="cs-CZ"/>
        </w:rPr>
        <w:t xml:space="preserve">Samuel </w:t>
      </w:r>
      <w:proofErr w:type="spellStart"/>
      <w:r w:rsidR="00DE2B4B">
        <w:rPr>
          <w:rFonts w:eastAsia="Times New Roman"/>
          <w:color w:val="000000" w:themeColor="text1"/>
          <w:lang w:eastAsia="cs-CZ"/>
        </w:rPr>
        <w:t>Zabolotný</w:t>
      </w:r>
      <w:proofErr w:type="spellEnd"/>
      <w:r w:rsidR="00853A61">
        <w:rPr>
          <w:rFonts w:eastAsia="Times New Roman"/>
          <w:color w:val="000000" w:themeColor="text1"/>
          <w:lang w:eastAsia="cs-CZ"/>
        </w:rPr>
        <w:t>,</w:t>
      </w:r>
      <w:r w:rsidR="00DE2B4B">
        <w:rPr>
          <w:rFonts w:eastAsia="Times New Roman"/>
          <w:color w:val="000000" w:themeColor="text1"/>
          <w:lang w:eastAsia="cs-CZ"/>
        </w:rPr>
        <w:t xml:space="preserve"> 1.</w:t>
      </w:r>
      <w:r w:rsidR="00853A61">
        <w:rPr>
          <w:rFonts w:eastAsia="Times New Roman"/>
          <w:color w:val="000000" w:themeColor="text1"/>
          <w:lang w:eastAsia="cs-CZ"/>
        </w:rPr>
        <w:t xml:space="preserve"> </w:t>
      </w:r>
      <w:r w:rsidR="00DE2B4B">
        <w:rPr>
          <w:rFonts w:eastAsia="Times New Roman"/>
          <w:color w:val="000000" w:themeColor="text1"/>
          <w:lang w:eastAsia="cs-CZ"/>
        </w:rPr>
        <w:t xml:space="preserve">místostarosta </w:t>
      </w:r>
    </w:p>
    <w:p w14:paraId="16077662" w14:textId="0C6D0A31" w:rsidR="0040656F" w:rsidRPr="00C445A4" w:rsidRDefault="00CC11A9" w:rsidP="0040656F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Bankovní spojení:</w:t>
      </w:r>
      <w:r w:rsidR="0040656F" w:rsidRPr="00C445A4">
        <w:rPr>
          <w:rFonts w:eastAsia="Times New Roman"/>
          <w:color w:val="000000" w:themeColor="text1"/>
          <w:lang w:eastAsia="cs-CZ"/>
        </w:rPr>
        <w:tab/>
      </w:r>
      <w:r w:rsidR="0096375C" w:rsidRPr="0096375C">
        <w:rPr>
          <w:rFonts w:eastAsia="Times New Roman"/>
          <w:color w:val="000000" w:themeColor="text1"/>
          <w:lang w:eastAsia="cs-CZ"/>
        </w:rPr>
        <w:t xml:space="preserve">XXXX 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  <w:r w:rsidR="005178F2" w:rsidRPr="00C445A4">
        <w:rPr>
          <w:rFonts w:eastAsia="Times New Roman"/>
          <w:color w:val="000000" w:themeColor="text1"/>
          <w:lang w:eastAsia="cs-CZ"/>
        </w:rPr>
        <w:tab/>
      </w:r>
      <w:r w:rsidR="005178F2" w:rsidRPr="00C445A4">
        <w:rPr>
          <w:rFonts w:eastAsia="Times New Roman"/>
          <w:color w:val="000000" w:themeColor="text1"/>
          <w:lang w:eastAsia="cs-CZ"/>
        </w:rPr>
        <w:tab/>
      </w:r>
    </w:p>
    <w:p w14:paraId="555B021B" w14:textId="54E87B33" w:rsidR="00C445A4" w:rsidRDefault="0040656F" w:rsidP="00C445A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Č</w:t>
      </w:r>
      <w:r w:rsidR="00CC11A9" w:rsidRPr="00C445A4">
        <w:rPr>
          <w:rFonts w:eastAsia="Times New Roman"/>
          <w:color w:val="000000" w:themeColor="text1"/>
          <w:lang w:eastAsia="cs-CZ"/>
        </w:rPr>
        <w:t>íslo účtu:</w:t>
      </w:r>
      <w:r w:rsidR="00CC11A9" w:rsidRPr="00C445A4">
        <w:rPr>
          <w:rFonts w:eastAsia="Times New Roman"/>
          <w:color w:val="000000" w:themeColor="text1"/>
          <w:lang w:eastAsia="cs-CZ"/>
        </w:rPr>
        <w:tab/>
      </w:r>
      <w:r w:rsidR="0096375C">
        <w:rPr>
          <w:rFonts w:eastAsia="Times New Roman"/>
          <w:lang w:eastAsia="cs-CZ"/>
        </w:rPr>
        <w:t>XXXX</w:t>
      </w:r>
    </w:p>
    <w:p w14:paraId="31480B34" w14:textId="33E2939F" w:rsidR="0096375C" w:rsidRDefault="00CC11A9" w:rsidP="0096375C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E-mail: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="0096375C">
        <w:rPr>
          <w:rFonts w:eastAsia="Times New Roman"/>
          <w:lang w:eastAsia="cs-CZ"/>
        </w:rPr>
        <w:t>XXXX</w:t>
      </w:r>
    </w:p>
    <w:p w14:paraId="361F897E" w14:textId="5AA2C40D" w:rsidR="00560154" w:rsidRPr="00C445A4" w:rsidRDefault="00560154" w:rsidP="0096375C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Datová schránka:</w:t>
      </w:r>
      <w:r w:rsidRPr="00C445A4">
        <w:rPr>
          <w:rFonts w:eastAsia="Times New Roman"/>
          <w:color w:val="000000" w:themeColor="text1"/>
          <w:lang w:eastAsia="cs-CZ"/>
        </w:rPr>
        <w:tab/>
      </w:r>
      <w:proofErr w:type="spellStart"/>
      <w:r w:rsidR="00C969A6">
        <w:rPr>
          <w:rFonts w:eastAsia="Times New Roman"/>
          <w:color w:val="000000" w:themeColor="text1"/>
          <w:lang w:eastAsia="cs-CZ"/>
        </w:rPr>
        <w:t>bprbqms</w:t>
      </w:r>
      <w:proofErr w:type="spellEnd"/>
    </w:p>
    <w:p w14:paraId="066625A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E8AA4F1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4179BCA7" w14:textId="77777777" w:rsidR="003672DD" w:rsidRDefault="003672D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27DB4AB" w14:textId="77777777" w:rsidR="003672DD" w:rsidRDefault="003672D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B5F078F" w14:textId="77777777" w:rsidR="003672DD" w:rsidRDefault="003672D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B3E2913" w14:textId="77777777" w:rsidR="003672DD" w:rsidRDefault="003672D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67B1CE24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3B470646" w14:textId="09409DDF" w:rsidR="00CC11A9" w:rsidRPr="00C81072" w:rsidRDefault="00CC11A9" w:rsidP="00A22A0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57" w:hanging="357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D4715D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D4715D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</w:t>
      </w:r>
      <w:r w:rsidR="00D4715D">
        <w:rPr>
          <w:rFonts w:eastAsia="Arial Unicode MS"/>
          <w:lang w:eastAsia="cs-CZ"/>
        </w:rPr>
        <w:t>jen</w:t>
      </w:r>
      <w:r w:rsidRPr="00C81072">
        <w:rPr>
          <w:rFonts w:eastAsia="Arial Unicode MS"/>
          <w:lang w:eastAsia="cs-CZ"/>
        </w:rPr>
        <w:t xml:space="preserve"> „RPÚR“) a v souladu s </w:t>
      </w:r>
      <w:r w:rsidR="00CF4C9A">
        <w:rPr>
          <w:rFonts w:eastAsia="Arial Unicode MS"/>
          <w:lang w:eastAsia="cs-CZ"/>
        </w:rPr>
        <w:t>p</w:t>
      </w:r>
      <w:r w:rsidR="00571858" w:rsidRPr="00AC6E69">
        <w:rPr>
          <w:lang w:eastAsia="cs-CZ"/>
        </w:rPr>
        <w:t>rogramem</w:t>
      </w:r>
      <w:r w:rsidR="00571858" w:rsidRPr="00C81072">
        <w:rPr>
          <w:lang w:eastAsia="cs-CZ"/>
        </w:rPr>
        <w:t xml:space="preserve"> </w:t>
      </w:r>
      <w:r w:rsidR="007C5B62">
        <w:rPr>
          <w:lang w:eastAsia="cs-CZ"/>
        </w:rPr>
        <w:t>„</w:t>
      </w:r>
      <w:r w:rsidR="00300CB5">
        <w:rPr>
          <w:lang w:eastAsia="cs-CZ"/>
        </w:rPr>
        <w:t xml:space="preserve">Senior </w:t>
      </w:r>
      <w:r w:rsidR="007C5B62">
        <w:rPr>
          <w:lang w:eastAsia="cs-CZ"/>
        </w:rPr>
        <w:t>E</w:t>
      </w:r>
      <w:r w:rsidR="00300CB5">
        <w:rPr>
          <w:lang w:eastAsia="cs-CZ"/>
        </w:rPr>
        <w:t>xpres</w:t>
      </w:r>
      <w:r w:rsidR="007C5B62">
        <w:rPr>
          <w:lang w:eastAsia="cs-CZ"/>
        </w:rPr>
        <w:t>“</w:t>
      </w:r>
      <w:r w:rsidR="00571858">
        <w:rPr>
          <w:rFonts w:eastAsia="Times New Roman"/>
        </w:rPr>
        <w:t xml:space="preserve"> </w:t>
      </w:r>
      <w:r w:rsidRPr="00C81072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účel uvedený </w:t>
      </w:r>
      <w:r w:rsidRPr="00D4715D">
        <w:rPr>
          <w:rFonts w:eastAsia="Arial Unicode MS"/>
          <w:lang w:eastAsia="cs-CZ"/>
        </w:rPr>
        <w:t>v čl</w:t>
      </w:r>
      <w:r w:rsidR="003829B7" w:rsidRPr="00D4715D">
        <w:rPr>
          <w:rFonts w:eastAsia="Arial Unicode MS"/>
          <w:lang w:eastAsia="cs-CZ"/>
        </w:rPr>
        <w:t>.</w:t>
      </w:r>
      <w:r w:rsidRPr="00D4715D">
        <w:rPr>
          <w:rFonts w:eastAsia="Arial Unicode MS"/>
          <w:lang w:eastAsia="cs-CZ"/>
        </w:rPr>
        <w:t xml:space="preserve"> II</w:t>
      </w:r>
      <w:r w:rsidR="003829B7" w:rsidRPr="00D4715D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 smlouvy a příjemce tuto dotaci přijímá.</w:t>
      </w:r>
    </w:p>
    <w:p w14:paraId="5A941D6E" w14:textId="77777777" w:rsidR="00CC11A9" w:rsidRPr="00C81072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677F8FB2" w:rsidR="00F8238C" w:rsidRPr="004B16B5" w:rsidRDefault="00F8238C" w:rsidP="00853A61">
      <w:pPr>
        <w:pStyle w:val="Normlnweb"/>
        <w:numPr>
          <w:ilvl w:val="0"/>
          <w:numId w:val="30"/>
        </w:numPr>
        <w:ind w:left="357" w:hanging="357"/>
        <w:rPr>
          <w:b/>
          <w:bCs/>
          <w:sz w:val="22"/>
          <w:szCs w:val="22"/>
        </w:rPr>
      </w:pPr>
      <w:r w:rsidRPr="00AC6E69">
        <w:rPr>
          <w:sz w:val="22"/>
          <w:szCs w:val="22"/>
        </w:rPr>
        <w:t>Poskytovatel poskytuje příjemci dotaci z rozpočtu poskytovatele v kalendářním roce, ve výši a </w:t>
      </w:r>
      <w:r w:rsidRPr="00AC6E69">
        <w:rPr>
          <w:snapToGrid w:val="0"/>
          <w:sz w:val="22"/>
          <w:szCs w:val="22"/>
        </w:rPr>
        <w:t xml:space="preserve">na účel </w:t>
      </w:r>
      <w:r w:rsidRPr="00AC6E69">
        <w:rPr>
          <w:sz w:val="22"/>
          <w:szCs w:val="22"/>
        </w:rPr>
        <w:t>podle údajů uvedených v odstavci 2. tohoto článku.</w:t>
      </w:r>
      <w:r w:rsidR="00DD2B57">
        <w:rPr>
          <w:sz w:val="22"/>
          <w:szCs w:val="22"/>
        </w:rPr>
        <w:t xml:space="preserve"> </w:t>
      </w:r>
      <w:r w:rsidR="00DD2B57" w:rsidRPr="004B16B5">
        <w:rPr>
          <w:sz w:val="22"/>
          <w:szCs w:val="22"/>
        </w:rPr>
        <w:t xml:space="preserve">Výše dotace může být snížena s ohledem na případnou maximální přípustnou výši podpory v režimu de </w:t>
      </w:r>
      <w:proofErr w:type="spellStart"/>
      <w:r w:rsidR="00DD2B57" w:rsidRPr="004B16B5">
        <w:rPr>
          <w:sz w:val="22"/>
          <w:szCs w:val="22"/>
        </w:rPr>
        <w:t>minimis</w:t>
      </w:r>
      <w:proofErr w:type="spellEnd"/>
      <w:r w:rsidR="00DD2B57" w:rsidRPr="004B16B5">
        <w:rPr>
          <w:sz w:val="22"/>
          <w:szCs w:val="22"/>
        </w:rPr>
        <w:t xml:space="preserve">, a to dle aktuálního stavu v registru podpor de </w:t>
      </w:r>
      <w:proofErr w:type="spellStart"/>
      <w:r w:rsidR="00DD2B57" w:rsidRPr="004B16B5">
        <w:rPr>
          <w:sz w:val="22"/>
          <w:szCs w:val="22"/>
        </w:rPr>
        <w:t>minimis</w:t>
      </w:r>
      <w:proofErr w:type="spellEnd"/>
      <w:r w:rsidR="00DD2B57" w:rsidRPr="004B16B5">
        <w:rPr>
          <w:sz w:val="22"/>
          <w:szCs w:val="22"/>
        </w:rPr>
        <w:t xml:space="preserve"> v den podpisu smlouvy.</w:t>
      </w:r>
    </w:p>
    <w:p w14:paraId="7E9E92F8" w14:textId="77777777" w:rsidR="00F8238C" w:rsidRPr="004B16B5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C81072" w:rsidRDefault="00CC11A9" w:rsidP="00DD2B57">
      <w:pPr>
        <w:pStyle w:val="Normlnweb"/>
        <w:numPr>
          <w:ilvl w:val="0"/>
          <w:numId w:val="30"/>
        </w:numPr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lastRenderedPageBreak/>
        <w:t>Údaje o dotaci:</w:t>
      </w:r>
    </w:p>
    <w:p w14:paraId="4DC1BA05" w14:textId="21ED8FC3" w:rsidR="00E4679A" w:rsidRDefault="00CC11A9" w:rsidP="00A22A02">
      <w:pPr>
        <w:pStyle w:val="Normlnweb"/>
        <w:ind w:left="510"/>
        <w:rPr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E4679A" w:rsidRPr="00E4679A">
        <w:rPr>
          <w:b/>
          <w:sz w:val="22"/>
          <w:szCs w:val="22"/>
        </w:rPr>
        <w:t>2024</w:t>
      </w:r>
    </w:p>
    <w:p w14:paraId="041A388D" w14:textId="67405900" w:rsidR="00CC11A9" w:rsidRPr="00C81072" w:rsidRDefault="00CC11A9" w:rsidP="00A22A02">
      <w:pPr>
        <w:pStyle w:val="Normlnweb"/>
        <w:ind w:left="510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E4679A" w:rsidRPr="00E4679A">
        <w:rPr>
          <w:b/>
          <w:sz w:val="22"/>
          <w:szCs w:val="22"/>
        </w:rPr>
        <w:t>333.000</w:t>
      </w:r>
      <w:r w:rsidRPr="00E4679A">
        <w:rPr>
          <w:b/>
          <w:color w:val="FF0000"/>
          <w:sz w:val="22"/>
          <w:szCs w:val="22"/>
        </w:rPr>
        <w:t xml:space="preserve"> </w:t>
      </w:r>
      <w:r w:rsidRPr="00E4679A">
        <w:rPr>
          <w:b/>
          <w:sz w:val="22"/>
          <w:szCs w:val="22"/>
        </w:rPr>
        <w:t>Kč</w:t>
      </w:r>
    </w:p>
    <w:p w14:paraId="7CF831B7" w14:textId="1874DA02" w:rsidR="00CC11A9" w:rsidRPr="00C81072" w:rsidRDefault="00CC11A9" w:rsidP="00A22A02">
      <w:pPr>
        <w:pStyle w:val="Normlnweb"/>
        <w:ind w:left="510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 xml:space="preserve">lovy: </w:t>
      </w:r>
      <w:r w:rsidR="00E4679A" w:rsidRPr="00853A61">
        <w:rPr>
          <w:b/>
          <w:sz w:val="22"/>
          <w:szCs w:val="22"/>
        </w:rPr>
        <w:t xml:space="preserve">tři sta třicet tři tisíc </w:t>
      </w:r>
      <w:r w:rsidRPr="00853A61">
        <w:rPr>
          <w:b/>
          <w:sz w:val="22"/>
          <w:szCs w:val="22"/>
        </w:rPr>
        <w:t>korun českých</w:t>
      </w:r>
      <w:r w:rsidRPr="00C81072">
        <w:rPr>
          <w:sz w:val="22"/>
          <w:szCs w:val="22"/>
        </w:rPr>
        <w:t>)</w:t>
      </w:r>
    </w:p>
    <w:p w14:paraId="58983808" w14:textId="5B1BCB21" w:rsidR="00CC11A9" w:rsidRPr="00DF3493" w:rsidRDefault="00CC11A9" w:rsidP="00A22A02">
      <w:pPr>
        <w:pStyle w:val="Normlnweb"/>
        <w:ind w:left="510"/>
        <w:rPr>
          <w:b/>
          <w:bCs/>
          <w:color w:val="FF0000"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E62783" w:rsidRPr="00C969A6">
        <w:rPr>
          <w:b/>
          <w:sz w:val="22"/>
          <w:szCs w:val="22"/>
        </w:rPr>
        <w:t xml:space="preserve">Senior </w:t>
      </w:r>
      <w:r w:rsidR="00C969A6" w:rsidRPr="00C969A6">
        <w:rPr>
          <w:b/>
          <w:sz w:val="22"/>
          <w:szCs w:val="22"/>
        </w:rPr>
        <w:t>taxi Mariánské Lázně 2024</w:t>
      </w:r>
    </w:p>
    <w:p w14:paraId="62AA832A" w14:textId="5E50087C" w:rsidR="00CC11A9" w:rsidRPr="00C81072" w:rsidRDefault="00CC11A9" w:rsidP="00A22A02">
      <w:pPr>
        <w:pStyle w:val="Normlnweb"/>
        <w:ind w:left="510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Platba dotace bude opatřena variabilním symbolem:</w:t>
      </w:r>
      <w:r w:rsidRPr="00C81072">
        <w:rPr>
          <w:sz w:val="22"/>
          <w:szCs w:val="22"/>
        </w:rPr>
        <w:tab/>
      </w:r>
      <w:r w:rsidR="0096375C">
        <w:t>XXXX</w:t>
      </w:r>
      <w:r w:rsidR="0096375C" w:rsidRPr="00751FED">
        <w:rPr>
          <w:b/>
          <w:sz w:val="22"/>
          <w:szCs w:val="22"/>
        </w:rPr>
        <w:t xml:space="preserve"> </w:t>
      </w:r>
      <w:bookmarkStart w:id="1" w:name="_GoBack"/>
      <w:bookmarkEnd w:id="1"/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D4715D" w:rsidRDefault="00D733D2" w:rsidP="00A22A02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</w:t>
      </w:r>
      <w:r w:rsidRPr="00D4715D">
        <w:rPr>
          <w:rFonts w:eastAsia="Arial Unicode MS"/>
          <w:lang w:eastAsia="cs-CZ"/>
        </w:rPr>
        <w:t xml:space="preserve">jednorázově </w:t>
      </w:r>
      <w:r w:rsidR="009C4702" w:rsidRPr="00D4715D">
        <w:rPr>
          <w:rFonts w:eastAsia="Arial Unicode MS"/>
          <w:lang w:eastAsia="cs-CZ"/>
        </w:rPr>
        <w:t xml:space="preserve">zpravidla </w:t>
      </w:r>
      <w:r w:rsidRPr="00D4715D">
        <w:rPr>
          <w:rFonts w:eastAsia="Arial Unicode MS"/>
          <w:lang w:eastAsia="cs-CZ"/>
        </w:rPr>
        <w:t xml:space="preserve">do </w:t>
      </w:r>
      <w:r w:rsidR="00063C82" w:rsidRPr="00D4715D">
        <w:rPr>
          <w:rFonts w:eastAsia="Arial Unicode MS"/>
          <w:lang w:eastAsia="cs-CZ"/>
        </w:rPr>
        <w:t>20</w:t>
      </w:r>
      <w:r w:rsidR="00063C82" w:rsidRPr="00D4715D">
        <w:rPr>
          <w:rFonts w:eastAsia="Arial Unicode MS"/>
          <w:color w:val="FF0000"/>
          <w:lang w:eastAsia="cs-CZ"/>
        </w:rPr>
        <w:t xml:space="preserve"> </w:t>
      </w:r>
      <w:r w:rsidRPr="00D4715D">
        <w:rPr>
          <w:rFonts w:eastAsia="Arial Unicode MS"/>
          <w:lang w:eastAsia="cs-CZ"/>
        </w:rPr>
        <w:t>pracovních dnů od uzavření smlouvy</w:t>
      </w:r>
      <w:r w:rsidR="005075F5" w:rsidRPr="00D4715D">
        <w:rPr>
          <w:rFonts w:eastAsia="Arial Unicode MS"/>
          <w:lang w:eastAsia="cs-CZ"/>
        </w:rPr>
        <w:t xml:space="preserve"> </w:t>
      </w:r>
      <w:r w:rsidRPr="00D4715D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D4715D">
        <w:rPr>
          <w:rFonts w:eastAsia="Arial Unicode MS"/>
          <w:lang w:eastAsia="cs-CZ"/>
        </w:rPr>
        <w:t>uvedený v</w:t>
      </w:r>
      <w:r w:rsidR="004F5509" w:rsidRPr="00D4715D">
        <w:rPr>
          <w:rFonts w:eastAsia="Arial Unicode MS"/>
          <w:lang w:eastAsia="cs-CZ"/>
        </w:rPr>
        <w:t xml:space="preserve"> záhlaví smlouvy</w:t>
      </w:r>
      <w:r w:rsidRPr="00D4715D">
        <w:rPr>
          <w:rFonts w:eastAsia="Arial Unicode MS"/>
          <w:lang w:eastAsia="cs-CZ"/>
        </w:rPr>
        <w:t>. Platba bude opatřena variabilním symbolem uvedeným v </w:t>
      </w:r>
      <w:r w:rsidR="00BF512D" w:rsidRPr="00D4715D">
        <w:rPr>
          <w:rFonts w:eastAsia="Arial Unicode MS"/>
          <w:lang w:eastAsia="cs-CZ"/>
        </w:rPr>
        <w:t xml:space="preserve">čl. II. </w:t>
      </w:r>
      <w:r w:rsidRPr="00D4715D">
        <w:rPr>
          <w:rFonts w:eastAsia="Arial Unicode MS"/>
          <w:lang w:eastAsia="cs-CZ"/>
        </w:rPr>
        <w:t>odst</w:t>
      </w:r>
      <w:r w:rsidR="003829B7" w:rsidRPr="00D4715D">
        <w:rPr>
          <w:rFonts w:eastAsia="Arial Unicode MS"/>
          <w:lang w:eastAsia="cs-CZ"/>
        </w:rPr>
        <w:t>.</w:t>
      </w:r>
      <w:r w:rsidRPr="00D4715D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D4715D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C81072" w:rsidRDefault="00D733D2" w:rsidP="00A22A02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357" w:hanging="357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748BE673" w14:textId="77777777" w:rsidR="00D733D2" w:rsidRPr="00B80343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38D2DDF3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65203EF1" w:rsidR="00D733D2" w:rsidRPr="00C81072" w:rsidRDefault="00D733D2" w:rsidP="00A22A02">
      <w:pPr>
        <w:numPr>
          <w:ilvl w:val="0"/>
          <w:numId w:val="3"/>
        </w:numPr>
        <w:spacing w:after="0" w:line="240" w:lineRule="auto"/>
        <w:ind w:left="357" w:hanging="357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802526">
        <w:rPr>
          <w:rFonts w:eastAsia="Arial Unicode MS"/>
          <w:lang w:eastAsia="cs-CZ"/>
        </w:rPr>
        <w:t>do </w:t>
      </w:r>
      <w:r w:rsidR="00D4715D" w:rsidRPr="004B16B5">
        <w:rPr>
          <w:rFonts w:eastAsia="Arial Unicode MS"/>
          <w:lang w:eastAsia="cs-CZ"/>
        </w:rPr>
        <w:t xml:space="preserve">31. </w:t>
      </w:r>
      <w:r w:rsidR="00F71696" w:rsidRPr="004B16B5">
        <w:rPr>
          <w:rFonts w:eastAsia="Arial Unicode MS"/>
          <w:lang w:eastAsia="cs-CZ"/>
        </w:rPr>
        <w:t>12</w:t>
      </w:r>
      <w:r w:rsidR="00D4715D" w:rsidRPr="004B16B5">
        <w:rPr>
          <w:rFonts w:eastAsia="Arial Unicode MS"/>
          <w:lang w:eastAsia="cs-CZ"/>
        </w:rPr>
        <w:t>. 202</w:t>
      </w:r>
      <w:r w:rsidR="00F71696" w:rsidRPr="004B16B5">
        <w:rPr>
          <w:rFonts w:eastAsia="Arial Unicode MS"/>
          <w:lang w:eastAsia="cs-CZ"/>
        </w:rPr>
        <w:t>4</w:t>
      </w:r>
      <w:r w:rsidR="00D4715D" w:rsidRPr="004B16B5">
        <w:rPr>
          <w:rFonts w:eastAsia="Arial Unicode MS"/>
          <w:lang w:eastAsia="cs-CZ"/>
        </w:rPr>
        <w:t xml:space="preserve">. </w:t>
      </w:r>
      <w:r w:rsidR="00F71696" w:rsidRPr="004B16B5">
        <w:rPr>
          <w:rFonts w:eastAsia="Arial Unicode MS"/>
          <w:lang w:eastAsia="cs-CZ"/>
        </w:rPr>
        <w:t xml:space="preserve">Dotace se poskytuje na realizaci projektu/činnosti/akce od 1. 1. 2024 do 31. 12. 2024. Doklady o realizaci projektu/činnosti/akce musí mít datum uskutečnění zdanitelného plnění od 1. 1. 2024 do 31. 12. 2024 a musí být uhrazeny nejpozději do </w:t>
      </w:r>
      <w:r w:rsidR="00F71696" w:rsidRPr="001F718D">
        <w:rPr>
          <w:rFonts w:eastAsia="Arial Unicode MS"/>
          <w:b/>
          <w:lang w:eastAsia="cs-CZ"/>
        </w:rPr>
        <w:t>31. 12. 2024</w:t>
      </w:r>
      <w:r w:rsidR="00F71696" w:rsidRPr="004B16B5">
        <w:rPr>
          <w:rFonts w:eastAsia="Arial Unicode MS"/>
          <w:lang w:eastAsia="cs-CZ"/>
        </w:rPr>
        <w:t xml:space="preserve"> (datum hotovostní úhrady nebo datum uskutečnění bankovního převodu).</w:t>
      </w:r>
      <w:r w:rsidR="00F71696" w:rsidRPr="006870D9">
        <w:rPr>
          <w:rFonts w:eastAsia="Arial Unicode MS"/>
          <w:lang w:eastAsia="cs-CZ"/>
        </w:rPr>
        <w:t xml:space="preserve"> </w:t>
      </w:r>
      <w:r w:rsidR="00DF7ECE" w:rsidRPr="00802526">
        <w:rPr>
          <w:rFonts w:eastAsia="Arial Unicode MS"/>
          <w:lang w:eastAsia="cs-CZ"/>
        </w:rPr>
        <w:t>Vyčerpáním se rozumí datum ode</w:t>
      </w:r>
      <w:r w:rsidR="0015202A" w:rsidRPr="00802526">
        <w:rPr>
          <w:rFonts w:eastAsia="Arial Unicode MS"/>
          <w:lang w:eastAsia="cs-CZ"/>
        </w:rPr>
        <w:t>ps</w:t>
      </w:r>
      <w:r w:rsidR="00DF7ECE" w:rsidRPr="00802526">
        <w:rPr>
          <w:rFonts w:eastAsia="Arial Unicode MS"/>
          <w:lang w:eastAsia="cs-CZ"/>
        </w:rPr>
        <w:t>ání finančních prostředků</w:t>
      </w:r>
      <w:r w:rsidR="00DF7ECE" w:rsidRPr="00C81072">
        <w:rPr>
          <w:rFonts w:eastAsia="Arial Unicode MS"/>
          <w:lang w:eastAsia="cs-CZ"/>
        </w:rPr>
        <w:t xml:space="preserve"> z účtu příjemce, popř.</w:t>
      </w:r>
      <w:r w:rsidR="00820862" w:rsidRPr="00C81072">
        <w:rPr>
          <w:rFonts w:eastAsia="Arial Unicode MS"/>
          <w:lang w:eastAsia="cs-CZ"/>
        </w:rPr>
        <w:t> </w:t>
      </w:r>
      <w:r w:rsidR="00DF7ECE" w:rsidRPr="00C81072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68422FB7" w14:textId="3DDFE0B1" w:rsidR="00D4715D" w:rsidRPr="003D36FB" w:rsidRDefault="00D4715D" w:rsidP="00A22A02">
      <w:pPr>
        <w:numPr>
          <w:ilvl w:val="0"/>
          <w:numId w:val="3"/>
        </w:numPr>
        <w:spacing w:after="0" w:line="240" w:lineRule="auto"/>
        <w:ind w:left="357" w:hanging="357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 xml:space="preserve">Dotace je </w:t>
      </w:r>
      <w:r w:rsidR="008E6AD6" w:rsidRPr="004B16B5">
        <w:rPr>
          <w:rFonts w:eastAsia="Arial Unicode MS"/>
          <w:lang w:eastAsia="cs-CZ"/>
        </w:rPr>
        <w:t>i</w:t>
      </w:r>
      <w:r w:rsidR="00F71696" w:rsidRPr="004B16B5">
        <w:rPr>
          <w:rFonts w:eastAsia="Arial Unicode MS"/>
          <w:lang w:eastAsia="cs-CZ"/>
        </w:rPr>
        <w:t>nvestičního</w:t>
      </w:r>
      <w:r w:rsidRPr="004B16B5">
        <w:rPr>
          <w:rFonts w:eastAsia="Arial Unicode MS"/>
          <w:lang w:eastAsia="cs-CZ"/>
        </w:rPr>
        <w:t xml:space="preserve"> charakteru</w:t>
      </w:r>
      <w:r w:rsidR="00FA1D6E">
        <w:rPr>
          <w:rFonts w:eastAsia="Arial Unicode MS"/>
          <w:lang w:eastAsia="cs-CZ"/>
        </w:rPr>
        <w:t xml:space="preserve">. </w:t>
      </w:r>
      <w:r w:rsidR="00FA1D6E">
        <w:t xml:space="preserve">Příjemce je povinen ji použít výhradně k podpoře úhrady nákladů spočívajících v realizaci projektu „Senior Expres“, tzn., že poskytnutá dotace musí být využita k pořízení automobilu v rámci projektu „Senior Expres“, který bude sloužit </w:t>
      </w:r>
      <w:r w:rsidR="003C0BDD">
        <w:t xml:space="preserve">k </w:t>
      </w:r>
      <w:r w:rsidR="003C0BDD" w:rsidRPr="00522559">
        <w:t>zajištění potřeb a zlepšení komunitního života občanů v</w:t>
      </w:r>
      <w:r w:rsidR="003C0BDD">
        <w:t> </w:t>
      </w:r>
      <w:r w:rsidR="003C0BDD" w:rsidRPr="00522559">
        <w:t>obcíc</w:t>
      </w:r>
      <w:r w:rsidR="003C0BDD">
        <w:t xml:space="preserve">h, například k </w:t>
      </w:r>
      <w:r w:rsidR="00FA1D6E">
        <w:t>přeprav</w:t>
      </w:r>
      <w:r w:rsidR="003C0BDD">
        <w:t>ě</w:t>
      </w:r>
      <w:r w:rsidR="00FA1D6E">
        <w:t xml:space="preserve"> občanů k lékařům, k jednání</w:t>
      </w:r>
      <w:r w:rsidR="003C0BDD">
        <w:t>m</w:t>
      </w:r>
      <w:r w:rsidR="00FA1D6E">
        <w:t xml:space="preserve"> na úřadech,</w:t>
      </w:r>
      <w:r w:rsidR="003C0BDD">
        <w:t xml:space="preserve"> </w:t>
      </w:r>
      <w:r w:rsidR="00FA1D6E">
        <w:t>k zajištění služeb</w:t>
      </w:r>
      <w:r w:rsidR="003C0BDD">
        <w:t xml:space="preserve"> </w:t>
      </w:r>
      <w:r w:rsidR="00FA1D6E">
        <w:t>atd.</w:t>
      </w:r>
      <w:r w:rsidRPr="003D36FB">
        <w:rPr>
          <w:rFonts w:eastAsia="Arial Unicode MS"/>
          <w:lang w:eastAsia="cs-CZ"/>
        </w:rPr>
        <w:t xml:space="preserve"> </w:t>
      </w:r>
    </w:p>
    <w:p w14:paraId="311E90B2" w14:textId="44375210" w:rsidR="005A7F71" w:rsidRDefault="00D4715D" w:rsidP="00D4715D">
      <w:pPr>
        <w:spacing w:after="0" w:line="240" w:lineRule="auto"/>
        <w:ind w:firstLine="360"/>
        <w:rPr>
          <w:rFonts w:eastAsia="Arial Unicode MS"/>
          <w:color w:val="FF0000"/>
          <w:highlight w:val="yellow"/>
          <w:lang w:eastAsia="cs-CZ"/>
        </w:rPr>
      </w:pPr>
      <w:r>
        <w:rPr>
          <w:rFonts w:eastAsia="Arial Unicode MS"/>
          <w:color w:val="FF0000"/>
          <w:highlight w:val="yellow"/>
          <w:lang w:eastAsia="cs-CZ"/>
        </w:rPr>
        <w:t xml:space="preserve"> </w:t>
      </w:r>
    </w:p>
    <w:p w14:paraId="67C8C35E" w14:textId="567229A2" w:rsidR="005A7F71" w:rsidRPr="004B16B5" w:rsidRDefault="005A7F71" w:rsidP="00D4715D">
      <w:pPr>
        <w:spacing w:after="0" w:line="240" w:lineRule="auto"/>
        <w:ind w:firstLine="360"/>
        <w:rPr>
          <w:rFonts w:eastAsia="Arial Unicode MS"/>
          <w:color w:val="FF0000"/>
          <w:lang w:eastAsia="cs-CZ"/>
        </w:rPr>
      </w:pPr>
      <w:r w:rsidRPr="004B16B5">
        <w:rPr>
          <w:rFonts w:eastAsia="Arial Unicode MS"/>
          <w:lang w:eastAsia="cs-CZ"/>
        </w:rPr>
        <w:t>Příjemce je dále povinen splnit tyto podmínky:</w:t>
      </w:r>
    </w:p>
    <w:p w14:paraId="53ABDEC5" w14:textId="60922FEA" w:rsidR="00D733D2" w:rsidRPr="004B16B5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436AF4DE" w14:textId="4E459C90" w:rsidR="002A3CED" w:rsidRPr="004B16B5" w:rsidRDefault="002A3CED" w:rsidP="002A3CED">
      <w:pPr>
        <w:pStyle w:val="Odstavecseseznamem"/>
        <w:numPr>
          <w:ilvl w:val="0"/>
          <w:numId w:val="31"/>
        </w:numPr>
        <w:spacing w:after="160" w:line="259" w:lineRule="auto"/>
        <w:rPr>
          <w:rFonts w:eastAsia="Times New Roman"/>
          <w:lang w:eastAsia="cs-CZ"/>
        </w:rPr>
      </w:pPr>
      <w:r w:rsidRPr="004B16B5">
        <w:rPr>
          <w:rFonts w:eastAsia="Times New Roman"/>
          <w:lang w:eastAsia="cs-CZ"/>
        </w:rPr>
        <w:t>příjemce dotace musí službu v rámci projektu financovaného z dotačního programu „Senior Expres“ poskytovat minimálně 5 let od doby pořízení automobilu a bude po dobu 5 let dokládat poskytovateli dotace vždy do 31. 1. následujícího roku vlastnictví vozidla (karta majetku). V případě nedodržení této pětileté lhůty je povinen příjemce vrátit poskytovateli dotaci v plné výši</w:t>
      </w:r>
      <w:r w:rsidR="00B87095">
        <w:rPr>
          <w:rFonts w:eastAsia="Times New Roman"/>
          <w:lang w:eastAsia="cs-CZ"/>
        </w:rPr>
        <w:t>;</w:t>
      </w:r>
    </w:p>
    <w:p w14:paraId="7940B080" w14:textId="1187B12C" w:rsidR="002A3CED" w:rsidRPr="004B16B5" w:rsidRDefault="002A3CED" w:rsidP="002A3CED">
      <w:pPr>
        <w:pStyle w:val="Odstavecseseznamem"/>
        <w:numPr>
          <w:ilvl w:val="0"/>
          <w:numId w:val="31"/>
        </w:numPr>
        <w:spacing w:after="0" w:line="240" w:lineRule="auto"/>
        <w:ind w:left="714" w:hanging="357"/>
        <w:rPr>
          <w:rFonts w:eastAsia="Times New Roman"/>
          <w:lang w:eastAsia="cs-CZ"/>
        </w:rPr>
      </w:pPr>
      <w:r w:rsidRPr="004B16B5">
        <w:rPr>
          <w:rFonts w:eastAsia="Times New Roman"/>
          <w:lang w:eastAsia="cs-CZ"/>
        </w:rPr>
        <w:t>dotovaný projekt se musí výlučně vztahovat na majetek ve vlastnictví žadatele, tj. zakoupený automobil musí být majetkem obce</w:t>
      </w:r>
      <w:r w:rsidR="00B87095">
        <w:rPr>
          <w:rFonts w:eastAsia="Times New Roman"/>
          <w:lang w:eastAsia="cs-CZ"/>
        </w:rPr>
        <w:t>;</w:t>
      </w:r>
      <w:r w:rsidRPr="004B16B5">
        <w:rPr>
          <w:rFonts w:eastAsia="Times New Roman"/>
          <w:lang w:eastAsia="cs-CZ"/>
        </w:rPr>
        <w:t xml:space="preserve"> </w:t>
      </w:r>
    </w:p>
    <w:p w14:paraId="41C0261F" w14:textId="1DA4B29D" w:rsidR="002A3CED" w:rsidRPr="004B16B5" w:rsidRDefault="002A3CED" w:rsidP="002A3CED">
      <w:pPr>
        <w:pStyle w:val="Odstavecseseznamem"/>
        <w:numPr>
          <w:ilvl w:val="0"/>
          <w:numId w:val="31"/>
        </w:numPr>
        <w:spacing w:after="0" w:line="240" w:lineRule="auto"/>
        <w:ind w:left="714" w:hanging="357"/>
        <w:rPr>
          <w:rFonts w:eastAsia="Times New Roman"/>
          <w:lang w:eastAsia="cs-CZ"/>
        </w:rPr>
      </w:pPr>
      <w:r w:rsidRPr="004B16B5">
        <w:rPr>
          <w:rFonts w:eastAsia="Times New Roman"/>
          <w:lang w:eastAsia="cs-CZ"/>
        </w:rPr>
        <w:t>individuální nastavení podmínek využití služby si stanoví každý příjemce dotace sám dle vlastních podmínek a pravidel se zřetelem na komunitní využití</w:t>
      </w:r>
      <w:r w:rsidR="00B87095">
        <w:rPr>
          <w:rFonts w:eastAsia="Times New Roman"/>
          <w:lang w:eastAsia="cs-CZ"/>
        </w:rPr>
        <w:t>.</w:t>
      </w:r>
      <w:r w:rsidRPr="004B16B5">
        <w:rPr>
          <w:rFonts w:eastAsia="Times New Roman"/>
          <w:lang w:eastAsia="cs-CZ"/>
        </w:rPr>
        <w:t xml:space="preserve"> </w:t>
      </w:r>
    </w:p>
    <w:p w14:paraId="26A7FADD" w14:textId="77777777" w:rsidR="000D021A" w:rsidRPr="00D4715D" w:rsidRDefault="000D021A" w:rsidP="00D733D2">
      <w:pPr>
        <w:spacing w:after="0" w:line="240" w:lineRule="auto"/>
        <w:rPr>
          <w:rFonts w:eastAsia="Arial Unicode MS"/>
          <w:highlight w:val="yellow"/>
          <w:lang w:eastAsia="cs-CZ"/>
        </w:rPr>
      </w:pPr>
    </w:p>
    <w:p w14:paraId="3857805C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15AEEC94" w14:textId="697454F1" w:rsidR="008F0B23" w:rsidRPr="00D703E1" w:rsidRDefault="008F0B23" w:rsidP="00D703E1">
      <w:pPr>
        <w:pStyle w:val="Odstavecseseznamem"/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</w:t>
      </w:r>
      <w:r w:rsidR="003D28B6" w:rsidRPr="00C81072">
        <w:rPr>
          <w:lang w:eastAsia="cs-CZ"/>
        </w:rPr>
        <w:t xml:space="preserve"> </w:t>
      </w:r>
      <w:r w:rsidR="00CF4C9A">
        <w:rPr>
          <w:lang w:eastAsia="cs-CZ"/>
        </w:rPr>
        <w:t>p</w:t>
      </w:r>
      <w:r w:rsidR="00866C55" w:rsidRPr="00AC6E69">
        <w:rPr>
          <w:lang w:eastAsia="cs-CZ"/>
        </w:rPr>
        <w:t>rogramem</w:t>
      </w:r>
      <w:r w:rsidR="002A3CED">
        <w:rPr>
          <w:lang w:eastAsia="cs-CZ"/>
        </w:rPr>
        <w:t xml:space="preserve"> Senior </w:t>
      </w:r>
      <w:r w:rsidR="007C5B62">
        <w:rPr>
          <w:lang w:eastAsia="cs-CZ"/>
        </w:rPr>
        <w:t>E</w:t>
      </w:r>
      <w:r w:rsidR="002A3CED">
        <w:rPr>
          <w:lang w:eastAsia="cs-CZ"/>
        </w:rPr>
        <w:t>xpres</w:t>
      </w:r>
      <w:r w:rsidR="003672DD" w:rsidRPr="00D703E1">
        <w:rPr>
          <w:rFonts w:eastAsia="Times New Roman"/>
        </w:rPr>
        <w:t xml:space="preserve"> </w:t>
      </w:r>
      <w:r w:rsidR="00820862" w:rsidRPr="00C81072">
        <w:rPr>
          <w:lang w:eastAsia="cs-CZ"/>
        </w:rPr>
        <w:t xml:space="preserve">schváleným Zastupitelstvem </w:t>
      </w:r>
      <w:r w:rsidRPr="00C81072">
        <w:rPr>
          <w:lang w:eastAsia="cs-CZ"/>
        </w:rPr>
        <w:t>Karlovarského kraje usnesením č</w:t>
      </w:r>
      <w:r w:rsidR="00B87095">
        <w:rPr>
          <w:lang w:eastAsia="cs-CZ"/>
        </w:rPr>
        <w:t>.</w:t>
      </w:r>
      <w:r w:rsidRPr="00C81072">
        <w:rPr>
          <w:lang w:eastAsia="cs-CZ"/>
        </w:rPr>
        <w:t xml:space="preserve"> </w:t>
      </w:r>
      <w:r w:rsidR="00AC6E69">
        <w:rPr>
          <w:lang w:eastAsia="cs-CZ"/>
        </w:rPr>
        <w:t>ZK 50/02/24</w:t>
      </w:r>
      <w:r w:rsidR="00235F86" w:rsidRPr="00D703E1">
        <w:rPr>
          <w:color w:val="FF0000"/>
          <w:lang w:eastAsia="cs-CZ"/>
        </w:rPr>
        <w:t xml:space="preserve"> </w:t>
      </w:r>
      <w:r w:rsidRPr="00C81072">
        <w:rPr>
          <w:lang w:eastAsia="cs-CZ"/>
        </w:rPr>
        <w:t xml:space="preserve">ze dne </w:t>
      </w:r>
      <w:r w:rsidR="00AC6E69">
        <w:rPr>
          <w:lang w:eastAsia="cs-CZ"/>
        </w:rPr>
        <w:t>26. 2. 2024</w:t>
      </w:r>
      <w:r w:rsidRPr="00C81072">
        <w:rPr>
          <w:lang w:eastAsia="cs-CZ"/>
        </w:rPr>
        <w:t>, zveřejněným na</w:t>
      </w:r>
      <w:r w:rsidR="00063C82" w:rsidRPr="00C81072">
        <w:rPr>
          <w:lang w:eastAsia="cs-CZ"/>
        </w:rPr>
        <w:t> </w:t>
      </w:r>
      <w:r w:rsidRPr="00C81072">
        <w:rPr>
          <w:lang w:eastAsia="cs-CZ"/>
        </w:rPr>
        <w:t>úřední desce poskytovatele a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touto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smlouvou.</w:t>
      </w:r>
    </w:p>
    <w:p w14:paraId="65F6FFF3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0BAAC913" w:rsidR="00517DCD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výhradně k účelu uvedenému v</w:t>
      </w:r>
      <w:r w:rsidR="003829B7">
        <w:rPr>
          <w:rFonts w:eastAsia="Arial Unicode MS"/>
          <w:lang w:eastAsia="cs-CZ"/>
        </w:rPr>
        <w:t> </w:t>
      </w:r>
      <w:r w:rsidRPr="00AC6E69">
        <w:rPr>
          <w:rFonts w:eastAsia="Arial Unicode MS"/>
          <w:lang w:eastAsia="cs-CZ"/>
        </w:rPr>
        <w:t>čl</w:t>
      </w:r>
      <w:r w:rsidR="003829B7" w:rsidRPr="00AC6E69">
        <w:rPr>
          <w:rFonts w:eastAsia="Arial Unicode MS"/>
          <w:lang w:eastAsia="cs-CZ"/>
        </w:rPr>
        <w:t>.</w:t>
      </w:r>
      <w:r w:rsidRPr="00AC6E69">
        <w:rPr>
          <w:rFonts w:eastAsia="Arial Unicode MS"/>
          <w:lang w:eastAsia="cs-CZ"/>
        </w:rPr>
        <w:t xml:space="preserve"> II.</w:t>
      </w:r>
      <w:r w:rsidR="003829B7" w:rsidRPr="00AC6E69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02723034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prostředky nesmí použít </w:t>
      </w:r>
      <w:r w:rsidRPr="004B16B5">
        <w:rPr>
          <w:rFonts w:eastAsia="Arial Unicode MS"/>
          <w:lang w:eastAsia="cs-CZ"/>
        </w:rPr>
        <w:t>na penále, úroky z úvěrů, náhrady škod, pokuty, úhrady dluhu apod.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03F7672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F981134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příjemce opatří svým podpisem, a to nejpozději do </w:t>
      </w:r>
      <w:r w:rsidR="00E62783" w:rsidRPr="001F718D">
        <w:rPr>
          <w:rFonts w:eastAsia="Arial Unicode MS"/>
          <w:b/>
          <w:lang w:eastAsia="cs-CZ"/>
        </w:rPr>
        <w:t>31. 1. 2025</w:t>
      </w:r>
      <w:r w:rsidRPr="00C81072">
        <w:rPr>
          <w:rFonts w:eastAsia="Arial Unicode MS"/>
          <w:lang w:eastAsia="cs-CZ"/>
        </w:rPr>
        <w:t>, resp. do dne ukončení smlouvy v případě čl.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</w:t>
      </w:r>
      <w:r w:rsidR="000C12F2" w:rsidRPr="00C81072">
        <w:rPr>
          <w:rFonts w:eastAsia="Arial Unicode MS"/>
          <w:lang w:eastAsia="cs-CZ"/>
        </w:rPr>
        <w:t>X.</w:t>
      </w:r>
      <w:r w:rsidRPr="00C81072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C81072">
          <w:rPr>
            <w:rStyle w:val="Hypertextovodkaz"/>
          </w:rPr>
          <w:t>http://www.kr-karlovarsky.cz/dotace/Stranky/Prehled-dotace.aspx</w:t>
        </w:r>
      </w:hyperlink>
      <w:r w:rsidRPr="00C81072">
        <w:rPr>
          <w:rFonts w:eastAsia="Arial Unicode MS"/>
          <w:lang w:eastAsia="cs-CZ"/>
        </w:rPr>
        <w:t>.</w:t>
      </w:r>
    </w:p>
    <w:p w14:paraId="09F8E3E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C81072" w:rsidRDefault="008F0B23" w:rsidP="000D021A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uznatelný výdaj.</w:t>
      </w:r>
    </w:p>
    <w:p w14:paraId="1CED71B4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4B16B5" w:rsidRDefault="008F0B23" w:rsidP="000D021A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4B16B5">
        <w:rPr>
          <w:rFonts w:eastAsia="Arial Unicode MS"/>
          <w:lang w:eastAsia="cs-CZ"/>
        </w:rPr>
        <w:t>administrujícímu</w:t>
      </w:r>
      <w:proofErr w:type="spellEnd"/>
      <w:r w:rsidRPr="004B16B5">
        <w:rPr>
          <w:rFonts w:eastAsia="Arial Unicode MS"/>
          <w:lang w:eastAsia="cs-CZ"/>
        </w:rPr>
        <w:t xml:space="preserve"> odboru</w:t>
      </w:r>
      <w:r w:rsidR="004F5509" w:rsidRPr="004B16B5">
        <w:rPr>
          <w:rFonts w:eastAsia="Arial Unicode MS"/>
          <w:lang w:eastAsia="cs-CZ"/>
        </w:rPr>
        <w:t>:</w:t>
      </w:r>
    </w:p>
    <w:p w14:paraId="3AAB6220" w14:textId="749EF181" w:rsidR="004F5509" w:rsidRPr="004B16B5" w:rsidRDefault="004F5509" w:rsidP="000D021A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 xml:space="preserve">průkaznou fotodokumentaci </w:t>
      </w:r>
      <w:r w:rsidR="004F3493" w:rsidRPr="004B16B5">
        <w:rPr>
          <w:rFonts w:eastAsia="Arial Unicode MS"/>
          <w:lang w:eastAsia="cs-CZ"/>
        </w:rPr>
        <w:t xml:space="preserve">k </w:t>
      </w:r>
      <w:r w:rsidRPr="004B16B5">
        <w:rPr>
          <w:rFonts w:eastAsia="Arial Unicode MS"/>
          <w:lang w:eastAsia="cs-CZ"/>
        </w:rPr>
        <w:t>předmětu dotace;</w:t>
      </w:r>
    </w:p>
    <w:p w14:paraId="0201FB96" w14:textId="3A99AA48" w:rsidR="005A3162" w:rsidRPr="004B16B5" w:rsidRDefault="005A3162" w:rsidP="000D021A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 xml:space="preserve">dokumentaci o propagaci </w:t>
      </w:r>
      <w:r w:rsidR="00EB02D6" w:rsidRPr="004B16B5">
        <w:rPr>
          <w:rFonts w:eastAsia="Arial Unicode MS"/>
          <w:lang w:eastAsia="cs-CZ"/>
        </w:rPr>
        <w:t>poskytovatele dotace</w:t>
      </w:r>
      <w:r w:rsidR="00303E56" w:rsidRPr="004B16B5">
        <w:rPr>
          <w:rFonts w:eastAsia="Arial Unicode MS"/>
          <w:lang w:eastAsia="cs-CZ"/>
        </w:rPr>
        <w:t xml:space="preserve"> </w:t>
      </w:r>
      <w:r w:rsidR="00303E56" w:rsidRPr="004B16B5">
        <w:t>(např. audio/video záznam, fotografie, materiály)</w:t>
      </w:r>
      <w:r w:rsidR="00EB02D6" w:rsidRPr="004B16B5">
        <w:rPr>
          <w:rFonts w:eastAsia="Arial Unicode MS"/>
          <w:lang w:val="de-DE" w:eastAsia="cs-CZ"/>
        </w:rPr>
        <w:t>;</w:t>
      </w:r>
    </w:p>
    <w:p w14:paraId="5BE0398B" w14:textId="16D64949" w:rsidR="004F5509" w:rsidRPr="004B16B5" w:rsidRDefault="004F5509" w:rsidP="000D021A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>doklad o zaúčtování majetku do účetnictví organizace</w:t>
      </w:r>
      <w:r w:rsidR="00DD5B1F" w:rsidRPr="004B16B5">
        <w:rPr>
          <w:rFonts w:eastAsia="Arial Unicode MS"/>
          <w:lang w:eastAsia="cs-CZ"/>
        </w:rPr>
        <w:t>.</w:t>
      </w:r>
    </w:p>
    <w:p w14:paraId="504E1F98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43FBC55" w:rsidR="00476C23" w:rsidRPr="00802526" w:rsidRDefault="008F0B23" w:rsidP="0034277C">
      <w:pPr>
        <w:numPr>
          <w:ilvl w:val="0"/>
          <w:numId w:val="3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</w:t>
      </w:r>
      <w:r w:rsidR="00476C23" w:rsidRPr="00C81072">
        <w:rPr>
          <w:rFonts w:eastAsia="Arial Unicode MS"/>
          <w:lang w:eastAsia="cs-CZ"/>
        </w:rPr>
        <w:t xml:space="preserve"> je povinen zajistit propagaci poskytovatele dotace</w:t>
      </w:r>
      <w:r w:rsidR="00AF07DC" w:rsidRPr="00C81072">
        <w:rPr>
          <w:rFonts w:eastAsia="Arial Unicode MS"/>
          <w:lang w:eastAsia="cs-CZ"/>
        </w:rPr>
        <w:t xml:space="preserve"> </w:t>
      </w:r>
      <w:r w:rsidR="00476C23" w:rsidRPr="00C81072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>
        <w:rPr>
          <w:rFonts w:eastAsia="Arial Unicode MS"/>
          <w:lang w:eastAsia="cs-CZ"/>
        </w:rPr>
        <w:br/>
      </w:r>
      <w:r w:rsidR="00476C23" w:rsidRPr="00C81072">
        <w:rPr>
          <w:rFonts w:eastAsia="Arial Unicode MS"/>
          <w:lang w:eastAsia="cs-CZ"/>
        </w:rPr>
        <w:t xml:space="preserve">v bodě </w:t>
      </w:r>
      <w:r w:rsidR="00CF660D" w:rsidRPr="00C81072">
        <w:rPr>
          <w:rFonts w:eastAsia="Arial Unicode MS"/>
          <w:lang w:eastAsia="cs-CZ"/>
        </w:rPr>
        <w:t>6</w:t>
      </w:r>
      <w:r w:rsidR="00476C23" w:rsidRPr="00C81072">
        <w:rPr>
          <w:rFonts w:eastAsia="Arial Unicode MS"/>
          <w:lang w:eastAsia="cs-CZ"/>
        </w:rPr>
        <w:t xml:space="preserve"> formuláře žádosti o dotaci</w:t>
      </w:r>
      <w:r w:rsidR="00FB6890" w:rsidRPr="00C81072">
        <w:rPr>
          <w:rFonts w:eastAsia="Arial Unicode MS"/>
          <w:lang w:eastAsia="cs-CZ"/>
        </w:rPr>
        <w:t xml:space="preserve">. </w:t>
      </w:r>
      <w:r w:rsidR="00FB6890" w:rsidRPr="00802526">
        <w:rPr>
          <w:rFonts w:eastAsia="Arial Unicode MS"/>
          <w:lang w:eastAsia="cs-CZ"/>
        </w:rPr>
        <w:t>P</w:t>
      </w:r>
      <w:r w:rsidR="00476C23" w:rsidRPr="00802526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802526">
        <w:rPr>
          <w:rFonts w:eastAsia="Arial Unicode MS"/>
          <w:lang w:eastAsia="cs-CZ"/>
        </w:rPr>
        <w:t xml:space="preserve">aktivní </w:t>
      </w:r>
      <w:r w:rsidR="00476C23" w:rsidRPr="00802526">
        <w:rPr>
          <w:rFonts w:eastAsia="Arial Unicode MS"/>
          <w:lang w:eastAsia="cs-CZ"/>
        </w:rPr>
        <w:t xml:space="preserve">odkaz </w:t>
      </w:r>
      <w:r w:rsidR="00063C82" w:rsidRPr="00802526">
        <w:rPr>
          <w:rFonts w:eastAsia="Arial Unicode MS"/>
          <w:lang w:eastAsia="cs-CZ"/>
        </w:rPr>
        <w:t>na</w:t>
      </w:r>
      <w:r w:rsidR="00476C23" w:rsidRPr="00802526">
        <w:rPr>
          <w:rFonts w:eastAsia="Arial Unicode MS"/>
          <w:lang w:eastAsia="cs-CZ"/>
        </w:rPr>
        <w:t xml:space="preserve"> </w:t>
      </w:r>
      <w:hyperlink r:id="rId12" w:history="1">
        <w:r w:rsidR="00972169" w:rsidRPr="00802526">
          <w:rPr>
            <w:rStyle w:val="Hypertextovodkaz"/>
          </w:rPr>
          <w:t>https://www.kr-karlovarsky.cz</w:t>
        </w:r>
      </w:hyperlink>
      <w:r w:rsidR="00476C23" w:rsidRPr="00802526">
        <w:rPr>
          <w:rFonts w:eastAsia="Arial Unicode MS"/>
          <w:lang w:eastAsia="cs-CZ"/>
        </w:rPr>
        <w:t>.</w:t>
      </w:r>
    </w:p>
    <w:p w14:paraId="1D4AD7AC" w14:textId="77777777" w:rsidR="00476C23" w:rsidRPr="00802526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342652F7" w:rsidR="00476C23" w:rsidRPr="00C81072" w:rsidRDefault="00476C23" w:rsidP="0034277C">
      <w:pPr>
        <w:numPr>
          <w:ilvl w:val="0"/>
          <w:numId w:val="35"/>
        </w:numPr>
        <w:spacing w:after="0" w:line="240" w:lineRule="auto"/>
      </w:pPr>
      <w:bookmarkStart w:id="2" w:name="_Hlk157150467"/>
      <w:r w:rsidRPr="00802526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802526">
        <w:rPr>
          <w:rFonts w:eastAsia="Arial Unicode MS"/>
          <w:lang w:eastAsia="cs-CZ"/>
        </w:rPr>
        <w:t xml:space="preserve">viz </w:t>
      </w:r>
      <w:r w:rsidRPr="00802526">
        <w:rPr>
          <w:rFonts w:eastAsia="Arial Unicode MS"/>
          <w:lang w:eastAsia="cs-CZ"/>
        </w:rPr>
        <w:t>pravidla pro užití loga</w:t>
      </w:r>
      <w:r w:rsidRPr="00C81072">
        <w:rPr>
          <w:rFonts w:eastAsia="Arial Unicode MS"/>
          <w:lang w:eastAsia="cs-CZ"/>
        </w:rPr>
        <w:t xml:space="preserve"> poskytovatele </w:t>
      </w:r>
      <w:hyperlink r:id="rId13" w:history="1">
        <w:r w:rsidR="00266773" w:rsidRPr="00C81072">
          <w:rPr>
            <w:rStyle w:val="Hypertextovodkaz"/>
          </w:rPr>
          <w:t>http://www.kr-karlovarsky.cz/samosprava/Stranky/poskyt.aspx</w:t>
        </w:r>
      </w:hyperlink>
      <w:bookmarkEnd w:id="2"/>
      <w:r w:rsidRPr="00C81072">
        <w:rPr>
          <w:rFonts w:eastAsia="Arial Unicode MS"/>
          <w:lang w:eastAsia="cs-CZ"/>
        </w:rPr>
        <w:t>).</w:t>
      </w:r>
    </w:p>
    <w:p w14:paraId="5C50FCFB" w14:textId="77777777" w:rsidR="00281566" w:rsidRPr="00C81072" w:rsidRDefault="00281566" w:rsidP="00B80343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C81072" w:rsidRDefault="00190D24" w:rsidP="0034277C">
      <w:pPr>
        <w:numPr>
          <w:ilvl w:val="0"/>
          <w:numId w:val="35"/>
        </w:numPr>
        <w:spacing w:after="0" w:line="240" w:lineRule="auto"/>
        <w:rPr>
          <w:rFonts w:eastAsia="Arial Unicode MS"/>
          <w:lang w:eastAsia="cs-CZ"/>
        </w:rPr>
      </w:pPr>
      <w:bookmarkStart w:id="3" w:name="_Hlk157150545"/>
      <w:r w:rsidRPr="00802526">
        <w:t>Pokud</w:t>
      </w:r>
      <w:r w:rsidR="008F0B23" w:rsidRPr="00802526">
        <w:t xml:space="preserve"> má</w:t>
      </w:r>
      <w:r w:rsidR="008F0B23" w:rsidRPr="00C81072">
        <w:t xml:space="preserve"> </w:t>
      </w:r>
      <w:r w:rsidRPr="00C81072">
        <w:t xml:space="preserve">příjemce </w:t>
      </w:r>
      <w:r w:rsidR="008F0B23" w:rsidRPr="00C81072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3"/>
    <w:p w14:paraId="442D492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C81072" w:rsidRDefault="008F0B23" w:rsidP="000D021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Pr="00C81072">
        <w:rPr>
          <w:rFonts w:eastAsia="Arial Unicode MS"/>
          <w:lang w:eastAsia="cs-CZ"/>
        </w:rPr>
        <w:t>formou bezhotovostního převodu na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účet poskytovatele</w:t>
      </w:r>
      <w:r w:rsidR="00266773" w:rsidRPr="00C81072">
        <w:rPr>
          <w:rFonts w:eastAsia="Arial Unicode MS"/>
          <w:lang w:eastAsia="cs-CZ"/>
        </w:rPr>
        <w:t>, ze kterého dotaci obdržel</w:t>
      </w:r>
      <w:r w:rsidR="00A22E47" w:rsidRPr="00C81072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</w:t>
      </w:r>
      <w:r w:rsidR="00F73D78" w:rsidRPr="00C81072">
        <w:rPr>
          <w:rFonts w:eastAsia="Arial Unicode MS"/>
          <w:lang w:eastAsia="cs-CZ"/>
        </w:rPr>
        <w:t xml:space="preserve">Platbu </w:t>
      </w:r>
      <w:r w:rsidR="00266773" w:rsidRPr="00C81072">
        <w:rPr>
          <w:rFonts w:eastAsia="Arial Unicode MS"/>
          <w:lang w:eastAsia="cs-CZ"/>
        </w:rPr>
        <w:t xml:space="preserve">musí </w:t>
      </w:r>
      <w:r w:rsidR="00F73D78" w:rsidRPr="00C81072">
        <w:rPr>
          <w:rFonts w:eastAsia="Arial Unicode MS"/>
          <w:lang w:eastAsia="cs-CZ"/>
        </w:rPr>
        <w:t xml:space="preserve">opatřit </w:t>
      </w:r>
      <w:r w:rsidRPr="00C81072">
        <w:rPr>
          <w:rFonts w:eastAsia="Arial Unicode MS"/>
          <w:lang w:eastAsia="cs-CZ"/>
        </w:rPr>
        <w:t xml:space="preserve">variabilním symbolem uvedeným </w:t>
      </w:r>
      <w:r w:rsidR="00031E45">
        <w:rPr>
          <w:rFonts w:eastAsia="Arial Unicode MS"/>
          <w:lang w:eastAsia="cs-CZ"/>
        </w:rPr>
        <w:br/>
      </w:r>
      <w:r w:rsidRPr="00C81072">
        <w:rPr>
          <w:rFonts w:eastAsia="Arial Unicode MS"/>
          <w:lang w:eastAsia="cs-CZ"/>
        </w:rPr>
        <w:t>v čl. II</w:t>
      </w:r>
      <w:r w:rsidR="00A94054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296FD4FE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C81072" w:rsidRDefault="008F0B23" w:rsidP="005D1295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C81072">
        <w:rPr>
          <w:rFonts w:eastAsia="Arial Unicode MS"/>
          <w:lang w:eastAsia="cs-CZ"/>
        </w:rPr>
        <w:t>záhlaví smlouvy</w:t>
      </w:r>
      <w:r w:rsidRPr="00C81072">
        <w:rPr>
          <w:rFonts w:eastAsia="Arial Unicode MS"/>
          <w:lang w:eastAsia="cs-CZ"/>
        </w:rPr>
        <w:t>, jestliže odpadne účel, na který je dotace poskytována</w:t>
      </w:r>
      <w:r w:rsidR="004F1637" w:rsidRPr="00C81072">
        <w:rPr>
          <w:rFonts w:eastAsia="Arial Unicode MS"/>
          <w:lang w:eastAsia="cs-CZ"/>
        </w:rPr>
        <w:t>,</w:t>
      </w:r>
      <w:r w:rsidR="00014FB6" w:rsidRPr="00C81072">
        <w:rPr>
          <w:rFonts w:eastAsia="Arial Unicode MS"/>
          <w:lang w:eastAsia="cs-CZ"/>
        </w:rPr>
        <w:t xml:space="preserve"> nebo nemůže </w:t>
      </w:r>
      <w:r w:rsidR="00EF4C48" w:rsidRPr="00C81072">
        <w:rPr>
          <w:rFonts w:eastAsia="Arial Unicode MS"/>
          <w:lang w:eastAsia="cs-CZ"/>
        </w:rPr>
        <w:t xml:space="preserve">dodržet </w:t>
      </w:r>
      <w:r w:rsidR="00686ECC" w:rsidRPr="00C81072">
        <w:rPr>
          <w:rFonts w:eastAsia="Arial Unicode MS"/>
          <w:lang w:eastAsia="cs-CZ"/>
        </w:rPr>
        <w:t xml:space="preserve">termín </w:t>
      </w:r>
      <w:r w:rsidR="00686ECC" w:rsidRPr="00C81072">
        <w:rPr>
          <w:rFonts w:eastAsia="Arial Unicode MS"/>
          <w:lang w:eastAsia="cs-CZ"/>
        </w:rPr>
        <w:lastRenderedPageBreak/>
        <w:t>pro vyčerpání poskytnutých finančních prostředků uvedený v čl. IV</w:t>
      </w:r>
      <w:r w:rsidR="008211C7" w:rsidRPr="00C81072">
        <w:rPr>
          <w:rFonts w:eastAsia="Arial Unicode MS"/>
          <w:lang w:eastAsia="cs-CZ"/>
        </w:rPr>
        <w:t>.</w:t>
      </w:r>
      <w:r w:rsidR="00686ECC" w:rsidRPr="00C81072">
        <w:rPr>
          <w:rFonts w:eastAsia="Arial Unicode MS"/>
          <w:lang w:eastAsia="cs-CZ"/>
        </w:rPr>
        <w:t xml:space="preserve"> odst. 1</w:t>
      </w:r>
      <w:r w:rsidR="004F1637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do </w:t>
      </w:r>
      <w:r w:rsidRPr="00DD5B1F">
        <w:rPr>
          <w:rFonts w:eastAsia="Arial Unicode MS"/>
          <w:lang w:eastAsia="cs-CZ"/>
        </w:rPr>
        <w:t xml:space="preserve">10 </w:t>
      </w:r>
      <w:r w:rsidRPr="00C81072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81072" w:rsidRDefault="008F0B23" w:rsidP="005D1295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81072">
        <w:rPr>
          <w:rFonts w:eastAsia="Arial Unicode MS"/>
          <w:lang w:eastAsia="cs-CZ"/>
        </w:rPr>
        <w:t>administrující</w:t>
      </w:r>
      <w:proofErr w:type="spellEnd"/>
      <w:r w:rsidRPr="00C81072">
        <w:rPr>
          <w:rFonts w:eastAsia="Arial Unicode MS"/>
          <w:lang w:eastAsia="cs-CZ"/>
        </w:rPr>
        <w:t xml:space="preserve"> odbor</w:t>
      </w:r>
      <w:r w:rsidRPr="00B80343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81072" w:rsidRDefault="008F0B23" w:rsidP="005D1295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6FC86B86" w:rsidR="008F0B23" w:rsidRPr="00C81072" w:rsidRDefault="008F0B23" w:rsidP="000D021A">
      <w:pPr>
        <w:numPr>
          <w:ilvl w:val="0"/>
          <w:numId w:val="7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DD5B1F">
        <w:rPr>
          <w:rFonts w:eastAsia="Arial Unicode MS"/>
          <w:lang w:eastAsia="cs-CZ"/>
        </w:rPr>
        <w:t>10 p</w:t>
      </w:r>
      <w:r w:rsidRPr="00C81072">
        <w:rPr>
          <w:rFonts w:eastAsia="Arial Unicode MS"/>
          <w:lang w:eastAsia="cs-CZ"/>
        </w:rPr>
        <w:t xml:space="preserve">racovních dnů ode dne, kdy došlo k události, skutečnosti, které mají nebo mohou mít za následek změnu oprávněné osoby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C81072" w:rsidRDefault="008F0B23" w:rsidP="00A22A02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nebo podat návrh na ukončení smlouvy.</w:t>
      </w:r>
    </w:p>
    <w:p w14:paraId="09127091" w14:textId="77777777" w:rsidR="002A3CED" w:rsidRDefault="002A3CED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0B257D4E" w14:textId="48EEB7EA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C81072" w:rsidRDefault="008C6878" w:rsidP="00A22A02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35C633DC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C81072" w:rsidRDefault="008F0B23" w:rsidP="00A22A02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C81072">
        <w:rPr>
          <w:rFonts w:eastAsia="Times New Roman"/>
          <w:bCs/>
          <w:lang w:eastAsia="cs-CZ"/>
        </w:rPr>
        <w:t>č</w:t>
      </w:r>
      <w:r w:rsidRPr="00C81072">
        <w:rPr>
          <w:rFonts w:eastAsia="Times New Roman"/>
          <w:bCs/>
          <w:lang w:eastAsia="cs-CZ"/>
        </w:rPr>
        <w:t>l. IV.</w:t>
      </w:r>
      <w:r w:rsidR="00D80E8F" w:rsidRPr="00C81072">
        <w:rPr>
          <w:rFonts w:eastAsia="Times New Roman"/>
          <w:bCs/>
          <w:lang w:eastAsia="cs-CZ"/>
        </w:rPr>
        <w:t xml:space="preserve"> odst. 1</w:t>
      </w:r>
      <w:r w:rsidR="0029215C" w:rsidRPr="00C81072">
        <w:rPr>
          <w:rFonts w:eastAsia="Times New Roman"/>
          <w:bCs/>
          <w:lang w:eastAsia="cs-CZ"/>
        </w:rPr>
        <w:t xml:space="preserve">, </w:t>
      </w:r>
      <w:r w:rsidR="00031E45">
        <w:rPr>
          <w:rFonts w:eastAsia="Times New Roman"/>
          <w:bCs/>
          <w:lang w:eastAsia="cs-CZ"/>
        </w:rPr>
        <w:br/>
      </w:r>
      <w:r w:rsidR="0029215C" w:rsidRPr="00C81072">
        <w:rPr>
          <w:rFonts w:eastAsia="Times New Roman"/>
          <w:bCs/>
          <w:lang w:eastAsia="cs-CZ"/>
        </w:rPr>
        <w:t>čl. V</w:t>
      </w:r>
      <w:r w:rsidR="00D80E8F" w:rsidRPr="00C81072">
        <w:rPr>
          <w:rFonts w:eastAsia="Times New Roman"/>
          <w:bCs/>
          <w:lang w:eastAsia="cs-CZ"/>
        </w:rPr>
        <w:t xml:space="preserve">. odst. </w:t>
      </w:r>
      <w:r w:rsidR="00664E7F" w:rsidRPr="00802526">
        <w:rPr>
          <w:rFonts w:eastAsia="Times New Roman"/>
          <w:bCs/>
          <w:lang w:eastAsia="cs-CZ"/>
        </w:rPr>
        <w:t>4</w:t>
      </w:r>
      <w:r w:rsidR="00D80E8F" w:rsidRPr="00802526">
        <w:rPr>
          <w:rFonts w:eastAsia="Times New Roman"/>
          <w:bCs/>
          <w:lang w:eastAsia="cs-CZ"/>
        </w:rPr>
        <w:t xml:space="preserve">, </w:t>
      </w:r>
      <w:r w:rsidR="00664E7F" w:rsidRPr="00802526">
        <w:rPr>
          <w:rFonts w:eastAsia="Times New Roman"/>
          <w:bCs/>
          <w:lang w:eastAsia="cs-CZ"/>
        </w:rPr>
        <w:t>5</w:t>
      </w:r>
      <w:r w:rsidR="003733B0" w:rsidRPr="00802526">
        <w:rPr>
          <w:rFonts w:eastAsia="Times New Roman"/>
          <w:bCs/>
          <w:lang w:eastAsia="cs-CZ"/>
        </w:rPr>
        <w:t xml:space="preserve">, </w:t>
      </w:r>
      <w:r w:rsidR="00664E7F" w:rsidRPr="00802526">
        <w:rPr>
          <w:rFonts w:eastAsia="Times New Roman"/>
          <w:bCs/>
          <w:lang w:eastAsia="cs-CZ"/>
        </w:rPr>
        <w:t>8</w:t>
      </w:r>
      <w:r w:rsidR="0029215C" w:rsidRPr="00802526">
        <w:rPr>
          <w:rFonts w:eastAsia="Times New Roman"/>
          <w:bCs/>
          <w:lang w:eastAsia="cs-CZ"/>
        </w:rPr>
        <w:t>,</w:t>
      </w:r>
      <w:r w:rsidR="003733B0" w:rsidRPr="00802526">
        <w:rPr>
          <w:rFonts w:eastAsia="Times New Roman"/>
          <w:bCs/>
          <w:lang w:eastAsia="cs-CZ"/>
        </w:rPr>
        <w:t xml:space="preserve"> </w:t>
      </w:r>
      <w:r w:rsidR="00664E7F" w:rsidRPr="00802526">
        <w:rPr>
          <w:rFonts w:eastAsia="Times New Roman"/>
          <w:bCs/>
          <w:lang w:eastAsia="cs-CZ"/>
        </w:rPr>
        <w:t>9</w:t>
      </w:r>
      <w:r w:rsidR="00AA4091" w:rsidRPr="00802526">
        <w:rPr>
          <w:rFonts w:eastAsia="Times New Roman"/>
          <w:bCs/>
          <w:lang w:eastAsia="cs-CZ"/>
        </w:rPr>
        <w:t xml:space="preserve">, </w:t>
      </w:r>
      <w:r w:rsidR="00664E7F" w:rsidRPr="00802526">
        <w:rPr>
          <w:rFonts w:eastAsia="Times New Roman"/>
          <w:bCs/>
          <w:lang w:eastAsia="cs-CZ"/>
        </w:rPr>
        <w:t>10</w:t>
      </w:r>
      <w:r w:rsidR="00AA4091" w:rsidRPr="00802526">
        <w:rPr>
          <w:rFonts w:eastAsia="Times New Roman"/>
          <w:bCs/>
          <w:lang w:eastAsia="cs-CZ"/>
        </w:rPr>
        <w:t>,</w:t>
      </w:r>
      <w:r w:rsidR="0029215C" w:rsidRPr="00802526">
        <w:rPr>
          <w:rFonts w:eastAsia="Times New Roman"/>
          <w:bCs/>
          <w:lang w:eastAsia="cs-CZ"/>
        </w:rPr>
        <w:t xml:space="preserve"> </w:t>
      </w:r>
      <w:r w:rsidR="00B80343" w:rsidRPr="00802526">
        <w:rPr>
          <w:rFonts w:eastAsia="Times New Roman"/>
          <w:bCs/>
          <w:lang w:eastAsia="cs-CZ"/>
        </w:rPr>
        <w:t>11</w:t>
      </w:r>
      <w:r w:rsidR="00B80343">
        <w:rPr>
          <w:rFonts w:eastAsia="Times New Roman"/>
          <w:bCs/>
          <w:lang w:eastAsia="cs-CZ"/>
        </w:rPr>
        <w:t xml:space="preserve"> </w:t>
      </w:r>
      <w:r w:rsidR="0029215C" w:rsidRPr="00C81072">
        <w:rPr>
          <w:rFonts w:eastAsia="Times New Roman"/>
          <w:bCs/>
          <w:lang w:eastAsia="cs-CZ"/>
        </w:rPr>
        <w:t>čl. VI</w:t>
      </w:r>
      <w:r w:rsidR="00B766F2" w:rsidRPr="00C81072">
        <w:rPr>
          <w:rFonts w:eastAsia="Times New Roman"/>
          <w:bCs/>
          <w:lang w:eastAsia="cs-CZ"/>
        </w:rPr>
        <w:t>.</w:t>
      </w:r>
      <w:r w:rsidR="00D80E8F" w:rsidRPr="00C81072">
        <w:rPr>
          <w:rFonts w:eastAsia="Times New Roman"/>
          <w:bCs/>
          <w:lang w:eastAsia="cs-CZ"/>
        </w:rPr>
        <w:t xml:space="preserve"> odst. 3, 4, 5, 6</w:t>
      </w:r>
      <w:r w:rsidRPr="00C81072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C81072" w:rsidRDefault="008F0B23" w:rsidP="00A22A02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6</w:t>
      </w:r>
      <w:r w:rsidR="00184E2C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 xml:space="preserve">7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C81072" w:rsidRDefault="008F0B23" w:rsidP="00A22A02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C81072" w:rsidRDefault="008F0B23" w:rsidP="00A22A02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C81072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60CB296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lastRenderedPageBreak/>
        <w:t>Čl</w:t>
      </w:r>
      <w:r w:rsidR="0034277C">
        <w:rPr>
          <w:rFonts w:eastAsia="Times New Roman"/>
          <w:b/>
          <w:bCs/>
          <w:lang w:eastAsia="cs-CZ"/>
        </w:rPr>
        <w:t>ánek</w:t>
      </w:r>
      <w:r w:rsidRPr="00C81072">
        <w:rPr>
          <w:rFonts w:eastAsia="Times New Roman"/>
          <w:b/>
          <w:bCs/>
          <w:lang w:eastAsia="cs-CZ"/>
        </w:rPr>
        <w:t xml:space="preserve">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853A61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853A61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C81072" w:rsidRDefault="008F0B23" w:rsidP="00853A61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28AF8F9E" w14:textId="77777777" w:rsidR="009065F2" w:rsidRPr="002D3284" w:rsidRDefault="009065F2" w:rsidP="00853A61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357" w:hanging="35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Příjemce bere na vědomí, že je mu poskytována podpora de </w:t>
      </w:r>
      <w:proofErr w:type="spellStart"/>
      <w:r w:rsidRPr="002D3284">
        <w:rPr>
          <w:rFonts w:eastAsia="Times New Roman"/>
          <w:bCs/>
          <w:color w:val="000000" w:themeColor="text1"/>
          <w:lang w:eastAsia="cs-CZ"/>
        </w:rPr>
        <w:t>minimis</w:t>
      </w: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 xml:space="preserve"> (podpora malého rozsahu), a to v souladu s Nařízením Komise (ES) č. </w:t>
      </w:r>
      <w:r>
        <w:t>2023/2831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ze dne 1</w:t>
      </w:r>
      <w:r>
        <w:rPr>
          <w:rFonts w:eastAsia="Times New Roman"/>
          <w:bCs/>
          <w:color w:val="000000" w:themeColor="text1"/>
          <w:lang w:eastAsia="cs-CZ"/>
        </w:rPr>
        <w:t>3</w:t>
      </w:r>
      <w:r w:rsidRPr="002D3284">
        <w:rPr>
          <w:rFonts w:eastAsia="Times New Roman"/>
          <w:bCs/>
          <w:color w:val="000000" w:themeColor="text1"/>
          <w:lang w:eastAsia="cs-CZ"/>
        </w:rPr>
        <w:t>. prosince 20</w:t>
      </w:r>
      <w:r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3 o použití článků 107 a 108 Smlouvy o fungování Evropské unie na podporu de </w:t>
      </w:r>
      <w:proofErr w:type="spellStart"/>
      <w:r w:rsidRPr="002D3284">
        <w:rPr>
          <w:rFonts w:eastAsia="Times New Roman"/>
          <w:bCs/>
          <w:color w:val="000000" w:themeColor="text1"/>
          <w:lang w:eastAsia="cs-CZ"/>
        </w:rPr>
        <w:t>minimis</w:t>
      </w: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 xml:space="preserve">, publikovaném v Úředním věstníku L </w:t>
      </w:r>
      <w:r>
        <w:rPr>
          <w:rFonts w:eastAsia="Times New Roman"/>
          <w:bCs/>
          <w:color w:val="000000" w:themeColor="text1"/>
          <w:lang w:eastAsia="cs-CZ"/>
        </w:rPr>
        <w:t>ze dne 15. 12. 2023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(dále jen „Nařízení komise“).</w:t>
      </w:r>
    </w:p>
    <w:p w14:paraId="72257883" w14:textId="77777777" w:rsidR="009065F2" w:rsidRPr="002D3284" w:rsidRDefault="009065F2" w:rsidP="009065F2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5A421C05" w14:textId="77777777" w:rsidR="009065F2" w:rsidRPr="002D3284" w:rsidRDefault="009065F2" w:rsidP="00853A61">
      <w:pPr>
        <w:pStyle w:val="Odstavecseseznamem"/>
        <w:numPr>
          <w:ilvl w:val="0"/>
          <w:numId w:val="33"/>
        </w:numPr>
        <w:tabs>
          <w:tab w:val="clear" w:pos="360"/>
        </w:tabs>
        <w:spacing w:after="0" w:line="240" w:lineRule="auto"/>
        <w:ind w:left="357" w:hanging="357"/>
        <w:rPr>
          <w:color w:val="000000" w:themeColor="text1"/>
        </w:rPr>
      </w:pPr>
      <w:r w:rsidRPr="002D3284">
        <w:rPr>
          <w:color w:val="000000" w:themeColor="text1"/>
        </w:rPr>
        <w:t xml:space="preserve">Příjemce podpory prohlašuje, že v souladu s článkem 3 tohoto Nařízení komise, obdržel v předchozích 3 letech od data </w:t>
      </w:r>
      <w:r>
        <w:rPr>
          <w:color w:val="000000" w:themeColor="text1"/>
        </w:rPr>
        <w:t>poskytnutí podpory dle</w:t>
      </w:r>
      <w:r w:rsidRPr="002D3284">
        <w:rPr>
          <w:color w:val="000000" w:themeColor="text1"/>
        </w:rPr>
        <w:t xml:space="preserve"> této smlouvy podporu de </w:t>
      </w:r>
      <w:proofErr w:type="spellStart"/>
      <w:r w:rsidRPr="002D3284">
        <w:rPr>
          <w:color w:val="000000" w:themeColor="text1"/>
        </w:rPr>
        <w:t>minimis</w:t>
      </w:r>
      <w:proofErr w:type="spellEnd"/>
      <w:r w:rsidRPr="002D3284">
        <w:rPr>
          <w:color w:val="000000" w:themeColor="text1"/>
        </w:rPr>
        <w:t xml:space="preserve"> a celková výše podpory de </w:t>
      </w:r>
      <w:proofErr w:type="spellStart"/>
      <w:r w:rsidRPr="002D3284">
        <w:rPr>
          <w:color w:val="000000" w:themeColor="text1"/>
        </w:rPr>
        <w:t>minimis</w:t>
      </w:r>
      <w:proofErr w:type="spellEnd"/>
      <w:r w:rsidRPr="002D3284">
        <w:rPr>
          <w:color w:val="000000" w:themeColor="text1"/>
        </w:rPr>
        <w:t xml:space="preserve">, kterou tak s poskytovanou dotací přijme, nepřesáhne </w:t>
      </w:r>
      <w:r>
        <w:rPr>
          <w:color w:val="000000" w:themeColor="text1"/>
        </w:rPr>
        <w:t>3</w:t>
      </w:r>
      <w:r w:rsidRPr="002D3284">
        <w:rPr>
          <w:color w:val="000000" w:themeColor="text1"/>
        </w:rPr>
        <w:t>00.000 EUR.</w:t>
      </w:r>
    </w:p>
    <w:p w14:paraId="40AE8A73" w14:textId="77777777" w:rsidR="009065F2" w:rsidRDefault="009065F2" w:rsidP="009065F2">
      <w:pPr>
        <w:spacing w:after="0" w:line="240" w:lineRule="auto"/>
        <w:ind w:left="426" w:hanging="426"/>
      </w:pPr>
    </w:p>
    <w:p w14:paraId="7CAF3FF5" w14:textId="77777777" w:rsidR="002B36A0" w:rsidRPr="002D3284" w:rsidRDefault="002B36A0" w:rsidP="00853A61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357" w:hanging="357"/>
        <w:rPr>
          <w:color w:val="000000" w:themeColor="text1"/>
        </w:rPr>
      </w:pPr>
      <w:r w:rsidRPr="002D3284">
        <w:rPr>
          <w:color w:val="000000" w:themeColor="text1"/>
        </w:rPr>
        <w:t>Kurz pro přepočet částky do CZK je stanovený Evropskou centrální bankou zveřejňovaný na webových stránkách ECB ke dni podpisu smlouvy.</w:t>
      </w:r>
    </w:p>
    <w:p w14:paraId="6A359DF3" w14:textId="77777777" w:rsidR="002B36A0" w:rsidRPr="002D3284" w:rsidRDefault="002B36A0" w:rsidP="002B36A0">
      <w:pPr>
        <w:spacing w:after="0" w:line="240" w:lineRule="auto"/>
        <w:ind w:left="426" w:hanging="426"/>
        <w:rPr>
          <w:color w:val="000000" w:themeColor="text1"/>
        </w:rPr>
      </w:pPr>
    </w:p>
    <w:p w14:paraId="25F96E89" w14:textId="77777777" w:rsidR="002B36A0" w:rsidRPr="002D3284" w:rsidRDefault="002B36A0" w:rsidP="00853A61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357" w:hanging="357"/>
        <w:rPr>
          <w:color w:val="000000" w:themeColor="text1"/>
        </w:rPr>
      </w:pPr>
      <w:r w:rsidRPr="002D3284">
        <w:rPr>
          <w:color w:val="000000" w:themeColor="text1"/>
        </w:rPr>
        <w:t>Příjemce podpory dle smlouvy se zavazuje vrátit poskytovateli bez zbytečného odkladu poskytnutou podporu včetně úroků podle Nařízení komise v případě, že se jeho prohlášení uvedené v odstavci 1 tohoto článku prokáže jako nepravdivé, či pokud Komise (ES) rozhodne podle přímo aplikovatelného právního předpisu</w:t>
      </w:r>
      <w:r w:rsidRPr="002D3284">
        <w:rPr>
          <w:rStyle w:val="Znakapoznpodarou"/>
          <w:color w:val="000000" w:themeColor="text1"/>
        </w:rPr>
        <w:footnoteReference w:id="1"/>
      </w:r>
      <w:r w:rsidRPr="002D3284">
        <w:rPr>
          <w:color w:val="000000" w:themeColor="text1"/>
        </w:rPr>
        <w:t xml:space="preserve"> buď o vrácení podpory, prozatímním navrácení podpory nebo o pozastavení podpory.</w:t>
      </w:r>
    </w:p>
    <w:p w14:paraId="2C3D6957" w14:textId="68622429" w:rsidR="00A275C0" w:rsidRDefault="00A275C0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4AFEEC7F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C81072" w:rsidRDefault="008F0B23" w:rsidP="00853A61">
      <w:pPr>
        <w:numPr>
          <w:ilvl w:val="0"/>
          <w:numId w:val="10"/>
        </w:numPr>
        <w:tabs>
          <w:tab w:val="clear" w:pos="1680"/>
          <w:tab w:val="left" w:pos="-1134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1A2CC4C" w:rsidR="008F0B23" w:rsidRPr="00C81072" w:rsidRDefault="008F0B23" w:rsidP="00853A61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F93851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C006C9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F93851" w:rsidRDefault="00EF57A1" w:rsidP="00853A61">
      <w:pPr>
        <w:numPr>
          <w:ilvl w:val="0"/>
          <w:numId w:val="19"/>
        </w:numPr>
        <w:tabs>
          <w:tab w:val="clear" w:pos="1680"/>
          <w:tab w:val="left" w:pos="426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F93851">
        <w:rPr>
          <w:rFonts w:eastAsia="Times New Roman"/>
          <w:lang w:eastAsia="cs-CZ"/>
        </w:rPr>
        <w:t>Smlouva je vyhotovena v elektronické podobě.</w:t>
      </w:r>
    </w:p>
    <w:p w14:paraId="4E1C6E05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6A79F008" w:rsidR="00BD446B" w:rsidRPr="00C81072" w:rsidRDefault="00BD446B" w:rsidP="00853A61">
      <w:pPr>
        <w:numPr>
          <w:ilvl w:val="0"/>
          <w:numId w:val="16"/>
        </w:numPr>
        <w:tabs>
          <w:tab w:val="clear" w:pos="1680"/>
          <w:tab w:val="left" w:pos="426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C006C9">
        <w:rPr>
          <w:rFonts w:eastAsia="Times New Roman"/>
          <w:lang w:eastAsia="cs-CZ"/>
        </w:rPr>
        <w:t>,</w:t>
      </w:r>
      <w:r w:rsidRPr="00C81072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C81072">
        <w:rPr>
          <w:rFonts w:eastAsia="Times New Roman"/>
          <w:lang w:eastAsia="cs-CZ"/>
        </w:rPr>
        <w:t xml:space="preserve">zveřejnění </w:t>
      </w:r>
      <w:r w:rsidRPr="00C81072">
        <w:rPr>
          <w:rFonts w:eastAsia="Times New Roman"/>
          <w:lang w:eastAsia="cs-CZ"/>
        </w:rPr>
        <w:t xml:space="preserve">smlouvy v registru smluv provede poskytovatel. Kontakt na doručení oznámení o vkladu smluvním protistranám je uveden v záhlaví smlouvy u příjemce. Považuje-li příjemce rozsah uveřejnění v registru smluv za nedostatečný, upozorní na tuto </w:t>
      </w:r>
      <w:r w:rsidRPr="00C81072">
        <w:rPr>
          <w:rFonts w:eastAsia="Times New Roman"/>
          <w:lang w:eastAsia="cs-CZ"/>
        </w:rPr>
        <w:lastRenderedPageBreak/>
        <w:t>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C81072" w:rsidRDefault="009B4958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853A61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1EF34B64" w:rsidR="008F0B23" w:rsidRPr="00C81072" w:rsidRDefault="008F0B23" w:rsidP="00853A61">
      <w:pPr>
        <w:numPr>
          <w:ilvl w:val="0"/>
          <w:numId w:val="22"/>
        </w:numPr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Rada Karlovarského kraje usnesením č. RK </w:t>
      </w:r>
      <w:r w:rsidR="00D703E1">
        <w:rPr>
          <w:rFonts w:eastAsia="Times New Roman"/>
          <w:lang w:eastAsia="cs-CZ"/>
        </w:rPr>
        <w:t xml:space="preserve">800/06/24 </w:t>
      </w:r>
      <w:r w:rsidRPr="00C81072">
        <w:rPr>
          <w:rFonts w:eastAsia="Times New Roman"/>
          <w:lang w:eastAsia="cs-CZ"/>
        </w:rPr>
        <w:t xml:space="preserve">ze dne </w:t>
      </w:r>
      <w:r w:rsidR="00D703E1">
        <w:rPr>
          <w:rFonts w:eastAsia="Times New Roman"/>
          <w:lang w:eastAsia="cs-CZ"/>
        </w:rPr>
        <w:t>17. 6. 2024</w:t>
      </w:r>
      <w:r w:rsidRPr="00C81072">
        <w:rPr>
          <w:rFonts w:eastAsia="Times New Roman"/>
          <w:lang w:eastAsia="cs-CZ"/>
        </w:rPr>
        <w:t>.</w:t>
      </w:r>
    </w:p>
    <w:p w14:paraId="3747E7AD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C81072" w:rsidRPr="00C81072" w14:paraId="247CCB24" w14:textId="77777777" w:rsidTr="005D1295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</w:t>
            </w:r>
            <w:proofErr w:type="gramStart"/>
            <w:r w:rsidRPr="00C81072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C81072"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</w:t>
            </w:r>
            <w:proofErr w:type="gramStart"/>
            <w:r w:rsidRPr="00C81072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C81072"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C81072" w:rsidRPr="00C81072" w14:paraId="16D7887C" w14:textId="77777777" w:rsidTr="005D1295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2EBAEDFF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4492AE6" w14:textId="77777777" w:rsidR="001F718D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47CCD79" w14:textId="72E38773" w:rsidR="001F718D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DD04795" w14:textId="77777777" w:rsidR="001F718D" w:rsidRPr="00C81072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575B395C" w:rsidR="008F0B23" w:rsidRPr="00C81072" w:rsidRDefault="00077B07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_______________________</w:t>
            </w:r>
          </w:p>
          <w:p w14:paraId="0195E22D" w14:textId="6F608BEE" w:rsidR="00F93851" w:rsidRDefault="00F93851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poskytovatel</w:t>
            </w:r>
          </w:p>
          <w:p w14:paraId="6CDFB6A2" w14:textId="20A6645F" w:rsidR="008F0B23" w:rsidRPr="00C81072" w:rsidRDefault="00077B07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E0B33">
              <w:rPr>
                <w:rFonts w:eastAsia="Times New Roman"/>
                <w:lang w:eastAsia="cs-CZ"/>
              </w:rPr>
              <w:t>Ing. Vít Hromádko</w:t>
            </w:r>
            <w:r>
              <w:rPr>
                <w:rFonts w:eastAsia="Times New Roman"/>
                <w:lang w:eastAsia="cs-CZ"/>
              </w:rPr>
              <w:t xml:space="preserve">                                          </w:t>
            </w:r>
            <w:r w:rsidRPr="003E0B33">
              <w:rPr>
                <w:rFonts w:eastAsia="Times New Roman"/>
                <w:lang w:eastAsia="cs-CZ"/>
              </w:rPr>
              <w:t xml:space="preserve"> člen rady pro oblast rozvoje venkova a zemědělství</w:t>
            </w:r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 xml:space="preserve"> </w:t>
            </w:r>
          </w:p>
          <w:p w14:paraId="5D6E577E" w14:textId="565D486A" w:rsidR="008F0B23" w:rsidRPr="00B803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5A56DBE5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13EC5F1" w14:textId="15FF9C8A" w:rsidR="001F718D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A250B97" w14:textId="77777777" w:rsidR="001F718D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2049C5" w14:textId="77777777" w:rsidR="001F718D" w:rsidRPr="00C81072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5EC8FB63" w:rsidR="008F0B23" w:rsidRPr="00C81072" w:rsidRDefault="00077B07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_________________________</w:t>
            </w:r>
          </w:p>
          <w:p w14:paraId="227EF39F" w14:textId="5D84FE9C" w:rsidR="00F93851" w:rsidRDefault="00077B07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</w:t>
            </w:r>
            <w:r w:rsidR="00F93851" w:rsidRPr="00C81072">
              <w:rPr>
                <w:rFonts w:eastAsia="Times New Roman"/>
                <w:lang w:eastAsia="cs-CZ"/>
              </w:rPr>
              <w:t>říjemce</w:t>
            </w:r>
          </w:p>
          <w:p w14:paraId="37B590E0" w14:textId="05160BCD" w:rsidR="008F0B23" w:rsidRPr="00C81072" w:rsidRDefault="00920C5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bookmarkStart w:id="4" w:name="_Hlk173488834"/>
            <w:r>
              <w:rPr>
                <w:rFonts w:eastAsia="Times New Roman"/>
                <w:color w:val="000000" w:themeColor="text1"/>
                <w:lang w:eastAsia="cs-CZ"/>
              </w:rPr>
              <w:t xml:space="preserve">Samuel </w:t>
            </w:r>
            <w:proofErr w:type="spellStart"/>
            <w:r>
              <w:rPr>
                <w:rFonts w:eastAsia="Times New Roman"/>
                <w:color w:val="000000" w:themeColor="text1"/>
                <w:lang w:eastAsia="cs-CZ"/>
              </w:rPr>
              <w:t>Zabolotný</w:t>
            </w:r>
            <w:proofErr w:type="spellEnd"/>
            <w:r>
              <w:rPr>
                <w:rFonts w:eastAsia="Times New Roman"/>
                <w:color w:val="000000" w:themeColor="text1"/>
                <w:lang w:eastAsia="cs-CZ"/>
              </w:rPr>
              <w:t xml:space="preserve">                                              1. místostarosta </w:t>
            </w:r>
            <w:bookmarkEnd w:id="4"/>
          </w:p>
          <w:p w14:paraId="4B83B585" w14:textId="7AC4B6F6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21B00C44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B16D7B" w:rsidRDefault="00B16D7B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B16D7B" w:rsidRDefault="00B16D7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291980"/>
      <w:docPartObj>
        <w:docPartGallery w:val="Page Numbers (Bottom of Page)"/>
        <w:docPartUnique/>
      </w:docPartObj>
    </w:sdtPr>
    <w:sdtEndPr/>
    <w:sdtContent>
      <w:p w14:paraId="2D3FCCE1" w14:textId="34E5CAE0" w:rsidR="00AC6E69" w:rsidRDefault="00AC6E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B16D7B" w:rsidRDefault="00B16D7B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B16D7B" w:rsidRDefault="00B16D7B" w:rsidP="008F0B23">
      <w:pPr>
        <w:spacing w:after="0" w:line="240" w:lineRule="auto"/>
      </w:pPr>
      <w:r>
        <w:continuationSeparator/>
      </w:r>
    </w:p>
  </w:footnote>
  <w:footnote w:id="1">
    <w:p w14:paraId="6D124FE3" w14:textId="77777777" w:rsidR="002B36A0" w:rsidRPr="008721B5" w:rsidRDefault="002B36A0" w:rsidP="002B36A0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15A"/>
    <w:multiLevelType w:val="hybridMultilevel"/>
    <w:tmpl w:val="B7584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D434AD"/>
    <w:multiLevelType w:val="hybridMultilevel"/>
    <w:tmpl w:val="14E853C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692"/>
    <w:multiLevelType w:val="hybridMultilevel"/>
    <w:tmpl w:val="B46E7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5" w15:restartNumberingAfterBreak="0">
    <w:nsid w:val="4E9D301D"/>
    <w:multiLevelType w:val="hybridMultilevel"/>
    <w:tmpl w:val="5C5C95E0"/>
    <w:lvl w:ilvl="0" w:tplc="1EE465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B6BC8"/>
    <w:multiLevelType w:val="hybridMultilevel"/>
    <w:tmpl w:val="7A34A5C4"/>
    <w:lvl w:ilvl="0" w:tplc="BFFA6F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37634"/>
    <w:multiLevelType w:val="hybridMultilevel"/>
    <w:tmpl w:val="898E7874"/>
    <w:lvl w:ilvl="0" w:tplc="94FACA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B003336"/>
    <w:multiLevelType w:val="hybridMultilevel"/>
    <w:tmpl w:val="9284586A"/>
    <w:lvl w:ilvl="0" w:tplc="E9AE6E0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26BC6"/>
    <w:multiLevelType w:val="hybridMultilevel"/>
    <w:tmpl w:val="00A8824A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332AE8"/>
    <w:multiLevelType w:val="hybridMultilevel"/>
    <w:tmpl w:val="D9FE7AB2"/>
    <w:lvl w:ilvl="0" w:tplc="7CCC1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20"/>
  </w:num>
  <w:num w:numId="10">
    <w:abstractNumId w:val="14"/>
  </w:num>
  <w:num w:numId="11">
    <w:abstractNumId w:val="11"/>
  </w:num>
  <w:num w:numId="12">
    <w:abstractNumId w:val="28"/>
  </w:num>
  <w:num w:numId="13">
    <w:abstractNumId w:val="29"/>
  </w:num>
  <w:num w:numId="14">
    <w:abstractNumId w:val="8"/>
  </w:num>
  <w:num w:numId="15">
    <w:abstractNumId w:val="24"/>
  </w:num>
  <w:num w:numId="16">
    <w:abstractNumId w:val="6"/>
  </w:num>
  <w:num w:numId="17">
    <w:abstractNumId w:val="27"/>
  </w:num>
  <w:num w:numId="18">
    <w:abstractNumId w:val="9"/>
  </w:num>
  <w:num w:numId="19">
    <w:abstractNumId w:val="18"/>
  </w:num>
  <w:num w:numId="20">
    <w:abstractNumId w:val="26"/>
  </w:num>
  <w:num w:numId="21">
    <w:abstractNumId w:val="0"/>
  </w:num>
  <w:num w:numId="22">
    <w:abstractNumId w:val="25"/>
  </w:num>
  <w:num w:numId="23">
    <w:abstractNumId w:val="7"/>
  </w:num>
  <w:num w:numId="24">
    <w:abstractNumId w:val="13"/>
  </w:num>
  <w:num w:numId="25">
    <w:abstractNumId w:val="16"/>
  </w:num>
  <w:num w:numId="26">
    <w:abstractNumId w:val="5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2"/>
  </w:num>
  <w:num w:numId="32">
    <w:abstractNumId w:val="31"/>
  </w:num>
  <w:num w:numId="33">
    <w:abstractNumId w:val="15"/>
  </w:num>
  <w:num w:numId="34">
    <w:abstractNumId w:val="19"/>
  </w:num>
  <w:num w:numId="35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62252"/>
    <w:rsid w:val="0006239A"/>
    <w:rsid w:val="00063C82"/>
    <w:rsid w:val="00067587"/>
    <w:rsid w:val="000717F9"/>
    <w:rsid w:val="00077B07"/>
    <w:rsid w:val="000802CB"/>
    <w:rsid w:val="000858A0"/>
    <w:rsid w:val="00085FF6"/>
    <w:rsid w:val="000C0B7A"/>
    <w:rsid w:val="000C12F2"/>
    <w:rsid w:val="000C76F4"/>
    <w:rsid w:val="000D021A"/>
    <w:rsid w:val="000D37F3"/>
    <w:rsid w:val="000E6D8B"/>
    <w:rsid w:val="000F73AF"/>
    <w:rsid w:val="00102C47"/>
    <w:rsid w:val="00117A22"/>
    <w:rsid w:val="0015202A"/>
    <w:rsid w:val="00154647"/>
    <w:rsid w:val="001817D7"/>
    <w:rsid w:val="00184E2C"/>
    <w:rsid w:val="00187D78"/>
    <w:rsid w:val="00190D24"/>
    <w:rsid w:val="00196DB2"/>
    <w:rsid w:val="001A3CCC"/>
    <w:rsid w:val="001F718D"/>
    <w:rsid w:val="00235F86"/>
    <w:rsid w:val="00244366"/>
    <w:rsid w:val="00247572"/>
    <w:rsid w:val="00251951"/>
    <w:rsid w:val="002525C2"/>
    <w:rsid w:val="00253F0E"/>
    <w:rsid w:val="0025503C"/>
    <w:rsid w:val="00266773"/>
    <w:rsid w:val="00281566"/>
    <w:rsid w:val="0029215C"/>
    <w:rsid w:val="00295B0C"/>
    <w:rsid w:val="002A3CED"/>
    <w:rsid w:val="002B36A0"/>
    <w:rsid w:val="002B3F52"/>
    <w:rsid w:val="002B67D8"/>
    <w:rsid w:val="002C3670"/>
    <w:rsid w:val="002E4E97"/>
    <w:rsid w:val="00300CB5"/>
    <w:rsid w:val="00300D1B"/>
    <w:rsid w:val="00303E56"/>
    <w:rsid w:val="00320C36"/>
    <w:rsid w:val="00325592"/>
    <w:rsid w:val="0034277C"/>
    <w:rsid w:val="003633F4"/>
    <w:rsid w:val="003672DD"/>
    <w:rsid w:val="00371D93"/>
    <w:rsid w:val="003733B0"/>
    <w:rsid w:val="003767E2"/>
    <w:rsid w:val="003829B7"/>
    <w:rsid w:val="00385583"/>
    <w:rsid w:val="00393659"/>
    <w:rsid w:val="003B249A"/>
    <w:rsid w:val="003B6DE9"/>
    <w:rsid w:val="003C0BDD"/>
    <w:rsid w:val="003C40E6"/>
    <w:rsid w:val="003D28B6"/>
    <w:rsid w:val="003D36FB"/>
    <w:rsid w:val="003D6BBB"/>
    <w:rsid w:val="003E0B33"/>
    <w:rsid w:val="003E2204"/>
    <w:rsid w:val="003F5273"/>
    <w:rsid w:val="00401FF7"/>
    <w:rsid w:val="00404DE1"/>
    <w:rsid w:val="0040656F"/>
    <w:rsid w:val="004335E2"/>
    <w:rsid w:val="0046096F"/>
    <w:rsid w:val="00476C23"/>
    <w:rsid w:val="00493F7A"/>
    <w:rsid w:val="004A5E69"/>
    <w:rsid w:val="004B16B5"/>
    <w:rsid w:val="004B7CA6"/>
    <w:rsid w:val="004C3CDF"/>
    <w:rsid w:val="004D503F"/>
    <w:rsid w:val="004F1637"/>
    <w:rsid w:val="004F3493"/>
    <w:rsid w:val="004F5509"/>
    <w:rsid w:val="005022FF"/>
    <w:rsid w:val="005075F5"/>
    <w:rsid w:val="00511228"/>
    <w:rsid w:val="00513EE1"/>
    <w:rsid w:val="005178F2"/>
    <w:rsid w:val="00517DCD"/>
    <w:rsid w:val="0054289F"/>
    <w:rsid w:val="00560154"/>
    <w:rsid w:val="00564566"/>
    <w:rsid w:val="00571858"/>
    <w:rsid w:val="005865FA"/>
    <w:rsid w:val="005A3162"/>
    <w:rsid w:val="005A7F71"/>
    <w:rsid w:val="005B6C29"/>
    <w:rsid w:val="005B73CA"/>
    <w:rsid w:val="005C4E9D"/>
    <w:rsid w:val="005D1295"/>
    <w:rsid w:val="005D78CC"/>
    <w:rsid w:val="005E6AC0"/>
    <w:rsid w:val="00630DF0"/>
    <w:rsid w:val="00634CE5"/>
    <w:rsid w:val="00640D63"/>
    <w:rsid w:val="00643C26"/>
    <w:rsid w:val="00664E7F"/>
    <w:rsid w:val="00665BDD"/>
    <w:rsid w:val="006770EB"/>
    <w:rsid w:val="00686ECC"/>
    <w:rsid w:val="006A6B01"/>
    <w:rsid w:val="006C53A1"/>
    <w:rsid w:val="006D0126"/>
    <w:rsid w:val="006E0038"/>
    <w:rsid w:val="006F2369"/>
    <w:rsid w:val="007018CB"/>
    <w:rsid w:val="00710F90"/>
    <w:rsid w:val="0071229F"/>
    <w:rsid w:val="00751FED"/>
    <w:rsid w:val="007A26B7"/>
    <w:rsid w:val="007C424F"/>
    <w:rsid w:val="007C5B62"/>
    <w:rsid w:val="00800E6F"/>
    <w:rsid w:val="00802526"/>
    <w:rsid w:val="008076E0"/>
    <w:rsid w:val="00815C2F"/>
    <w:rsid w:val="00820862"/>
    <w:rsid w:val="008211C7"/>
    <w:rsid w:val="008348EA"/>
    <w:rsid w:val="008466C6"/>
    <w:rsid w:val="00853A61"/>
    <w:rsid w:val="0086380E"/>
    <w:rsid w:val="00866C55"/>
    <w:rsid w:val="008721B5"/>
    <w:rsid w:val="00893799"/>
    <w:rsid w:val="008A4C02"/>
    <w:rsid w:val="008C6878"/>
    <w:rsid w:val="008D4B53"/>
    <w:rsid w:val="008E6AD6"/>
    <w:rsid w:val="008F0B23"/>
    <w:rsid w:val="008F54C3"/>
    <w:rsid w:val="009065F2"/>
    <w:rsid w:val="00920C5B"/>
    <w:rsid w:val="00950EE1"/>
    <w:rsid w:val="00960D49"/>
    <w:rsid w:val="0096233F"/>
    <w:rsid w:val="0096375C"/>
    <w:rsid w:val="00972169"/>
    <w:rsid w:val="009929D2"/>
    <w:rsid w:val="00997E6C"/>
    <w:rsid w:val="009B4958"/>
    <w:rsid w:val="009C4702"/>
    <w:rsid w:val="009C6F84"/>
    <w:rsid w:val="00A22A02"/>
    <w:rsid w:val="00A22E47"/>
    <w:rsid w:val="00A275C0"/>
    <w:rsid w:val="00A32938"/>
    <w:rsid w:val="00A43ABC"/>
    <w:rsid w:val="00A47F4B"/>
    <w:rsid w:val="00A562B2"/>
    <w:rsid w:val="00A77221"/>
    <w:rsid w:val="00A94054"/>
    <w:rsid w:val="00AA4091"/>
    <w:rsid w:val="00AC6E69"/>
    <w:rsid w:val="00AF07DC"/>
    <w:rsid w:val="00B16D7B"/>
    <w:rsid w:val="00B24DA6"/>
    <w:rsid w:val="00B559CF"/>
    <w:rsid w:val="00B766F2"/>
    <w:rsid w:val="00B80343"/>
    <w:rsid w:val="00B87095"/>
    <w:rsid w:val="00BA0C3B"/>
    <w:rsid w:val="00BA5EA2"/>
    <w:rsid w:val="00BC1DA4"/>
    <w:rsid w:val="00BC216D"/>
    <w:rsid w:val="00BD446B"/>
    <w:rsid w:val="00BF512D"/>
    <w:rsid w:val="00C006C9"/>
    <w:rsid w:val="00C112CD"/>
    <w:rsid w:val="00C445A4"/>
    <w:rsid w:val="00C707E0"/>
    <w:rsid w:val="00C75871"/>
    <w:rsid w:val="00C81072"/>
    <w:rsid w:val="00C8481B"/>
    <w:rsid w:val="00C91027"/>
    <w:rsid w:val="00C969A6"/>
    <w:rsid w:val="00CC11A9"/>
    <w:rsid w:val="00CC70E6"/>
    <w:rsid w:val="00CD7089"/>
    <w:rsid w:val="00CF4C9A"/>
    <w:rsid w:val="00CF660D"/>
    <w:rsid w:val="00D006DF"/>
    <w:rsid w:val="00D362D9"/>
    <w:rsid w:val="00D403A5"/>
    <w:rsid w:val="00D4715D"/>
    <w:rsid w:val="00D633DA"/>
    <w:rsid w:val="00D703E1"/>
    <w:rsid w:val="00D72289"/>
    <w:rsid w:val="00D728E2"/>
    <w:rsid w:val="00D733D2"/>
    <w:rsid w:val="00D80E8F"/>
    <w:rsid w:val="00D9675B"/>
    <w:rsid w:val="00DA5631"/>
    <w:rsid w:val="00DB55D3"/>
    <w:rsid w:val="00DD2B57"/>
    <w:rsid w:val="00DD5B1F"/>
    <w:rsid w:val="00DE2B4B"/>
    <w:rsid w:val="00DF1E0C"/>
    <w:rsid w:val="00DF3493"/>
    <w:rsid w:val="00DF5E91"/>
    <w:rsid w:val="00DF7ECE"/>
    <w:rsid w:val="00E30593"/>
    <w:rsid w:val="00E35F29"/>
    <w:rsid w:val="00E4679A"/>
    <w:rsid w:val="00E51915"/>
    <w:rsid w:val="00E62783"/>
    <w:rsid w:val="00E71658"/>
    <w:rsid w:val="00E84768"/>
    <w:rsid w:val="00EB02D6"/>
    <w:rsid w:val="00EE5502"/>
    <w:rsid w:val="00EE5F78"/>
    <w:rsid w:val="00EF4C48"/>
    <w:rsid w:val="00EF57A1"/>
    <w:rsid w:val="00F0440D"/>
    <w:rsid w:val="00F04A51"/>
    <w:rsid w:val="00F069E7"/>
    <w:rsid w:val="00F40594"/>
    <w:rsid w:val="00F42A10"/>
    <w:rsid w:val="00F54944"/>
    <w:rsid w:val="00F71696"/>
    <w:rsid w:val="00F73C3E"/>
    <w:rsid w:val="00F73D78"/>
    <w:rsid w:val="00F8238C"/>
    <w:rsid w:val="00F858B5"/>
    <w:rsid w:val="00F9085E"/>
    <w:rsid w:val="00F93851"/>
    <w:rsid w:val="00FA04D0"/>
    <w:rsid w:val="00FA1D6E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87dc67d-0739-4cd1-9830-26abc49881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3EE8A-F27B-442C-91E1-A43C224A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2322</Words>
  <Characters>13706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Sobotka Jaroslav</cp:lastModifiedBy>
  <cp:revision>20</cp:revision>
  <cp:lastPrinted>2020-08-12T11:20:00Z</cp:lastPrinted>
  <dcterms:created xsi:type="dcterms:W3CDTF">2024-08-01T10:32:00Z</dcterms:created>
  <dcterms:modified xsi:type="dcterms:W3CDTF">2024-08-08T12:52:00Z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