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tbl>
      <w:tblPr>
        <w:tblOverlap w:val="never"/>
        <w:jc w:val="center"/>
        <w:tblLayout w:type="fixed"/>
      </w:tblPr>
      <w:tblGrid>
        <w:gridCol w:w="1570"/>
        <w:gridCol w:w="7579"/>
      </w:tblGrid>
      <w:tr>
        <w:trPr>
          <w:trHeight w:val="677"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c>
        <w:tc>
          <w:tcPr>
            <w:tcBorders/>
            <w:shd w:val="clear" w:color="auto" w:fill="FFFFFF"/>
            <w:vAlign w:val="bottom"/>
          </w:tcPr>
          <w:p>
            <w:pPr>
              <w:pStyle w:val="Style8"/>
              <w:keepNext w:val="0"/>
              <w:keepLines w:val="0"/>
              <w:widowControl w:val="0"/>
              <w:shd w:val="clear" w:color="auto" w:fill="auto"/>
              <w:bidi w:val="0"/>
              <w:spacing w:before="0" w:after="0" w:line="252" w:lineRule="auto"/>
              <w:ind w:left="580" w:right="0" w:firstLine="0"/>
              <w:jc w:val="both"/>
              <w:rPr>
                <w:sz w:val="24"/>
                <w:szCs w:val="24"/>
              </w:rPr>
            </w:pPr>
            <w:r>
              <w:rPr>
                <w:b/>
                <w:bCs/>
                <w:color w:val="000000"/>
                <w:spacing w:val="0"/>
                <w:w w:val="100"/>
                <w:position w:val="0"/>
                <w:sz w:val="24"/>
                <w:szCs w:val="24"/>
                <w:shd w:val="clear" w:color="auto" w:fill="auto"/>
                <w:lang w:val="cs-CZ" w:eastAsia="cs-CZ" w:bidi="cs-CZ"/>
              </w:rPr>
              <w:t>„</w:t>
            </w:r>
            <w:r>
              <w:rPr>
                <w:b/>
                <w:bCs/>
                <w:color w:val="000000"/>
                <w:spacing w:val="0"/>
                <w:w w:val="100"/>
                <w:position w:val="0"/>
                <w:sz w:val="22"/>
                <w:szCs w:val="22"/>
                <w:shd w:val="clear" w:color="auto" w:fill="auto"/>
                <w:lang w:val="cs-CZ" w:eastAsia="cs-CZ" w:bidi="cs-CZ"/>
              </w:rPr>
              <w:t>Bílina (Chotějovice), ř. km 31,012–33,021 - náhradní výsadba BP a následná péče</w:t>
            </w:r>
            <w:r>
              <w:rPr>
                <w:b/>
                <w:bCs/>
                <w:color w:val="000000"/>
                <w:spacing w:val="0"/>
                <w:w w:val="100"/>
                <w:position w:val="0"/>
                <w:sz w:val="24"/>
                <w:szCs w:val="24"/>
                <w:shd w:val="clear" w:color="auto" w:fill="auto"/>
                <w:lang w:val="cs-CZ" w:eastAsia="cs-CZ" w:bidi="cs-CZ"/>
              </w:rPr>
              <w:t>“</w:t>
            </w:r>
          </w:p>
        </w:tc>
      </w:tr>
    </w:tbl>
    <w:p>
      <w:pPr>
        <w:widowControl w:val="0"/>
        <w:spacing w:after="459" w:line="1" w:lineRule="exact"/>
      </w:pPr>
    </w:p>
    <w:p>
      <w:pPr>
        <w:pStyle w:val="Style13"/>
        <w:keepNext w:val="0"/>
        <w:keepLines w:val="0"/>
        <w:widowControl w:val="0"/>
        <w:shd w:val="clear" w:color="auto" w:fill="auto"/>
        <w:tabs>
          <w:tab w:pos="2117" w:val="left"/>
        </w:tabs>
        <w:bidi w:val="0"/>
        <w:spacing w:before="0" w:after="18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6"/>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13"/>
        <w:keepNext w:val="0"/>
        <w:keepLines w:val="0"/>
        <w:widowControl w:val="0"/>
        <w:shd w:val="clear" w:color="auto" w:fill="auto"/>
        <w:tabs>
          <w:tab w:leader="dot" w:pos="8122"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13"/>
        <w:keepNext w:val="0"/>
        <w:keepLines w:val="0"/>
        <w:widowControl w:val="0"/>
        <w:shd w:val="clear" w:color="auto" w:fill="auto"/>
        <w:bidi w:val="0"/>
        <w:spacing w:before="0" w:after="18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3"/>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3"/>
        <w:keepNext w:val="0"/>
        <w:keepLines w:val="0"/>
        <w:widowControl w:val="0"/>
        <w:shd w:val="clear" w:color="auto" w:fill="auto"/>
        <w:bidi w:val="0"/>
        <w:spacing w:before="0" w:after="18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w:t>
      </w:r>
      <w:r>
        <w:rPr>
          <w:b/>
          <w:bCs/>
          <w:color w:val="000000"/>
          <w:spacing w:val="0"/>
          <w:w w:val="100"/>
          <w:position w:val="0"/>
          <w:sz w:val="22"/>
          <w:szCs w:val="22"/>
          <w:shd w:val="clear" w:color="auto" w:fill="auto"/>
          <w:lang w:val="cs-CZ" w:eastAsia="cs-CZ" w:bidi="cs-CZ"/>
        </w:rPr>
        <w:t>Bílina (Chotějovice), ř. km 31,012–33,021 - náhradní výsadba BP a následná péče</w:t>
      </w:r>
      <w:r>
        <w:rPr>
          <w:b/>
          <w:bCs/>
          <w:color w:val="000000"/>
          <w:spacing w:val="0"/>
          <w:w w:val="100"/>
          <w:position w:val="0"/>
          <w:sz w:val="16"/>
          <w:szCs w:val="16"/>
          <w:shd w:val="clear" w:color="auto" w:fill="auto"/>
          <w:lang w:val="cs-CZ" w:eastAsia="cs-CZ" w:bidi="cs-CZ"/>
        </w:rPr>
        <w: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13"/>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3"/>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3"/>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3"/>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3"/>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3"/>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3"/>
        <w:keepNext w:val="0"/>
        <w:keepLines w:val="0"/>
        <w:widowControl w:val="0"/>
        <w:numPr>
          <w:ilvl w:val="0"/>
          <w:numId w:val="5"/>
        </w:numPr>
        <w:shd w:val="clear" w:color="auto" w:fill="auto"/>
        <w:tabs>
          <w:tab w:pos="354" w:val="left"/>
        </w:tabs>
        <w:bidi w:val="0"/>
        <w:spacing w:before="0" w:after="12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3"/>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3"/>
        <w:keepNext w:val="0"/>
        <w:keepLines w:val="0"/>
        <w:widowControl w:val="0"/>
        <w:shd w:val="clear" w:color="auto" w:fill="auto"/>
        <w:tabs>
          <w:tab w:pos="1435" w:val="left"/>
          <w:tab w:pos="4306"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3"/>
        <w:keepNext w:val="0"/>
        <w:keepLines w:val="0"/>
        <w:widowControl w:val="0"/>
        <w:shd w:val="clear" w:color="auto" w:fill="auto"/>
        <w:tabs>
          <w:tab w:pos="2866"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13"/>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3"/>
        <w:keepNext w:val="0"/>
        <w:keepLines w:val="0"/>
        <w:widowControl w:val="0"/>
        <w:shd w:val="clear" w:color="auto" w:fill="auto"/>
        <w:tabs>
          <w:tab w:pos="1435" w:val="left"/>
          <w:tab w:pos="4306"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04" w:left="1107" w:right="1105" w:bottom="2968"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18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80"/>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