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65E6" w14:textId="77777777" w:rsidR="002E5D42" w:rsidRPr="002E5D42" w:rsidRDefault="007238B5" w:rsidP="00807825">
      <w:pPr>
        <w:pStyle w:val="Nadpis1"/>
        <w:jc w:val="center"/>
        <w:rPr>
          <w:rFonts w:ascii="Arial" w:hAnsi="Arial" w:cs="Arial"/>
          <w:sz w:val="24"/>
          <w:szCs w:val="24"/>
        </w:rPr>
      </w:pPr>
      <w:r w:rsidRPr="002E5D42">
        <w:rPr>
          <w:rFonts w:ascii="Arial" w:hAnsi="Arial" w:cs="Arial"/>
          <w:sz w:val="24"/>
          <w:szCs w:val="24"/>
        </w:rPr>
        <w:t>Dodatek č.</w:t>
      </w:r>
      <w:r w:rsidR="002136BF" w:rsidRPr="002E5D42">
        <w:rPr>
          <w:rFonts w:ascii="Arial" w:hAnsi="Arial" w:cs="Arial"/>
          <w:sz w:val="24"/>
          <w:szCs w:val="24"/>
        </w:rPr>
        <w:t xml:space="preserve"> </w:t>
      </w:r>
      <w:r w:rsidR="00464104">
        <w:rPr>
          <w:rFonts w:ascii="Arial" w:hAnsi="Arial" w:cs="Arial"/>
          <w:sz w:val="24"/>
          <w:szCs w:val="24"/>
        </w:rPr>
        <w:t>2</w:t>
      </w:r>
      <w:r w:rsidRPr="002E5D42">
        <w:rPr>
          <w:rFonts w:ascii="Arial" w:hAnsi="Arial" w:cs="Arial"/>
          <w:sz w:val="24"/>
          <w:szCs w:val="24"/>
        </w:rPr>
        <w:t xml:space="preserve"> k</w:t>
      </w:r>
      <w:r w:rsidR="005C6A7B">
        <w:rPr>
          <w:rFonts w:ascii="Arial" w:hAnsi="Arial" w:cs="Arial"/>
          <w:sz w:val="24"/>
          <w:szCs w:val="24"/>
        </w:rPr>
        <w:t>e</w:t>
      </w:r>
      <w:r w:rsidR="005C6A7B" w:rsidRPr="005C6A7B">
        <w:t xml:space="preserve"> </w:t>
      </w:r>
      <w:r w:rsidR="005C6A7B" w:rsidRPr="005C6A7B">
        <w:rPr>
          <w:rFonts w:ascii="Arial" w:hAnsi="Arial" w:cs="Arial"/>
          <w:sz w:val="24"/>
          <w:szCs w:val="24"/>
        </w:rPr>
        <w:t>Smlouvě o partnerství a vzájemné spolupráci na projektu „Intenzifikace zpětného odběru odpadních elektrozařízení ve Zlínském kraji“</w:t>
      </w:r>
      <w:r w:rsidRPr="002E5D42">
        <w:rPr>
          <w:rFonts w:ascii="Arial" w:hAnsi="Arial" w:cs="Arial"/>
          <w:sz w:val="24"/>
          <w:szCs w:val="24"/>
        </w:rPr>
        <w:t xml:space="preserve"> </w:t>
      </w:r>
      <w:r w:rsidR="005C6A7B">
        <w:rPr>
          <w:rFonts w:ascii="Arial" w:hAnsi="Arial" w:cs="Arial"/>
          <w:sz w:val="24"/>
          <w:szCs w:val="24"/>
        </w:rPr>
        <w:t xml:space="preserve"> </w:t>
      </w:r>
      <w:r w:rsidR="00394982" w:rsidRPr="002E5D42">
        <w:rPr>
          <w:rFonts w:ascii="Arial" w:hAnsi="Arial" w:cs="Arial"/>
          <w:sz w:val="24"/>
          <w:szCs w:val="24"/>
        </w:rPr>
        <w:t xml:space="preserve"> </w:t>
      </w:r>
    </w:p>
    <w:p w14:paraId="37F5EEB0" w14:textId="77777777" w:rsidR="007238B5" w:rsidRPr="002E5D42" w:rsidRDefault="005C6A7B" w:rsidP="00807825">
      <w:pPr>
        <w:pStyle w:val="Nadpis1"/>
        <w:jc w:val="center"/>
        <w:rPr>
          <w:rFonts w:ascii="Arial" w:hAnsi="Arial" w:cs="Arial"/>
          <w:b w:val="0"/>
          <w:sz w:val="24"/>
          <w:szCs w:val="24"/>
        </w:rPr>
      </w:pPr>
      <w:r>
        <w:rPr>
          <w:rFonts w:ascii="Arial" w:hAnsi="Arial" w:cs="Arial"/>
          <w:sz w:val="24"/>
          <w:szCs w:val="24"/>
        </w:rPr>
        <w:t xml:space="preserve"> </w:t>
      </w:r>
    </w:p>
    <w:p w14:paraId="70D2B060" w14:textId="77777777" w:rsidR="001C3943" w:rsidRPr="0032162D" w:rsidRDefault="003E05C8" w:rsidP="001C3943">
      <w:pPr>
        <w:jc w:val="center"/>
        <w:rPr>
          <w:rFonts w:ascii="Arial" w:hAnsi="Arial" w:cs="Arial"/>
          <w:b/>
        </w:rPr>
      </w:pPr>
      <w:r w:rsidRPr="0032162D">
        <w:rPr>
          <w:rFonts w:ascii="Arial" w:hAnsi="Arial" w:cs="Arial"/>
        </w:rPr>
        <w:t xml:space="preserve"> </w:t>
      </w:r>
      <w:r w:rsidRPr="0032162D">
        <w:rPr>
          <w:rFonts w:ascii="Arial" w:hAnsi="Arial" w:cs="Arial"/>
          <w:b/>
        </w:rPr>
        <w:t>D/1985/2022/ŽPZE/</w:t>
      </w:r>
      <w:r w:rsidR="00464104" w:rsidRPr="0032162D">
        <w:rPr>
          <w:rFonts w:ascii="Arial" w:hAnsi="Arial" w:cs="Arial"/>
          <w:b/>
        </w:rPr>
        <w:t>2</w:t>
      </w:r>
    </w:p>
    <w:p w14:paraId="5DC535EE" w14:textId="77777777" w:rsidR="001C3943" w:rsidRPr="00D0165D" w:rsidRDefault="001C3943" w:rsidP="007238B5">
      <w:pPr>
        <w:rPr>
          <w:rFonts w:ascii="Arial" w:hAnsi="Arial" w:cs="Arial"/>
          <w:sz w:val="22"/>
          <w:szCs w:val="22"/>
        </w:rPr>
      </w:pPr>
    </w:p>
    <w:p w14:paraId="71B2CA64" w14:textId="77777777" w:rsidR="007238B5" w:rsidRPr="00D0165D" w:rsidRDefault="007238B5" w:rsidP="007238B5">
      <w:pPr>
        <w:jc w:val="both"/>
        <w:rPr>
          <w:rFonts w:ascii="Arial" w:hAnsi="Arial" w:cs="Arial"/>
          <w:b/>
          <w:sz w:val="22"/>
          <w:szCs w:val="22"/>
        </w:rPr>
      </w:pPr>
      <w:r w:rsidRPr="00D0165D">
        <w:rPr>
          <w:rFonts w:ascii="Arial" w:hAnsi="Arial" w:cs="Arial"/>
          <w:b/>
          <w:sz w:val="22"/>
          <w:szCs w:val="22"/>
        </w:rPr>
        <w:t>Smluvní strany:</w:t>
      </w:r>
    </w:p>
    <w:p w14:paraId="730B63D9" w14:textId="77777777" w:rsidR="008C47A9" w:rsidRPr="008C47A9" w:rsidRDefault="008C47A9" w:rsidP="008C47A9">
      <w:pPr>
        <w:jc w:val="both"/>
        <w:rPr>
          <w:rFonts w:eastAsia="Calibri"/>
        </w:rPr>
      </w:pPr>
    </w:p>
    <w:p w14:paraId="1702700C" w14:textId="77777777" w:rsidR="008C47A9" w:rsidRPr="00341B84" w:rsidRDefault="008C47A9" w:rsidP="007F3828">
      <w:pPr>
        <w:numPr>
          <w:ilvl w:val="0"/>
          <w:numId w:val="8"/>
        </w:numPr>
        <w:jc w:val="both"/>
        <w:rPr>
          <w:rFonts w:ascii="Arial" w:eastAsia="Calibri" w:hAnsi="Arial" w:cs="Arial"/>
          <w:b/>
          <w:bCs/>
        </w:rPr>
      </w:pPr>
      <w:r w:rsidRPr="00341B84">
        <w:rPr>
          <w:rFonts w:ascii="Arial" w:eastAsia="Calibri" w:hAnsi="Arial" w:cs="Arial"/>
          <w:b/>
          <w:bCs/>
        </w:rPr>
        <w:t>Zlínský kraj</w:t>
      </w:r>
    </w:p>
    <w:p w14:paraId="53914BB5" w14:textId="77777777" w:rsidR="008C47A9" w:rsidRPr="00F72C88" w:rsidRDefault="008C47A9" w:rsidP="008C47A9">
      <w:pPr>
        <w:tabs>
          <w:tab w:val="num" w:pos="360"/>
        </w:tabs>
        <w:ind w:left="360"/>
        <w:jc w:val="both"/>
        <w:rPr>
          <w:rFonts w:ascii="Arial" w:eastAsia="Calibri" w:hAnsi="Arial" w:cs="Arial"/>
          <w:sz w:val="22"/>
          <w:szCs w:val="22"/>
        </w:rPr>
      </w:pPr>
      <w:r w:rsidRPr="00F72C88">
        <w:rPr>
          <w:rFonts w:ascii="Arial" w:eastAsia="Calibri" w:hAnsi="Arial" w:cs="Arial"/>
          <w:sz w:val="22"/>
          <w:szCs w:val="22"/>
        </w:rPr>
        <w:t>IČ: 70891320</w:t>
      </w:r>
    </w:p>
    <w:p w14:paraId="0812464F" w14:textId="77777777" w:rsidR="008C47A9" w:rsidRPr="00F72C88" w:rsidRDefault="008C47A9" w:rsidP="008C47A9">
      <w:pPr>
        <w:tabs>
          <w:tab w:val="num" w:pos="360"/>
        </w:tabs>
        <w:ind w:left="360"/>
        <w:jc w:val="both"/>
        <w:rPr>
          <w:rFonts w:ascii="Arial" w:eastAsia="Calibri" w:hAnsi="Arial" w:cs="Arial"/>
          <w:sz w:val="22"/>
          <w:szCs w:val="22"/>
        </w:rPr>
      </w:pPr>
      <w:r w:rsidRPr="00F72C88">
        <w:rPr>
          <w:rFonts w:ascii="Arial" w:eastAsia="Calibri" w:hAnsi="Arial" w:cs="Arial"/>
          <w:sz w:val="22"/>
          <w:szCs w:val="22"/>
        </w:rPr>
        <w:t>DIČ: CZ70891320</w:t>
      </w:r>
    </w:p>
    <w:p w14:paraId="401FF939" w14:textId="77777777" w:rsidR="008C47A9" w:rsidRPr="00F72C88" w:rsidRDefault="008C47A9" w:rsidP="008C47A9">
      <w:pPr>
        <w:ind w:left="360"/>
        <w:rPr>
          <w:rFonts w:ascii="Arial" w:eastAsia="Calibri" w:hAnsi="Arial" w:cs="Arial"/>
          <w:sz w:val="22"/>
          <w:szCs w:val="22"/>
        </w:rPr>
      </w:pPr>
      <w:r w:rsidRPr="00F72C88">
        <w:rPr>
          <w:rFonts w:ascii="Arial" w:eastAsia="Calibri" w:hAnsi="Arial" w:cs="Arial"/>
          <w:sz w:val="22"/>
          <w:szCs w:val="22"/>
        </w:rPr>
        <w:t>se sídlem: tř. T. Bati 21, 761 90 Zlín</w:t>
      </w:r>
    </w:p>
    <w:p w14:paraId="25A8E636" w14:textId="77777777" w:rsidR="008C47A9" w:rsidRPr="00F72C88" w:rsidRDefault="008C47A9" w:rsidP="008C47A9">
      <w:pPr>
        <w:ind w:left="360"/>
        <w:rPr>
          <w:rFonts w:ascii="Arial" w:eastAsia="Calibri" w:hAnsi="Arial" w:cs="Arial"/>
          <w:sz w:val="22"/>
          <w:szCs w:val="22"/>
        </w:rPr>
      </w:pPr>
      <w:r w:rsidRPr="00F72C88">
        <w:rPr>
          <w:rFonts w:ascii="Arial" w:eastAsia="Calibri" w:hAnsi="Arial" w:cs="Arial"/>
          <w:sz w:val="22"/>
          <w:szCs w:val="22"/>
        </w:rPr>
        <w:t xml:space="preserve">zastoupený: Bc Hanou </w:t>
      </w:r>
      <w:proofErr w:type="spellStart"/>
      <w:r w:rsidRPr="00F72C88">
        <w:rPr>
          <w:rFonts w:ascii="Arial" w:eastAsia="Calibri" w:hAnsi="Arial" w:cs="Arial"/>
          <w:sz w:val="22"/>
          <w:szCs w:val="22"/>
        </w:rPr>
        <w:t>Ančincovou</w:t>
      </w:r>
      <w:proofErr w:type="spellEnd"/>
      <w:r w:rsidRPr="00F72C88">
        <w:rPr>
          <w:rFonts w:ascii="Arial" w:eastAsia="Calibri" w:hAnsi="Arial" w:cs="Arial"/>
          <w:sz w:val="22"/>
          <w:szCs w:val="22"/>
        </w:rPr>
        <w:t xml:space="preserve">, statutární náměstkyní hejtmana Zlínského kraje </w:t>
      </w:r>
    </w:p>
    <w:p w14:paraId="5B946BAC" w14:textId="16117EC5" w:rsidR="008C47A9" w:rsidRPr="00F72C88" w:rsidRDefault="008C47A9" w:rsidP="008C47A9">
      <w:pPr>
        <w:ind w:left="360"/>
        <w:rPr>
          <w:rFonts w:ascii="Arial" w:eastAsia="Calibri" w:hAnsi="Arial" w:cs="Arial"/>
          <w:sz w:val="22"/>
          <w:szCs w:val="22"/>
        </w:rPr>
      </w:pPr>
      <w:r w:rsidRPr="00F72C88">
        <w:rPr>
          <w:rFonts w:ascii="Arial" w:eastAsia="Calibri" w:hAnsi="Arial" w:cs="Arial"/>
          <w:sz w:val="22"/>
          <w:szCs w:val="22"/>
        </w:rPr>
        <w:t xml:space="preserve">zaměstnanec pověřený technickým jednáním: Ing. Jana Káčerová – odbor životního prostředí a </w:t>
      </w:r>
      <w:r w:rsidR="0032162D" w:rsidRPr="00F72C88">
        <w:rPr>
          <w:rFonts w:ascii="Arial" w:eastAsia="Calibri" w:hAnsi="Arial" w:cs="Arial"/>
          <w:sz w:val="22"/>
          <w:szCs w:val="22"/>
        </w:rPr>
        <w:t>zemědělství, vedoucí</w:t>
      </w:r>
      <w:r w:rsidRPr="00F72C88">
        <w:rPr>
          <w:rFonts w:ascii="Arial" w:eastAsia="Calibri" w:hAnsi="Arial" w:cs="Arial"/>
          <w:sz w:val="22"/>
          <w:szCs w:val="22"/>
        </w:rPr>
        <w:t xml:space="preserve"> odboru</w:t>
      </w:r>
    </w:p>
    <w:p w14:paraId="67F39F51" w14:textId="77777777" w:rsidR="008C47A9" w:rsidRPr="00F72C88" w:rsidRDefault="008C47A9" w:rsidP="008C47A9">
      <w:pPr>
        <w:ind w:left="360"/>
        <w:rPr>
          <w:rFonts w:ascii="Arial" w:eastAsia="Calibri" w:hAnsi="Arial" w:cs="Arial"/>
          <w:sz w:val="22"/>
          <w:szCs w:val="22"/>
        </w:rPr>
      </w:pPr>
      <w:r w:rsidRPr="00F72C88">
        <w:rPr>
          <w:rFonts w:ascii="Arial" w:eastAsia="Calibri" w:hAnsi="Arial" w:cs="Arial"/>
          <w:sz w:val="22"/>
          <w:szCs w:val="22"/>
        </w:rPr>
        <w:t>e-mail: jana.kacerova@kr-zlinsky.cz</w:t>
      </w:r>
      <w:r w:rsidRPr="00F72C88">
        <w:rPr>
          <w:rFonts w:ascii="Arial" w:eastAsia="Calibri" w:hAnsi="Arial" w:cs="Arial"/>
          <w:sz w:val="22"/>
          <w:szCs w:val="22"/>
        </w:rPr>
        <w:br/>
        <w:t xml:space="preserve">bankovní spojení: Česká spořitelna a.s., </w:t>
      </w:r>
      <w:proofErr w:type="spellStart"/>
      <w:r w:rsidRPr="00F72C88">
        <w:rPr>
          <w:rFonts w:ascii="Arial" w:eastAsia="Calibri" w:hAnsi="Arial" w:cs="Arial"/>
          <w:sz w:val="22"/>
          <w:szCs w:val="22"/>
        </w:rPr>
        <w:t>č.ú</w:t>
      </w:r>
      <w:proofErr w:type="spellEnd"/>
      <w:r w:rsidRPr="00F72C88">
        <w:rPr>
          <w:rFonts w:ascii="Arial" w:eastAsia="Calibri" w:hAnsi="Arial" w:cs="Arial"/>
          <w:sz w:val="22"/>
          <w:szCs w:val="22"/>
        </w:rPr>
        <w:t>. 2786182/0800</w:t>
      </w:r>
    </w:p>
    <w:p w14:paraId="0833CD9B" w14:textId="77777777" w:rsidR="008C47A9" w:rsidRPr="00F72C88" w:rsidRDefault="008C47A9" w:rsidP="008C47A9">
      <w:pPr>
        <w:ind w:left="360"/>
        <w:jc w:val="both"/>
        <w:rPr>
          <w:rFonts w:ascii="Arial" w:eastAsia="Calibri" w:hAnsi="Arial" w:cs="Arial"/>
          <w:sz w:val="22"/>
          <w:szCs w:val="22"/>
        </w:rPr>
      </w:pPr>
      <w:r w:rsidRPr="00F72C88">
        <w:rPr>
          <w:rFonts w:ascii="Arial" w:eastAsia="Calibri" w:hAnsi="Arial" w:cs="Arial"/>
          <w:sz w:val="22"/>
          <w:szCs w:val="22"/>
        </w:rPr>
        <w:t>(dále jen „</w:t>
      </w:r>
      <w:r w:rsidRPr="00F72C88">
        <w:rPr>
          <w:rFonts w:ascii="Arial" w:eastAsia="Calibri" w:hAnsi="Arial" w:cs="Arial"/>
          <w:b/>
          <w:sz w:val="22"/>
          <w:szCs w:val="22"/>
        </w:rPr>
        <w:t>Kraj</w:t>
      </w:r>
      <w:r w:rsidRPr="00F72C88">
        <w:rPr>
          <w:rFonts w:ascii="Arial" w:eastAsia="Calibri" w:hAnsi="Arial" w:cs="Arial"/>
          <w:sz w:val="22"/>
          <w:szCs w:val="22"/>
        </w:rPr>
        <w:t>“) na straně jedné</w:t>
      </w:r>
    </w:p>
    <w:p w14:paraId="46636B5B" w14:textId="77777777" w:rsidR="008C47A9" w:rsidRPr="00F72C88" w:rsidRDefault="008C47A9" w:rsidP="008C47A9">
      <w:pPr>
        <w:ind w:left="360"/>
        <w:jc w:val="both"/>
        <w:rPr>
          <w:rFonts w:ascii="Arial" w:eastAsia="Calibri" w:hAnsi="Arial" w:cs="Arial"/>
          <w:sz w:val="22"/>
          <w:szCs w:val="22"/>
        </w:rPr>
      </w:pPr>
    </w:p>
    <w:p w14:paraId="6F1A56CD" w14:textId="77777777" w:rsidR="008C47A9" w:rsidRPr="00F72C88" w:rsidRDefault="008C47A9" w:rsidP="008C47A9">
      <w:pPr>
        <w:ind w:left="360"/>
        <w:jc w:val="both"/>
        <w:rPr>
          <w:rFonts w:ascii="Arial" w:eastAsia="Calibri" w:hAnsi="Arial" w:cs="Arial"/>
          <w:sz w:val="22"/>
          <w:szCs w:val="22"/>
        </w:rPr>
      </w:pPr>
      <w:r w:rsidRPr="00F72C88">
        <w:rPr>
          <w:rFonts w:ascii="Arial" w:eastAsia="Calibri" w:hAnsi="Arial" w:cs="Arial"/>
          <w:sz w:val="22"/>
          <w:szCs w:val="22"/>
        </w:rPr>
        <w:t>a</w:t>
      </w:r>
    </w:p>
    <w:p w14:paraId="6080E105" w14:textId="77777777" w:rsidR="008C47A9" w:rsidRPr="00341B84" w:rsidRDefault="008C47A9" w:rsidP="008C47A9">
      <w:pPr>
        <w:ind w:left="360"/>
        <w:jc w:val="both"/>
        <w:rPr>
          <w:rFonts w:ascii="Arial" w:eastAsia="Calibri" w:hAnsi="Arial" w:cs="Arial"/>
        </w:rPr>
      </w:pPr>
    </w:p>
    <w:p w14:paraId="4B45620B" w14:textId="77777777" w:rsidR="008C47A9" w:rsidRPr="00341B84" w:rsidRDefault="008C47A9" w:rsidP="008C47A9">
      <w:pPr>
        <w:autoSpaceDE w:val="0"/>
        <w:autoSpaceDN w:val="0"/>
        <w:adjustRightInd w:val="0"/>
        <w:jc w:val="both"/>
        <w:rPr>
          <w:rFonts w:ascii="Arial" w:eastAsia="Calibri" w:hAnsi="Arial" w:cs="Arial"/>
          <w:b/>
          <w:bCs/>
        </w:rPr>
      </w:pPr>
      <w:r w:rsidRPr="00341B84">
        <w:rPr>
          <w:rFonts w:ascii="Arial" w:eastAsia="Calibri" w:hAnsi="Arial" w:cs="Arial"/>
          <w:b/>
          <w:bCs/>
        </w:rPr>
        <w:t>2.   ELEKTROWIN a.s.</w:t>
      </w:r>
    </w:p>
    <w:p w14:paraId="3FCF290C" w14:textId="77777777"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z w:val="22"/>
          <w:szCs w:val="22"/>
        </w:rPr>
        <w:t>IČ: 272 57 843</w:t>
      </w:r>
    </w:p>
    <w:p w14:paraId="09667E2A" w14:textId="77777777"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z w:val="22"/>
          <w:szCs w:val="22"/>
        </w:rPr>
        <w:t>DIČ: CZ27257843</w:t>
      </w:r>
    </w:p>
    <w:p w14:paraId="3C02CBB4" w14:textId="31A1D715"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z w:val="22"/>
          <w:szCs w:val="22"/>
        </w:rPr>
        <w:t>se sídlem: Michelská 300/60, 140 00 Praha 4</w:t>
      </w:r>
    </w:p>
    <w:p w14:paraId="524D85F1" w14:textId="77777777" w:rsidR="008C47A9" w:rsidRPr="00F72C88" w:rsidRDefault="008C47A9" w:rsidP="008C47A9">
      <w:pPr>
        <w:tabs>
          <w:tab w:val="center" w:pos="4536"/>
          <w:tab w:val="right" w:pos="9072"/>
        </w:tabs>
        <w:ind w:left="357"/>
        <w:jc w:val="both"/>
        <w:rPr>
          <w:rFonts w:ascii="Arial" w:eastAsia="Calibri" w:hAnsi="Arial" w:cs="Arial"/>
          <w:sz w:val="22"/>
          <w:szCs w:val="22"/>
        </w:rPr>
      </w:pPr>
      <w:r w:rsidRPr="00F72C88">
        <w:rPr>
          <w:rFonts w:ascii="Arial" w:eastAsia="Calibri" w:hAnsi="Arial" w:cs="Arial"/>
          <w:sz w:val="22"/>
          <w:szCs w:val="22"/>
        </w:rPr>
        <w:t xml:space="preserve">zapsaná v obchodním rejstříku vedeném Městským soudem v Praze, oddíl B, vložka 10027, </w:t>
      </w:r>
    </w:p>
    <w:p w14:paraId="03184852" w14:textId="77777777"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z w:val="22"/>
          <w:szCs w:val="22"/>
        </w:rPr>
        <w:t xml:space="preserve">bankovní účet: Raiffeisenbank a.s., </w:t>
      </w:r>
      <w:proofErr w:type="spellStart"/>
      <w:r w:rsidRPr="00F72C88">
        <w:rPr>
          <w:rFonts w:ascii="Arial" w:eastAsia="Calibri" w:hAnsi="Arial" w:cs="Arial"/>
          <w:sz w:val="22"/>
          <w:szCs w:val="22"/>
        </w:rPr>
        <w:t>č.ú</w:t>
      </w:r>
      <w:proofErr w:type="spellEnd"/>
      <w:r w:rsidRPr="00F72C88">
        <w:rPr>
          <w:rFonts w:ascii="Arial" w:eastAsia="Calibri" w:hAnsi="Arial" w:cs="Arial"/>
          <w:sz w:val="22"/>
          <w:szCs w:val="22"/>
        </w:rPr>
        <w:t>. 1071006295/5500</w:t>
      </w:r>
    </w:p>
    <w:p w14:paraId="559B1621" w14:textId="77777777"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pacing w:val="-4"/>
          <w:sz w:val="22"/>
          <w:szCs w:val="22"/>
        </w:rPr>
        <w:t xml:space="preserve">zastoupená: </w:t>
      </w:r>
      <w:r w:rsidRPr="00F72C88">
        <w:rPr>
          <w:rFonts w:ascii="Arial" w:eastAsia="Calibri" w:hAnsi="Arial" w:cs="Arial"/>
          <w:sz w:val="22"/>
          <w:szCs w:val="22"/>
        </w:rPr>
        <w:t>Ing. Romanem Tvrzníkem, předsedou představenstva</w:t>
      </w:r>
    </w:p>
    <w:p w14:paraId="39ACCD80" w14:textId="77777777" w:rsidR="008C47A9" w:rsidRPr="00F72C88" w:rsidRDefault="008C47A9" w:rsidP="008C47A9">
      <w:pPr>
        <w:autoSpaceDE w:val="0"/>
        <w:autoSpaceDN w:val="0"/>
        <w:adjustRightInd w:val="0"/>
        <w:ind w:left="357"/>
        <w:jc w:val="both"/>
        <w:rPr>
          <w:rFonts w:ascii="Arial" w:eastAsia="Calibri" w:hAnsi="Arial" w:cs="Arial"/>
          <w:sz w:val="22"/>
          <w:szCs w:val="22"/>
        </w:rPr>
      </w:pPr>
      <w:r w:rsidRPr="00F72C88">
        <w:rPr>
          <w:rFonts w:ascii="Arial" w:eastAsia="Calibri" w:hAnsi="Arial" w:cs="Arial"/>
          <w:sz w:val="22"/>
          <w:szCs w:val="22"/>
        </w:rPr>
        <w:t>(dále jen „</w:t>
      </w:r>
      <w:r w:rsidRPr="00F72C88">
        <w:rPr>
          <w:rFonts w:ascii="Arial" w:eastAsia="Calibri" w:hAnsi="Arial" w:cs="Arial"/>
          <w:b/>
          <w:sz w:val="22"/>
          <w:szCs w:val="22"/>
        </w:rPr>
        <w:t>ELEKTROWIN</w:t>
      </w:r>
      <w:r w:rsidRPr="00F72C88">
        <w:rPr>
          <w:rFonts w:ascii="Arial" w:eastAsia="Calibri" w:hAnsi="Arial" w:cs="Arial"/>
          <w:sz w:val="22"/>
          <w:szCs w:val="22"/>
        </w:rPr>
        <w:t xml:space="preserve">“) na straně druhé </w:t>
      </w:r>
    </w:p>
    <w:p w14:paraId="35548C5B" w14:textId="77777777" w:rsidR="008C47A9" w:rsidRPr="00F72C88" w:rsidRDefault="008C47A9" w:rsidP="008C47A9">
      <w:pPr>
        <w:autoSpaceDE w:val="0"/>
        <w:autoSpaceDN w:val="0"/>
        <w:adjustRightInd w:val="0"/>
        <w:ind w:left="360"/>
        <w:jc w:val="both"/>
        <w:rPr>
          <w:rFonts w:ascii="Arial" w:eastAsia="Calibri" w:hAnsi="Arial" w:cs="Arial"/>
          <w:sz w:val="22"/>
          <w:szCs w:val="22"/>
        </w:rPr>
      </w:pPr>
    </w:p>
    <w:p w14:paraId="07994545" w14:textId="77777777" w:rsidR="008C47A9" w:rsidRPr="00F72C88" w:rsidRDefault="008C47A9" w:rsidP="008C47A9">
      <w:pPr>
        <w:autoSpaceDE w:val="0"/>
        <w:autoSpaceDN w:val="0"/>
        <w:adjustRightInd w:val="0"/>
        <w:jc w:val="both"/>
        <w:rPr>
          <w:rFonts w:ascii="Arial" w:eastAsia="Calibri" w:hAnsi="Arial" w:cs="Arial"/>
          <w:sz w:val="22"/>
          <w:szCs w:val="22"/>
        </w:rPr>
      </w:pPr>
      <w:r w:rsidRPr="00F72C88">
        <w:rPr>
          <w:rFonts w:ascii="Arial" w:eastAsia="Calibri" w:hAnsi="Arial" w:cs="Arial"/>
          <w:sz w:val="22"/>
          <w:szCs w:val="22"/>
        </w:rPr>
        <w:t>(Kraj a ELEKTROWIN dále jen „</w:t>
      </w:r>
      <w:r w:rsidRPr="00F72C88">
        <w:rPr>
          <w:rFonts w:ascii="Arial" w:eastAsia="Calibri" w:hAnsi="Arial" w:cs="Arial"/>
          <w:b/>
          <w:sz w:val="22"/>
          <w:szCs w:val="22"/>
        </w:rPr>
        <w:t>smluvní strany</w:t>
      </w:r>
      <w:r w:rsidRPr="00F72C88">
        <w:rPr>
          <w:rFonts w:ascii="Arial" w:eastAsia="Calibri" w:hAnsi="Arial" w:cs="Arial"/>
          <w:sz w:val="22"/>
          <w:szCs w:val="22"/>
        </w:rPr>
        <w:t>“)</w:t>
      </w:r>
    </w:p>
    <w:p w14:paraId="1E03231D" w14:textId="77777777" w:rsidR="00394982" w:rsidRPr="00F72C88" w:rsidRDefault="00394982" w:rsidP="00BE3917">
      <w:pPr>
        <w:ind w:left="360"/>
        <w:jc w:val="both"/>
        <w:rPr>
          <w:rFonts w:ascii="Arial" w:hAnsi="Arial" w:cs="Arial"/>
          <w:b/>
          <w:sz w:val="22"/>
          <w:szCs w:val="22"/>
        </w:rPr>
      </w:pPr>
    </w:p>
    <w:p w14:paraId="7966C81A" w14:textId="77777777" w:rsidR="007238B5" w:rsidRPr="00341B84" w:rsidRDefault="008C47A9" w:rsidP="007238B5">
      <w:pPr>
        <w:ind w:left="360"/>
        <w:jc w:val="both"/>
        <w:rPr>
          <w:rFonts w:ascii="Arial" w:hAnsi="Arial" w:cs="Arial"/>
          <w:sz w:val="22"/>
          <w:szCs w:val="22"/>
        </w:rPr>
      </w:pPr>
      <w:r w:rsidRPr="00341B84">
        <w:rPr>
          <w:rFonts w:ascii="Arial" w:hAnsi="Arial" w:cs="Arial"/>
          <w:b/>
          <w:sz w:val="22"/>
          <w:szCs w:val="22"/>
        </w:rPr>
        <w:t xml:space="preserve"> </w:t>
      </w:r>
    </w:p>
    <w:p w14:paraId="771792F7" w14:textId="77777777" w:rsidR="007238B5" w:rsidRPr="00341B84" w:rsidRDefault="007238B5" w:rsidP="007238B5">
      <w:pPr>
        <w:jc w:val="both"/>
        <w:rPr>
          <w:rFonts w:ascii="Arial" w:hAnsi="Arial" w:cs="Arial"/>
          <w:sz w:val="22"/>
          <w:szCs w:val="22"/>
        </w:rPr>
      </w:pPr>
    </w:p>
    <w:p w14:paraId="5E6E01F1" w14:textId="77777777" w:rsidR="005C6A7B" w:rsidRPr="00341B84" w:rsidRDefault="007238B5" w:rsidP="005C6A7B">
      <w:pPr>
        <w:ind w:left="360"/>
        <w:jc w:val="both"/>
        <w:rPr>
          <w:rFonts w:ascii="Arial" w:hAnsi="Arial" w:cs="Arial"/>
          <w:sz w:val="22"/>
          <w:szCs w:val="22"/>
        </w:rPr>
      </w:pPr>
      <w:r w:rsidRPr="00341B84">
        <w:rPr>
          <w:rFonts w:ascii="Arial" w:hAnsi="Arial" w:cs="Arial"/>
          <w:sz w:val="22"/>
          <w:szCs w:val="22"/>
        </w:rPr>
        <w:t xml:space="preserve">uzavírají dnešního dne, měsíce a roku na základě úplného konsensu o všech níže uvedených skutečnostech </w:t>
      </w:r>
      <w:r w:rsidR="00807825" w:rsidRPr="00341B84">
        <w:rPr>
          <w:rFonts w:ascii="Arial" w:hAnsi="Arial" w:cs="Arial"/>
          <w:sz w:val="22"/>
          <w:szCs w:val="22"/>
        </w:rPr>
        <w:t xml:space="preserve">Dodatek č. </w:t>
      </w:r>
      <w:r w:rsidR="00464104" w:rsidRPr="00341B84">
        <w:rPr>
          <w:rFonts w:ascii="Arial" w:hAnsi="Arial" w:cs="Arial"/>
          <w:sz w:val="22"/>
          <w:szCs w:val="22"/>
        </w:rPr>
        <w:t>2</w:t>
      </w:r>
      <w:r w:rsidR="00E863D9" w:rsidRPr="00341B84">
        <w:rPr>
          <w:rFonts w:ascii="Arial" w:hAnsi="Arial" w:cs="Arial"/>
          <w:sz w:val="22"/>
          <w:szCs w:val="22"/>
        </w:rPr>
        <w:t xml:space="preserve"> </w:t>
      </w:r>
      <w:r w:rsidR="00807825" w:rsidRPr="00341B84">
        <w:rPr>
          <w:rFonts w:ascii="Arial" w:hAnsi="Arial" w:cs="Arial"/>
          <w:sz w:val="22"/>
          <w:szCs w:val="22"/>
        </w:rPr>
        <w:t>k</w:t>
      </w:r>
      <w:r w:rsidR="005C6A7B" w:rsidRPr="00341B84">
        <w:rPr>
          <w:rFonts w:ascii="Arial" w:hAnsi="Arial" w:cs="Arial"/>
          <w:sz w:val="22"/>
          <w:szCs w:val="22"/>
        </w:rPr>
        <w:t>e</w:t>
      </w:r>
      <w:r w:rsidR="00807825" w:rsidRPr="00341B84">
        <w:rPr>
          <w:rFonts w:ascii="Arial" w:hAnsi="Arial" w:cs="Arial"/>
          <w:sz w:val="22"/>
          <w:szCs w:val="22"/>
        </w:rPr>
        <w:t> </w:t>
      </w:r>
      <w:r w:rsidR="005C6A7B" w:rsidRPr="00341B84">
        <w:rPr>
          <w:rFonts w:ascii="Arial" w:hAnsi="Arial" w:cs="Arial"/>
          <w:sz w:val="22"/>
          <w:szCs w:val="22"/>
        </w:rPr>
        <w:t>Smlouvě o partnerství a vzájemné spolupráci na projektu „Intenzifikace zpětného odběru odpadních elektrozařízení ve Zlínském kraji“</w:t>
      </w:r>
    </w:p>
    <w:p w14:paraId="3D4D7043" w14:textId="77777777" w:rsidR="007238B5" w:rsidRDefault="005C6A7B" w:rsidP="005C6A7B">
      <w:pPr>
        <w:ind w:firstLine="360"/>
        <w:jc w:val="both"/>
        <w:rPr>
          <w:rFonts w:ascii="Arial" w:hAnsi="Arial" w:cs="Arial"/>
          <w:sz w:val="22"/>
          <w:szCs w:val="22"/>
        </w:rPr>
      </w:pPr>
      <w:r w:rsidRPr="00341B84">
        <w:rPr>
          <w:rFonts w:ascii="Arial" w:hAnsi="Arial" w:cs="Arial"/>
          <w:sz w:val="22"/>
          <w:szCs w:val="22"/>
        </w:rPr>
        <w:t xml:space="preserve">č. D/1985/2022/ŽPZE </w:t>
      </w:r>
      <w:r w:rsidR="00B10E49" w:rsidRPr="00341B84">
        <w:rPr>
          <w:rFonts w:ascii="Arial" w:hAnsi="Arial" w:cs="Arial"/>
          <w:sz w:val="22"/>
          <w:szCs w:val="22"/>
        </w:rPr>
        <w:t>(dále jen „</w:t>
      </w:r>
      <w:r w:rsidR="004407B0" w:rsidRPr="00341B84">
        <w:rPr>
          <w:rFonts w:ascii="Arial" w:hAnsi="Arial" w:cs="Arial"/>
          <w:sz w:val="22"/>
          <w:szCs w:val="22"/>
        </w:rPr>
        <w:t>d</w:t>
      </w:r>
      <w:r w:rsidR="00B10E49" w:rsidRPr="00341B84">
        <w:rPr>
          <w:rFonts w:ascii="Arial" w:hAnsi="Arial" w:cs="Arial"/>
          <w:sz w:val="22"/>
          <w:szCs w:val="22"/>
        </w:rPr>
        <w:t>odatek“)</w:t>
      </w:r>
      <w:r w:rsidRPr="00341B84">
        <w:rPr>
          <w:rFonts w:ascii="Arial" w:hAnsi="Arial" w:cs="Arial"/>
          <w:sz w:val="22"/>
          <w:szCs w:val="22"/>
        </w:rPr>
        <w:t xml:space="preserve"> uzavřené dne 30.8.2022</w:t>
      </w:r>
      <w:r w:rsidR="007238B5" w:rsidRPr="00341B84">
        <w:rPr>
          <w:rFonts w:ascii="Arial" w:hAnsi="Arial" w:cs="Arial"/>
          <w:sz w:val="22"/>
          <w:szCs w:val="22"/>
        </w:rPr>
        <w:t>.</w:t>
      </w:r>
    </w:p>
    <w:p w14:paraId="421439B8" w14:textId="77777777" w:rsidR="009C560A" w:rsidRPr="00341B84" w:rsidRDefault="009C560A" w:rsidP="005C6A7B">
      <w:pPr>
        <w:ind w:firstLine="360"/>
        <w:jc w:val="both"/>
        <w:rPr>
          <w:rFonts w:ascii="Arial" w:hAnsi="Arial" w:cs="Arial"/>
          <w:sz w:val="22"/>
          <w:szCs w:val="22"/>
        </w:rPr>
      </w:pPr>
    </w:p>
    <w:p w14:paraId="5ED8A1E4" w14:textId="77777777" w:rsidR="00686E1C" w:rsidRPr="00341B84" w:rsidRDefault="00686E1C" w:rsidP="00393B7B">
      <w:pPr>
        <w:spacing w:before="240"/>
        <w:jc w:val="center"/>
        <w:rPr>
          <w:rFonts w:ascii="Arial" w:hAnsi="Arial" w:cs="Arial"/>
          <w:b/>
          <w:sz w:val="22"/>
          <w:szCs w:val="22"/>
        </w:rPr>
      </w:pPr>
      <w:r w:rsidRPr="00341B84">
        <w:rPr>
          <w:rFonts w:ascii="Arial" w:hAnsi="Arial" w:cs="Arial"/>
          <w:b/>
          <w:sz w:val="22"/>
          <w:szCs w:val="22"/>
        </w:rPr>
        <w:t>I.</w:t>
      </w:r>
    </w:p>
    <w:p w14:paraId="37C782B8" w14:textId="77777777" w:rsidR="00686E1C" w:rsidRPr="00341B84" w:rsidRDefault="00686E1C" w:rsidP="00A075A2">
      <w:pPr>
        <w:pStyle w:val="Nadpis2"/>
        <w:rPr>
          <w:sz w:val="22"/>
          <w:szCs w:val="22"/>
        </w:rPr>
      </w:pPr>
      <w:r w:rsidRPr="00341B84">
        <w:rPr>
          <w:sz w:val="22"/>
          <w:szCs w:val="22"/>
        </w:rPr>
        <w:t xml:space="preserve">Předmět </w:t>
      </w:r>
      <w:r w:rsidR="00D00237" w:rsidRPr="00341B84">
        <w:rPr>
          <w:sz w:val="22"/>
          <w:szCs w:val="22"/>
        </w:rPr>
        <w:t>dodatku</w:t>
      </w:r>
    </w:p>
    <w:p w14:paraId="7BEE8CFB" w14:textId="77777777" w:rsidR="001D04C3" w:rsidRPr="00341B84" w:rsidRDefault="001D04C3" w:rsidP="007F3828">
      <w:pPr>
        <w:numPr>
          <w:ilvl w:val="0"/>
          <w:numId w:val="2"/>
        </w:numPr>
        <w:spacing w:before="120"/>
        <w:ind w:left="357" w:hanging="357"/>
        <w:jc w:val="both"/>
        <w:rPr>
          <w:rFonts w:ascii="Arial" w:hAnsi="Arial" w:cs="Arial"/>
          <w:sz w:val="22"/>
          <w:szCs w:val="22"/>
        </w:rPr>
      </w:pPr>
      <w:r w:rsidRPr="00341B84">
        <w:rPr>
          <w:rFonts w:ascii="Arial" w:hAnsi="Arial" w:cs="Arial"/>
          <w:sz w:val="22"/>
          <w:szCs w:val="22"/>
        </w:rPr>
        <w:t xml:space="preserve">Předmětem tohoto dodatku je vymezení spolupráce obou smluvních stran při řešení </w:t>
      </w:r>
      <w:r w:rsidR="00394982" w:rsidRPr="00341B84">
        <w:rPr>
          <w:rFonts w:ascii="Arial" w:hAnsi="Arial" w:cs="Arial"/>
          <w:sz w:val="22"/>
          <w:szCs w:val="22"/>
        </w:rPr>
        <w:br/>
      </w:r>
      <w:r w:rsidRPr="00341B84">
        <w:rPr>
          <w:rFonts w:ascii="Arial" w:hAnsi="Arial" w:cs="Arial"/>
          <w:sz w:val="22"/>
          <w:szCs w:val="22"/>
        </w:rPr>
        <w:t xml:space="preserve">a plnění cílů </w:t>
      </w:r>
      <w:r w:rsidR="0088725D" w:rsidRPr="00341B84">
        <w:rPr>
          <w:rFonts w:ascii="Arial" w:hAnsi="Arial" w:cs="Arial"/>
          <w:sz w:val="22"/>
          <w:szCs w:val="22"/>
        </w:rPr>
        <w:t xml:space="preserve">stanovených v koncepčních dokumentech </w:t>
      </w:r>
      <w:r w:rsidR="0013150B" w:rsidRPr="00341B84">
        <w:rPr>
          <w:rFonts w:ascii="Arial" w:hAnsi="Arial" w:cs="Arial"/>
          <w:sz w:val="22"/>
          <w:szCs w:val="22"/>
        </w:rPr>
        <w:t>Zlínského k</w:t>
      </w:r>
      <w:r w:rsidR="009F5BCC" w:rsidRPr="00341B84">
        <w:rPr>
          <w:rFonts w:ascii="Arial" w:hAnsi="Arial" w:cs="Arial"/>
          <w:sz w:val="22"/>
          <w:szCs w:val="22"/>
        </w:rPr>
        <w:t>raje</w:t>
      </w:r>
      <w:r w:rsidR="0088725D" w:rsidRPr="00341B84">
        <w:rPr>
          <w:rFonts w:ascii="Arial" w:hAnsi="Arial" w:cs="Arial"/>
          <w:sz w:val="22"/>
          <w:szCs w:val="22"/>
        </w:rPr>
        <w:t xml:space="preserve">, zejména Plánu odpadového hospodářství </w:t>
      </w:r>
      <w:r w:rsidR="0013150B" w:rsidRPr="00341B84">
        <w:rPr>
          <w:rFonts w:ascii="Arial" w:hAnsi="Arial" w:cs="Arial"/>
          <w:sz w:val="22"/>
          <w:szCs w:val="22"/>
        </w:rPr>
        <w:t xml:space="preserve">Zlínského kraje </w:t>
      </w:r>
      <w:r w:rsidR="0088725D" w:rsidRPr="00341B84">
        <w:rPr>
          <w:rFonts w:ascii="Arial" w:hAnsi="Arial" w:cs="Arial"/>
          <w:sz w:val="22"/>
          <w:szCs w:val="22"/>
        </w:rPr>
        <w:t>2016-2025, týkajících se předcházení vzniku odpadů a zpětného odběru vyřazených elektrozařízení</w:t>
      </w:r>
      <w:r w:rsidRPr="00341B84">
        <w:rPr>
          <w:rFonts w:ascii="Arial" w:hAnsi="Arial" w:cs="Arial"/>
          <w:sz w:val="22"/>
          <w:szCs w:val="22"/>
        </w:rPr>
        <w:t>.</w:t>
      </w:r>
    </w:p>
    <w:p w14:paraId="09A3659C" w14:textId="77777777" w:rsidR="004407B0" w:rsidRPr="00341B84" w:rsidRDefault="003F0D00" w:rsidP="007F3828">
      <w:pPr>
        <w:numPr>
          <w:ilvl w:val="0"/>
          <w:numId w:val="2"/>
        </w:numPr>
        <w:spacing w:before="120"/>
        <w:ind w:left="357" w:hanging="357"/>
        <w:jc w:val="both"/>
        <w:rPr>
          <w:rFonts w:ascii="Arial" w:hAnsi="Arial" w:cs="Arial"/>
          <w:sz w:val="22"/>
          <w:szCs w:val="22"/>
        </w:rPr>
      </w:pPr>
      <w:r w:rsidRPr="00341B84">
        <w:rPr>
          <w:rFonts w:ascii="Arial" w:hAnsi="Arial" w:cs="Arial"/>
          <w:sz w:val="22"/>
          <w:szCs w:val="22"/>
        </w:rPr>
        <w:t>Předmět spolupráce pro rok 20</w:t>
      </w:r>
      <w:r w:rsidR="008C47A9" w:rsidRPr="00341B84">
        <w:rPr>
          <w:rFonts w:ascii="Arial" w:hAnsi="Arial" w:cs="Arial"/>
          <w:sz w:val="22"/>
          <w:szCs w:val="22"/>
        </w:rPr>
        <w:t>2</w:t>
      </w:r>
      <w:r w:rsidR="00464104" w:rsidRPr="00341B84">
        <w:rPr>
          <w:rFonts w:ascii="Arial" w:hAnsi="Arial" w:cs="Arial"/>
          <w:sz w:val="22"/>
          <w:szCs w:val="22"/>
        </w:rPr>
        <w:t>4</w:t>
      </w:r>
      <w:r w:rsidR="004407B0" w:rsidRPr="00341B84">
        <w:rPr>
          <w:rFonts w:ascii="Arial" w:hAnsi="Arial" w:cs="Arial"/>
          <w:sz w:val="22"/>
          <w:szCs w:val="22"/>
        </w:rPr>
        <w:t xml:space="preserve"> je specifikován v příloze č. 1 tohoto dodatku.</w:t>
      </w:r>
    </w:p>
    <w:p w14:paraId="5C7DBEDA" w14:textId="77777777" w:rsidR="00394982" w:rsidRPr="00341B84" w:rsidRDefault="00394982" w:rsidP="00394982">
      <w:pPr>
        <w:spacing w:before="120"/>
        <w:ind w:left="357"/>
        <w:jc w:val="both"/>
        <w:rPr>
          <w:rFonts w:ascii="Arial" w:hAnsi="Arial" w:cs="Arial"/>
          <w:sz w:val="22"/>
          <w:szCs w:val="22"/>
        </w:rPr>
      </w:pPr>
    </w:p>
    <w:p w14:paraId="5F0F9F57" w14:textId="2FA859D0" w:rsidR="008B5ECE" w:rsidRPr="00341B84" w:rsidRDefault="00483F3D" w:rsidP="0032162D">
      <w:pPr>
        <w:spacing w:before="240"/>
        <w:jc w:val="center"/>
        <w:rPr>
          <w:rFonts w:ascii="Arial" w:hAnsi="Arial" w:cs="Arial"/>
          <w:b/>
          <w:sz w:val="22"/>
        </w:rPr>
      </w:pPr>
      <w:r w:rsidRPr="00341B84">
        <w:rPr>
          <w:rFonts w:ascii="Arial" w:hAnsi="Arial" w:cs="Arial"/>
          <w:b/>
          <w:sz w:val="22"/>
        </w:rPr>
        <w:t>II</w:t>
      </w:r>
      <w:r w:rsidR="00224CE7" w:rsidRPr="00341B84">
        <w:rPr>
          <w:rFonts w:ascii="Arial" w:hAnsi="Arial" w:cs="Arial"/>
          <w:b/>
          <w:sz w:val="22"/>
        </w:rPr>
        <w:t>.</w:t>
      </w:r>
    </w:p>
    <w:p w14:paraId="7560A6E4" w14:textId="77777777" w:rsidR="00224CE7" w:rsidRPr="00341B84" w:rsidRDefault="00224CE7" w:rsidP="00224CE7">
      <w:pPr>
        <w:jc w:val="center"/>
        <w:rPr>
          <w:rFonts w:ascii="Arial" w:hAnsi="Arial" w:cs="Arial"/>
          <w:b/>
          <w:sz w:val="22"/>
        </w:rPr>
      </w:pPr>
      <w:r w:rsidRPr="00341B84">
        <w:rPr>
          <w:rFonts w:ascii="Arial" w:hAnsi="Arial" w:cs="Arial"/>
          <w:b/>
          <w:sz w:val="22"/>
        </w:rPr>
        <w:t>Závěrečná ustanovení</w:t>
      </w:r>
    </w:p>
    <w:p w14:paraId="17EF7450" w14:textId="77777777" w:rsidR="00224CE7" w:rsidRPr="00341B84" w:rsidRDefault="00224CE7" w:rsidP="005C6A7B">
      <w:pPr>
        <w:numPr>
          <w:ilvl w:val="0"/>
          <w:numId w:val="3"/>
        </w:numPr>
        <w:spacing w:before="120" w:after="120"/>
        <w:jc w:val="both"/>
        <w:rPr>
          <w:rFonts w:ascii="Arial" w:hAnsi="Arial" w:cs="Arial"/>
          <w:sz w:val="22"/>
        </w:rPr>
      </w:pPr>
      <w:r w:rsidRPr="00341B84">
        <w:rPr>
          <w:rFonts w:ascii="Arial" w:hAnsi="Arial" w:cs="Arial"/>
          <w:sz w:val="22"/>
        </w:rPr>
        <w:t xml:space="preserve">Ostatní ujednání </w:t>
      </w:r>
      <w:r w:rsidR="005C6A7B" w:rsidRPr="00341B84">
        <w:rPr>
          <w:rFonts w:ascii="Arial" w:hAnsi="Arial" w:cs="Arial"/>
          <w:sz w:val="22"/>
        </w:rPr>
        <w:t>Smlouvy</w:t>
      </w:r>
      <w:r w:rsidR="005C6A7B" w:rsidRPr="00341B84">
        <w:rPr>
          <w:rFonts w:ascii="Arial" w:hAnsi="Arial" w:cs="Arial"/>
          <w:sz w:val="22"/>
          <w:szCs w:val="22"/>
        </w:rPr>
        <w:t xml:space="preserve"> </w:t>
      </w:r>
      <w:r w:rsidR="005C6A7B" w:rsidRPr="00341B84">
        <w:rPr>
          <w:rFonts w:ascii="Arial" w:hAnsi="Arial" w:cs="Arial"/>
          <w:sz w:val="22"/>
        </w:rPr>
        <w:t>o partnerství a vzájemné spolupráci na projektu „Intenzifikace zpětného odběru odpadních elektrozařízení ve Zlínském kraji“</w:t>
      </w:r>
      <w:r w:rsidRPr="00341B84">
        <w:rPr>
          <w:rFonts w:ascii="Arial" w:hAnsi="Arial" w:cs="Arial"/>
          <w:sz w:val="22"/>
        </w:rPr>
        <w:t xml:space="preserve"> tímto dodatkem neupravená, zůstávají v platnosti.</w:t>
      </w:r>
    </w:p>
    <w:p w14:paraId="584DE1B9" w14:textId="77777777" w:rsidR="00FB2FAF" w:rsidRPr="00341B84" w:rsidRDefault="00FB2FAF" w:rsidP="007F3828">
      <w:pPr>
        <w:pStyle w:val="Zkladntext"/>
        <w:numPr>
          <w:ilvl w:val="0"/>
          <w:numId w:val="3"/>
        </w:numPr>
        <w:spacing w:after="120"/>
        <w:rPr>
          <w:sz w:val="22"/>
          <w:szCs w:val="22"/>
        </w:rPr>
      </w:pPr>
      <w:r w:rsidRPr="00341B84">
        <w:rPr>
          <w:sz w:val="22"/>
          <w:szCs w:val="22"/>
        </w:rPr>
        <w:lastRenderedPageBreak/>
        <w:t>Smluvní strany prohlašují, že obě smluvní strany měly rovnocennou příležitost obsah tohoto dodatku ovlivnit, žádná z nich se nepovažuje za slabší smluvní stranu, potvrzují, že se seznámily se všemi ustanoveními tohoto dodatku včetně její přílohy, že všechna tato ustanovení byla dobře čitelná a srozumitelná, a že si strany před uzavřením tohoto dodatku dostatečně poskytly potřebná vysvětlení. Smluvní strany prohlašují, že nepovažují žádné ustanovení tohoto dodatku za pro ně zvláště nevýhodné, hrubě odporující obchodním zvyklostem nebo zásadě poctivého obchodního styku.</w:t>
      </w:r>
    </w:p>
    <w:p w14:paraId="3ED96D0B" w14:textId="4DD52E90" w:rsidR="00DF4A63" w:rsidRPr="00341B84" w:rsidRDefault="00FB2FAF" w:rsidP="005C6A7B">
      <w:pPr>
        <w:pStyle w:val="Zkladntext"/>
        <w:numPr>
          <w:ilvl w:val="0"/>
          <w:numId w:val="3"/>
        </w:numPr>
        <w:spacing w:after="120"/>
        <w:rPr>
          <w:sz w:val="22"/>
          <w:szCs w:val="22"/>
        </w:rPr>
      </w:pPr>
      <w:r w:rsidRPr="00341B84">
        <w:rPr>
          <w:sz w:val="22"/>
          <w:szCs w:val="22"/>
        </w:rPr>
        <w:t>Nedílnou součást tohoto dodatku</w:t>
      </w:r>
      <w:r w:rsidR="00394982" w:rsidRPr="00341B84">
        <w:rPr>
          <w:sz w:val="22"/>
          <w:szCs w:val="22"/>
        </w:rPr>
        <w:t xml:space="preserve"> </w:t>
      </w:r>
      <w:proofErr w:type="gramStart"/>
      <w:r w:rsidR="00394982" w:rsidRPr="00341B84">
        <w:rPr>
          <w:sz w:val="22"/>
          <w:szCs w:val="22"/>
        </w:rPr>
        <w:t>tvoří</w:t>
      </w:r>
      <w:proofErr w:type="gramEnd"/>
      <w:r w:rsidR="00394982" w:rsidRPr="00341B84">
        <w:rPr>
          <w:sz w:val="22"/>
          <w:szCs w:val="22"/>
        </w:rPr>
        <w:t xml:space="preserve"> Příloha č. 1 „Projekt Intenzifikace zpětného odběru elektrozařízení a odděleného sběru elektroodpad</w:t>
      </w:r>
      <w:r w:rsidR="003F0D00" w:rsidRPr="00341B84">
        <w:rPr>
          <w:sz w:val="22"/>
          <w:szCs w:val="22"/>
        </w:rPr>
        <w:t>u ve Zlínském kraji pro rok 20</w:t>
      </w:r>
      <w:r w:rsidR="008C47A9" w:rsidRPr="00341B84">
        <w:rPr>
          <w:sz w:val="22"/>
          <w:szCs w:val="22"/>
        </w:rPr>
        <w:t>23</w:t>
      </w:r>
      <w:r w:rsidR="00394982" w:rsidRPr="00341B84">
        <w:rPr>
          <w:sz w:val="22"/>
          <w:szCs w:val="22"/>
        </w:rPr>
        <w:t>“</w:t>
      </w:r>
      <w:r w:rsidRPr="00341B84">
        <w:rPr>
          <w:sz w:val="22"/>
          <w:szCs w:val="22"/>
        </w:rPr>
        <w:t>.</w:t>
      </w:r>
      <w:r w:rsidR="00394982" w:rsidRPr="00341B84">
        <w:rPr>
          <w:sz w:val="22"/>
          <w:szCs w:val="22"/>
        </w:rPr>
        <w:t xml:space="preserve"> </w:t>
      </w:r>
      <w:r w:rsidR="006936FA" w:rsidRPr="00341B84">
        <w:rPr>
          <w:sz w:val="22"/>
          <w:szCs w:val="22"/>
        </w:rPr>
        <w:t xml:space="preserve">Realizace konkrétních aktivit uvedených v této příloze bude vždy projednána </w:t>
      </w:r>
      <w:r w:rsidR="00127865" w:rsidRPr="00341B84">
        <w:rPr>
          <w:sz w:val="22"/>
          <w:szCs w:val="22"/>
        </w:rPr>
        <w:br/>
      </w:r>
      <w:r w:rsidR="006936FA" w:rsidRPr="00341B84">
        <w:rPr>
          <w:sz w:val="22"/>
          <w:szCs w:val="22"/>
        </w:rPr>
        <w:t xml:space="preserve">a odsouhlasena </w:t>
      </w:r>
      <w:r w:rsidR="00CD44BB" w:rsidRPr="00341B84">
        <w:rPr>
          <w:sz w:val="22"/>
          <w:szCs w:val="22"/>
        </w:rPr>
        <w:t xml:space="preserve">oběma </w:t>
      </w:r>
      <w:r w:rsidR="00052944" w:rsidRPr="00341B84">
        <w:rPr>
          <w:sz w:val="22"/>
          <w:szCs w:val="22"/>
        </w:rPr>
        <w:t>stranami,</w:t>
      </w:r>
      <w:r w:rsidR="00CD44BB" w:rsidRPr="00341B84">
        <w:rPr>
          <w:sz w:val="22"/>
          <w:szCs w:val="22"/>
        </w:rPr>
        <w:t xml:space="preserve"> a to v rozsahu </w:t>
      </w:r>
      <w:r w:rsidR="0088725D" w:rsidRPr="00341B84">
        <w:rPr>
          <w:sz w:val="22"/>
          <w:szCs w:val="22"/>
        </w:rPr>
        <w:t>č</w:t>
      </w:r>
      <w:r w:rsidR="002E5D42" w:rsidRPr="00341B84">
        <w:rPr>
          <w:sz w:val="22"/>
          <w:szCs w:val="22"/>
        </w:rPr>
        <w:t>l</w:t>
      </w:r>
      <w:r w:rsidR="00CD44BB" w:rsidRPr="00341B84">
        <w:rPr>
          <w:sz w:val="22"/>
          <w:szCs w:val="22"/>
        </w:rPr>
        <w:t xml:space="preserve">. </w:t>
      </w:r>
      <w:r w:rsidR="009C560A" w:rsidRPr="00341B84">
        <w:rPr>
          <w:sz w:val="22"/>
          <w:szCs w:val="22"/>
        </w:rPr>
        <w:t>III Smlouvy</w:t>
      </w:r>
      <w:r w:rsidR="005C6A7B" w:rsidRPr="00341B84">
        <w:rPr>
          <w:sz w:val="22"/>
          <w:szCs w:val="22"/>
        </w:rPr>
        <w:t xml:space="preserve"> o partnerství a vzájemné spolupráci na projektu „Intenzifikace zpětného odběru odpadních elektrozařízení ve Zlínském kraji“.</w:t>
      </w:r>
    </w:p>
    <w:p w14:paraId="36391BFC" w14:textId="44BD6594" w:rsidR="0077279F" w:rsidRPr="00341B84" w:rsidRDefault="0077279F" w:rsidP="007F3828">
      <w:pPr>
        <w:numPr>
          <w:ilvl w:val="0"/>
          <w:numId w:val="3"/>
        </w:numPr>
        <w:jc w:val="both"/>
        <w:rPr>
          <w:rFonts w:ascii="Arial" w:hAnsi="Arial" w:cs="Arial"/>
          <w:sz w:val="22"/>
          <w:szCs w:val="22"/>
        </w:rPr>
      </w:pPr>
      <w:r w:rsidRPr="00341B84">
        <w:rPr>
          <w:rFonts w:ascii="Arial" w:hAnsi="Arial" w:cs="Arial"/>
          <w:sz w:val="22"/>
          <w:szCs w:val="22"/>
        </w:rPr>
        <w:t>ELEKTROWIN a.s. bere na vědomí, že smlouvy s hodnotou předmětu převyšujíc</w:t>
      </w:r>
      <w:r w:rsidR="005C6A7B" w:rsidRPr="00341B84">
        <w:rPr>
          <w:rFonts w:ascii="Arial" w:hAnsi="Arial" w:cs="Arial"/>
          <w:sz w:val="22"/>
          <w:szCs w:val="22"/>
        </w:rPr>
        <w:t>í 50.000 Kč bez DPH včetně dodatků</w:t>
      </w:r>
      <w:r w:rsidRPr="00341B84">
        <w:rPr>
          <w:rFonts w:ascii="Arial" w:hAnsi="Arial" w:cs="Arial"/>
          <w:sz w:val="22"/>
          <w:szCs w:val="22"/>
        </w:rPr>
        <w:t xml:space="preserve">, na </w:t>
      </w:r>
      <w:r w:rsidR="000F66B9" w:rsidRPr="00341B84">
        <w:rPr>
          <w:rFonts w:ascii="Arial" w:hAnsi="Arial" w:cs="Arial"/>
          <w:sz w:val="22"/>
          <w:szCs w:val="22"/>
        </w:rPr>
        <w:t>základě,</w:t>
      </w:r>
      <w:r w:rsidRPr="00341B84">
        <w:rPr>
          <w:rFonts w:ascii="Arial" w:hAnsi="Arial" w:cs="Arial"/>
          <w:sz w:val="22"/>
          <w:szCs w:val="22"/>
        </w:rPr>
        <w:t xml:space="preserve"> kterých se tyto smlouvy mění, nahrazují nebo </w:t>
      </w:r>
      <w:proofErr w:type="gramStart"/>
      <w:r w:rsidRPr="00341B84">
        <w:rPr>
          <w:rFonts w:ascii="Arial" w:hAnsi="Arial" w:cs="Arial"/>
          <w:sz w:val="22"/>
          <w:szCs w:val="22"/>
        </w:rPr>
        <w:t>ruší</w:t>
      </w:r>
      <w:proofErr w:type="gramEnd"/>
      <w:r w:rsidRPr="00341B84">
        <w:rPr>
          <w:rFonts w:ascii="Arial" w:hAnsi="Arial" w:cs="Arial"/>
          <w:sz w:val="22"/>
          <w:szCs w:val="22"/>
        </w:rPr>
        <w:t>, zveřejní Zlínský kraj v registru smluv zřízeném jako informační systém veřejné správy na základě zákona č. 340/2015 Sb., o registru smluv. ELEKTROWIN a.s. výslovně souhlasí s tím, aby tento dodatek byl v plném rozsahu v registru smluv Zlínským krajem zveřejněn. ELEKTROWIN a.s. prohlašuje, že skutečnosti uvedené v tomto dodatku nepovažuje za obchodní tajemství a uděluje svolení k jejich užití a zveřejnění bez stanovení jakýchkoliv dalších podmínek.</w:t>
      </w:r>
    </w:p>
    <w:p w14:paraId="47F355FB" w14:textId="77777777" w:rsidR="0077279F" w:rsidRPr="00341B84" w:rsidRDefault="0077279F" w:rsidP="0077279F">
      <w:pPr>
        <w:ind w:left="360"/>
        <w:jc w:val="both"/>
        <w:rPr>
          <w:rFonts w:ascii="Arial" w:hAnsi="Arial" w:cs="Arial"/>
          <w:sz w:val="22"/>
          <w:szCs w:val="22"/>
        </w:rPr>
      </w:pPr>
    </w:p>
    <w:p w14:paraId="5D366A4E" w14:textId="77777777" w:rsidR="00FB2FAF" w:rsidRPr="00341B84" w:rsidRDefault="00FB2FAF" w:rsidP="007F3828">
      <w:pPr>
        <w:pStyle w:val="Zkladntext"/>
        <w:numPr>
          <w:ilvl w:val="0"/>
          <w:numId w:val="3"/>
        </w:numPr>
        <w:spacing w:after="120"/>
        <w:rPr>
          <w:sz w:val="22"/>
          <w:szCs w:val="22"/>
        </w:rPr>
      </w:pPr>
      <w:r w:rsidRPr="00341B84">
        <w:rPr>
          <w:sz w:val="22"/>
          <w:szCs w:val="22"/>
        </w:rPr>
        <w:t>Fyzick</w:t>
      </w:r>
      <w:r w:rsidR="0077279F" w:rsidRPr="00341B84">
        <w:rPr>
          <w:sz w:val="22"/>
          <w:szCs w:val="22"/>
        </w:rPr>
        <w:t>é osoby, které při uzavření tohoto dodatku</w:t>
      </w:r>
      <w:r w:rsidRPr="00341B84">
        <w:rPr>
          <w:sz w:val="22"/>
          <w:szCs w:val="22"/>
        </w:rPr>
        <w:t xml:space="preserve"> zastupují jednotlivé smluvní strany, prohlašují, že jsou plně oprávněny k platnému uzavření takovéto dohody za příslušnou smluvní stranu. </w:t>
      </w:r>
    </w:p>
    <w:p w14:paraId="0B99104D" w14:textId="77777777" w:rsidR="00FB2FAF" w:rsidRPr="00341B84" w:rsidRDefault="00FB2FAF" w:rsidP="007F3828">
      <w:pPr>
        <w:pStyle w:val="Zkladntext"/>
        <w:numPr>
          <w:ilvl w:val="0"/>
          <w:numId w:val="3"/>
        </w:numPr>
        <w:spacing w:before="120" w:after="120"/>
        <w:rPr>
          <w:sz w:val="22"/>
          <w:szCs w:val="22"/>
        </w:rPr>
      </w:pPr>
      <w:r w:rsidRPr="00341B84">
        <w:rPr>
          <w:sz w:val="22"/>
          <w:szCs w:val="22"/>
        </w:rPr>
        <w:t>Smluvní strany si do</w:t>
      </w:r>
      <w:r w:rsidR="0077279F" w:rsidRPr="00341B84">
        <w:rPr>
          <w:sz w:val="22"/>
          <w:szCs w:val="22"/>
        </w:rPr>
        <w:t>datek</w:t>
      </w:r>
      <w:r w:rsidRPr="00341B84">
        <w:rPr>
          <w:sz w:val="22"/>
          <w:szCs w:val="22"/>
        </w:rPr>
        <w:t xml:space="preserve"> </w:t>
      </w:r>
      <w:r w:rsidR="0077279F" w:rsidRPr="00341B84">
        <w:rPr>
          <w:sz w:val="22"/>
          <w:szCs w:val="22"/>
        </w:rPr>
        <w:t>přečetly, souhlasí s celým jeho</w:t>
      </w:r>
      <w:r w:rsidRPr="00341B84">
        <w:rPr>
          <w:sz w:val="22"/>
          <w:szCs w:val="22"/>
        </w:rPr>
        <w:t xml:space="preserve"> obsahem a na důkaz toho jejich zástupci připojují své podpisy.</w:t>
      </w:r>
    </w:p>
    <w:p w14:paraId="0A1304E9" w14:textId="77777777" w:rsidR="00FB2FAF" w:rsidRPr="00341B84" w:rsidRDefault="00FB2FAF" w:rsidP="007F3828">
      <w:pPr>
        <w:numPr>
          <w:ilvl w:val="0"/>
          <w:numId w:val="3"/>
        </w:numPr>
        <w:spacing w:before="120" w:after="120"/>
        <w:jc w:val="both"/>
        <w:rPr>
          <w:rFonts w:ascii="Arial" w:hAnsi="Arial" w:cs="Arial"/>
          <w:sz w:val="22"/>
        </w:rPr>
      </w:pPr>
      <w:r w:rsidRPr="00341B84">
        <w:rPr>
          <w:rFonts w:ascii="Arial" w:hAnsi="Arial" w:cs="Arial"/>
          <w:sz w:val="22"/>
        </w:rPr>
        <w:t>Tento dodatek nabývá platnosti a účinnosti dnem podpisu oběma smluvními stranami.</w:t>
      </w:r>
    </w:p>
    <w:p w14:paraId="16B01532" w14:textId="25380ECD" w:rsidR="00FB2FAF" w:rsidRPr="00341B84" w:rsidRDefault="00FB2FAF" w:rsidP="007F3828">
      <w:pPr>
        <w:numPr>
          <w:ilvl w:val="0"/>
          <w:numId w:val="3"/>
        </w:numPr>
        <w:spacing w:before="120" w:after="120"/>
        <w:jc w:val="both"/>
        <w:rPr>
          <w:rFonts w:ascii="Arial" w:hAnsi="Arial" w:cs="Arial"/>
          <w:sz w:val="22"/>
        </w:rPr>
      </w:pPr>
      <w:r w:rsidRPr="00341B84">
        <w:rPr>
          <w:rFonts w:ascii="Arial" w:hAnsi="Arial" w:cs="Arial"/>
          <w:sz w:val="22"/>
        </w:rPr>
        <w:t xml:space="preserve">Tento dodatek se vyhotovuje </w:t>
      </w:r>
      <w:r w:rsidR="000F66B9">
        <w:rPr>
          <w:rFonts w:ascii="Arial" w:hAnsi="Arial" w:cs="Arial"/>
          <w:sz w:val="22"/>
        </w:rPr>
        <w:t>v elektronické podobě</w:t>
      </w:r>
      <w:r w:rsidRPr="00341B84">
        <w:rPr>
          <w:rFonts w:ascii="Arial" w:hAnsi="Arial" w:cs="Arial"/>
          <w:sz w:val="22"/>
        </w:rPr>
        <w:t>.</w:t>
      </w:r>
    </w:p>
    <w:p w14:paraId="7C29DBA1" w14:textId="77777777" w:rsidR="00AC270D" w:rsidRPr="00341B84" w:rsidRDefault="00AC270D" w:rsidP="00224CE7">
      <w:pPr>
        <w:pStyle w:val="WW-Zkladntext3"/>
        <w:tabs>
          <w:tab w:val="left" w:pos="5160"/>
        </w:tabs>
        <w:suppressAutoHyphens w:val="0"/>
        <w:rPr>
          <w:rFonts w:ascii="Arial" w:hAnsi="Arial" w:cs="Arial"/>
          <w:szCs w:val="22"/>
          <w:lang w:eastAsia="cs-CZ"/>
        </w:rPr>
      </w:pPr>
    </w:p>
    <w:p w14:paraId="6CDB9FBA" w14:textId="77777777" w:rsidR="00483F3D" w:rsidRPr="00341B84" w:rsidRDefault="00483F3D" w:rsidP="00483F3D">
      <w:pPr>
        <w:pStyle w:val="WW-Zkladntext3"/>
        <w:tabs>
          <w:tab w:val="left" w:pos="5160"/>
        </w:tabs>
        <w:rPr>
          <w:rFonts w:ascii="Arial" w:hAnsi="Arial" w:cs="Arial"/>
          <w:szCs w:val="22"/>
          <w:lang w:eastAsia="cs-CZ"/>
        </w:rPr>
      </w:pPr>
    </w:p>
    <w:p w14:paraId="408BA6AB" w14:textId="77777777" w:rsidR="00FE44CA" w:rsidRPr="00341B84" w:rsidRDefault="00FE44CA" w:rsidP="00FE44CA">
      <w:pPr>
        <w:widowControl w:val="0"/>
        <w:pBdr>
          <w:top w:val="single" w:sz="6" w:space="1" w:color="auto"/>
          <w:left w:val="single" w:sz="6" w:space="1" w:color="auto"/>
          <w:bottom w:val="single" w:sz="6" w:space="1" w:color="auto"/>
          <w:right w:val="single" w:sz="6" w:space="1" w:color="auto"/>
        </w:pBdr>
        <w:jc w:val="both"/>
        <w:rPr>
          <w:rFonts w:ascii="Arial" w:hAnsi="Arial" w:cs="Arial"/>
          <w:b/>
          <w:sz w:val="22"/>
          <w:szCs w:val="22"/>
        </w:rPr>
      </w:pPr>
      <w:r w:rsidRPr="00341B84">
        <w:rPr>
          <w:rFonts w:ascii="Arial" w:hAnsi="Arial" w:cs="Arial"/>
          <w:szCs w:val="22"/>
        </w:rPr>
        <w:t xml:space="preserve"> </w:t>
      </w:r>
      <w:r w:rsidRPr="00341B84">
        <w:rPr>
          <w:rFonts w:ascii="Arial" w:hAnsi="Arial" w:cs="Arial"/>
          <w:b/>
          <w:sz w:val="22"/>
          <w:szCs w:val="22"/>
        </w:rPr>
        <w:t>Doložka dle § 23 zákona č. 129/2000 Sb., o krajích, ve znění pozdějších předpisů</w:t>
      </w:r>
    </w:p>
    <w:p w14:paraId="4885D0F4" w14:textId="77777777" w:rsidR="00FE44CA" w:rsidRPr="00341B84" w:rsidRDefault="00FE44CA" w:rsidP="00FE44CA">
      <w:pPr>
        <w:widowControl w:val="0"/>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341B84">
        <w:rPr>
          <w:rFonts w:ascii="Arial" w:hAnsi="Arial" w:cs="Arial"/>
          <w:sz w:val="22"/>
          <w:szCs w:val="22"/>
        </w:rPr>
        <w:t>Schváleno orgánem kraje:</w:t>
      </w:r>
      <w:r w:rsidRPr="00341B84">
        <w:rPr>
          <w:rFonts w:ascii="Arial" w:hAnsi="Arial" w:cs="Arial"/>
          <w:sz w:val="22"/>
          <w:szCs w:val="22"/>
        </w:rPr>
        <w:tab/>
        <w:t>Rada Zlínského kraje</w:t>
      </w:r>
    </w:p>
    <w:p w14:paraId="50ADEA85" w14:textId="6C0CCA4E" w:rsidR="00FE44CA" w:rsidRPr="00341B84" w:rsidRDefault="00FE44CA" w:rsidP="00FE44CA">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rPr>
          <w:rFonts w:ascii="Arial" w:hAnsi="Arial" w:cs="Arial"/>
          <w:sz w:val="22"/>
          <w:szCs w:val="22"/>
        </w:rPr>
      </w:pPr>
      <w:r w:rsidRPr="00341B84">
        <w:rPr>
          <w:rFonts w:ascii="Arial" w:hAnsi="Arial" w:cs="Arial"/>
          <w:sz w:val="22"/>
          <w:szCs w:val="22"/>
        </w:rPr>
        <w:t xml:space="preserve">Datum a číslo </w:t>
      </w:r>
      <w:r w:rsidR="00052944" w:rsidRPr="00341B84">
        <w:rPr>
          <w:rFonts w:ascii="Arial" w:hAnsi="Arial" w:cs="Arial"/>
          <w:sz w:val="22"/>
          <w:szCs w:val="22"/>
        </w:rPr>
        <w:t>usnesení:</w:t>
      </w:r>
      <w:r w:rsidR="00052944">
        <w:rPr>
          <w:rFonts w:ascii="Arial" w:hAnsi="Arial" w:cs="Arial"/>
          <w:sz w:val="22"/>
          <w:szCs w:val="22"/>
        </w:rPr>
        <w:t xml:space="preserve"> </w:t>
      </w:r>
      <w:r w:rsidR="00CC2AB4" w:rsidRPr="00341B84">
        <w:rPr>
          <w:rFonts w:ascii="Arial" w:hAnsi="Arial" w:cs="Arial"/>
          <w:sz w:val="22"/>
          <w:szCs w:val="22"/>
        </w:rPr>
        <w:t>RZK č.</w:t>
      </w:r>
      <w:r w:rsidR="00052944">
        <w:rPr>
          <w:rFonts w:ascii="Arial" w:hAnsi="Arial" w:cs="Arial"/>
          <w:sz w:val="22"/>
          <w:szCs w:val="22"/>
        </w:rPr>
        <w:t xml:space="preserve"> 0386/R10/24</w:t>
      </w:r>
      <w:r w:rsidR="00052944" w:rsidRPr="00341B84">
        <w:rPr>
          <w:rFonts w:ascii="Arial" w:hAnsi="Arial" w:cs="Arial"/>
          <w:sz w:val="22"/>
          <w:szCs w:val="22"/>
        </w:rPr>
        <w:t xml:space="preserve"> ze</w:t>
      </w:r>
      <w:r w:rsidR="00CC2AB4" w:rsidRPr="00341B84">
        <w:rPr>
          <w:rFonts w:ascii="Arial" w:hAnsi="Arial" w:cs="Arial"/>
          <w:sz w:val="22"/>
          <w:szCs w:val="22"/>
        </w:rPr>
        <w:t xml:space="preserve"> </w:t>
      </w:r>
      <w:r w:rsidR="00052944" w:rsidRPr="00341B84">
        <w:rPr>
          <w:rFonts w:ascii="Arial" w:hAnsi="Arial" w:cs="Arial"/>
          <w:sz w:val="22"/>
          <w:szCs w:val="22"/>
        </w:rPr>
        <w:t>dne 15.4.2024</w:t>
      </w:r>
    </w:p>
    <w:p w14:paraId="3B0ACDE7" w14:textId="77777777" w:rsidR="00483F3D" w:rsidRPr="00341B84" w:rsidRDefault="00483F3D" w:rsidP="00483F3D">
      <w:pPr>
        <w:pStyle w:val="WW-Zkladntext3"/>
        <w:tabs>
          <w:tab w:val="left" w:pos="5160"/>
        </w:tabs>
        <w:rPr>
          <w:rFonts w:ascii="Arial" w:hAnsi="Arial" w:cs="Arial"/>
          <w:szCs w:val="22"/>
          <w:lang w:eastAsia="cs-CZ"/>
        </w:rPr>
      </w:pPr>
    </w:p>
    <w:p w14:paraId="2889EBBD" w14:textId="73B898B8" w:rsidR="00040631" w:rsidRPr="00341B84" w:rsidRDefault="00040631" w:rsidP="00483F3D">
      <w:pPr>
        <w:pStyle w:val="WW-Zkladntext3"/>
        <w:tabs>
          <w:tab w:val="left" w:pos="5160"/>
        </w:tabs>
        <w:rPr>
          <w:rFonts w:ascii="Arial" w:hAnsi="Arial" w:cs="Arial"/>
          <w:szCs w:val="22"/>
          <w:lang w:eastAsia="cs-CZ"/>
        </w:rPr>
      </w:pPr>
      <w:r w:rsidRPr="00341B84">
        <w:rPr>
          <w:rFonts w:ascii="Arial" w:hAnsi="Arial" w:cs="Arial"/>
          <w:szCs w:val="22"/>
          <w:lang w:eastAsia="cs-CZ"/>
        </w:rPr>
        <w:t>Zkontroloval:</w:t>
      </w:r>
      <w:r w:rsidR="00052944">
        <w:rPr>
          <w:rFonts w:ascii="Arial" w:hAnsi="Arial" w:cs="Arial"/>
          <w:szCs w:val="22"/>
          <w:lang w:eastAsia="cs-CZ"/>
        </w:rPr>
        <w:t xml:space="preserve"> Ing. Jana Káčerová</w:t>
      </w:r>
    </w:p>
    <w:p w14:paraId="4E257CD0" w14:textId="77777777" w:rsidR="00040631" w:rsidRPr="00341B84" w:rsidRDefault="00040631" w:rsidP="00483F3D">
      <w:pPr>
        <w:pStyle w:val="WW-Zkladntext3"/>
        <w:tabs>
          <w:tab w:val="left" w:pos="5160"/>
        </w:tabs>
        <w:rPr>
          <w:rFonts w:ascii="Arial" w:hAnsi="Arial" w:cs="Arial"/>
          <w:szCs w:val="22"/>
          <w:lang w:eastAsia="cs-CZ"/>
        </w:rPr>
      </w:pPr>
    </w:p>
    <w:p w14:paraId="0F321886" w14:textId="77777777" w:rsidR="00040631" w:rsidRDefault="00040631" w:rsidP="00483F3D">
      <w:pPr>
        <w:pStyle w:val="WW-Zkladntext3"/>
        <w:tabs>
          <w:tab w:val="left" w:pos="5160"/>
        </w:tabs>
        <w:rPr>
          <w:rFonts w:ascii="Arial" w:hAnsi="Arial" w:cs="Arial"/>
          <w:szCs w:val="22"/>
          <w:lang w:eastAsia="cs-CZ"/>
        </w:rPr>
      </w:pPr>
    </w:p>
    <w:p w14:paraId="0C507874" w14:textId="77777777" w:rsidR="00052944" w:rsidRDefault="00052944" w:rsidP="00483F3D">
      <w:pPr>
        <w:pStyle w:val="WW-Zkladntext3"/>
        <w:tabs>
          <w:tab w:val="left" w:pos="5160"/>
        </w:tabs>
        <w:rPr>
          <w:rFonts w:ascii="Arial" w:hAnsi="Arial" w:cs="Arial"/>
          <w:szCs w:val="22"/>
          <w:lang w:eastAsia="cs-CZ"/>
        </w:rPr>
      </w:pPr>
    </w:p>
    <w:p w14:paraId="0607EE51" w14:textId="77777777" w:rsidR="00052944" w:rsidRPr="00341B84" w:rsidRDefault="00052944" w:rsidP="00483F3D">
      <w:pPr>
        <w:pStyle w:val="WW-Zkladntext3"/>
        <w:tabs>
          <w:tab w:val="left" w:pos="5160"/>
        </w:tabs>
        <w:rPr>
          <w:rFonts w:ascii="Arial" w:hAnsi="Arial" w:cs="Arial"/>
          <w:szCs w:val="22"/>
          <w:lang w:eastAsia="cs-CZ"/>
        </w:rPr>
      </w:pPr>
    </w:p>
    <w:p w14:paraId="25F78D5C" w14:textId="3B3B5C21" w:rsidR="00224CE7" w:rsidRPr="00341B84" w:rsidRDefault="00224CE7" w:rsidP="00224CE7">
      <w:pPr>
        <w:pStyle w:val="WW-Zkladntext3"/>
        <w:tabs>
          <w:tab w:val="left" w:pos="5160"/>
        </w:tabs>
        <w:suppressAutoHyphens w:val="0"/>
        <w:rPr>
          <w:rFonts w:ascii="Arial" w:hAnsi="Arial" w:cs="Arial"/>
          <w:szCs w:val="22"/>
          <w:lang w:eastAsia="cs-CZ"/>
        </w:rPr>
      </w:pPr>
      <w:r w:rsidRPr="00341B84">
        <w:rPr>
          <w:rFonts w:ascii="Arial" w:hAnsi="Arial" w:cs="Arial"/>
          <w:szCs w:val="22"/>
          <w:lang w:eastAsia="cs-CZ"/>
        </w:rPr>
        <w:t>V</w:t>
      </w:r>
      <w:r w:rsidR="00FB2FAF" w:rsidRPr="00341B84">
        <w:rPr>
          <w:rFonts w:ascii="Arial" w:hAnsi="Arial" w:cs="Arial"/>
          <w:szCs w:val="22"/>
          <w:lang w:eastAsia="cs-CZ"/>
        </w:rPr>
        <w:t>e Zlíně</w:t>
      </w:r>
      <w:r w:rsidR="00C818E0" w:rsidRPr="00341B84">
        <w:rPr>
          <w:rFonts w:ascii="Arial" w:hAnsi="Arial" w:cs="Arial"/>
          <w:szCs w:val="22"/>
          <w:lang w:eastAsia="cs-CZ"/>
        </w:rPr>
        <w:t xml:space="preserve"> </w:t>
      </w:r>
      <w:r w:rsidRPr="00341B84">
        <w:rPr>
          <w:rFonts w:ascii="Arial" w:hAnsi="Arial" w:cs="Arial"/>
          <w:szCs w:val="22"/>
          <w:lang w:eastAsia="cs-CZ"/>
        </w:rPr>
        <w:t>dne:</w:t>
      </w:r>
      <w:r w:rsidR="00717BF0" w:rsidRPr="00341B84">
        <w:rPr>
          <w:rFonts w:ascii="Arial" w:hAnsi="Arial" w:cs="Arial"/>
          <w:szCs w:val="22"/>
          <w:lang w:eastAsia="cs-CZ"/>
        </w:rPr>
        <w:t xml:space="preserve"> </w:t>
      </w:r>
      <w:r w:rsidR="0015749A">
        <w:rPr>
          <w:rFonts w:ascii="Arial" w:hAnsi="Arial" w:cs="Arial"/>
          <w:szCs w:val="22"/>
          <w:lang w:eastAsia="cs-CZ"/>
        </w:rPr>
        <w:t>9.9.2024</w:t>
      </w:r>
      <w:r w:rsidR="00FB2FAF" w:rsidRPr="00341B84">
        <w:rPr>
          <w:rFonts w:ascii="Arial" w:hAnsi="Arial" w:cs="Arial"/>
          <w:szCs w:val="22"/>
          <w:lang w:eastAsia="cs-CZ"/>
        </w:rPr>
        <w:tab/>
      </w:r>
      <w:r w:rsidR="00052944">
        <w:rPr>
          <w:rFonts w:ascii="Arial" w:hAnsi="Arial" w:cs="Arial"/>
          <w:szCs w:val="22"/>
          <w:lang w:eastAsia="cs-CZ"/>
        </w:rPr>
        <w:t xml:space="preserve">      </w:t>
      </w:r>
      <w:r w:rsidRPr="00341B84">
        <w:rPr>
          <w:rFonts w:ascii="Arial" w:hAnsi="Arial" w:cs="Arial"/>
          <w:szCs w:val="22"/>
          <w:lang w:eastAsia="cs-CZ"/>
        </w:rPr>
        <w:t>V Praze dne:</w:t>
      </w:r>
      <w:r w:rsidR="003F0D00" w:rsidRPr="00341B84">
        <w:rPr>
          <w:rFonts w:ascii="Arial" w:hAnsi="Arial" w:cs="Arial"/>
          <w:szCs w:val="22"/>
          <w:lang w:eastAsia="cs-CZ"/>
        </w:rPr>
        <w:t xml:space="preserve">  </w:t>
      </w:r>
      <w:r w:rsidR="0015749A">
        <w:rPr>
          <w:rFonts w:ascii="Arial" w:hAnsi="Arial" w:cs="Arial"/>
          <w:szCs w:val="22"/>
          <w:lang w:eastAsia="cs-CZ"/>
        </w:rPr>
        <w:t>16.5.2024</w:t>
      </w:r>
    </w:p>
    <w:p w14:paraId="24F6CDE0" w14:textId="77777777" w:rsidR="00686E1C" w:rsidRPr="00341B84" w:rsidRDefault="00686E1C" w:rsidP="00686E1C">
      <w:pPr>
        <w:rPr>
          <w:rFonts w:ascii="Arial" w:hAnsi="Arial" w:cs="Arial"/>
          <w:sz w:val="22"/>
          <w:szCs w:val="22"/>
        </w:rPr>
      </w:pPr>
    </w:p>
    <w:p w14:paraId="2B44E0D8" w14:textId="77777777" w:rsidR="00686E1C" w:rsidRPr="00341B84" w:rsidRDefault="00686E1C" w:rsidP="00686E1C">
      <w:pPr>
        <w:rPr>
          <w:rFonts w:ascii="Arial" w:hAnsi="Arial" w:cs="Arial"/>
          <w:sz w:val="22"/>
          <w:szCs w:val="22"/>
        </w:rPr>
      </w:pPr>
    </w:p>
    <w:p w14:paraId="2110B9FB" w14:textId="77777777" w:rsidR="00737908" w:rsidRDefault="00737908" w:rsidP="00686E1C">
      <w:pPr>
        <w:rPr>
          <w:rFonts w:ascii="Arial" w:hAnsi="Arial" w:cs="Arial"/>
          <w:sz w:val="22"/>
          <w:szCs w:val="22"/>
        </w:rPr>
      </w:pPr>
    </w:p>
    <w:p w14:paraId="243A6BFE" w14:textId="77777777" w:rsidR="00A652D8" w:rsidRDefault="00A652D8" w:rsidP="00686E1C">
      <w:pPr>
        <w:rPr>
          <w:rFonts w:ascii="Arial" w:hAnsi="Arial" w:cs="Arial"/>
          <w:sz w:val="22"/>
          <w:szCs w:val="22"/>
        </w:rPr>
      </w:pPr>
    </w:p>
    <w:p w14:paraId="6E71F106" w14:textId="77777777" w:rsidR="00A652D8" w:rsidRPr="00341B84" w:rsidRDefault="00A652D8" w:rsidP="00686E1C">
      <w:pPr>
        <w:rPr>
          <w:rFonts w:ascii="Arial" w:hAnsi="Arial" w:cs="Arial"/>
          <w:sz w:val="22"/>
          <w:szCs w:val="22"/>
        </w:rPr>
      </w:pPr>
    </w:p>
    <w:p w14:paraId="5E23DD22" w14:textId="64A5124C" w:rsidR="00AC270D" w:rsidRPr="00341B84" w:rsidRDefault="0015749A" w:rsidP="00686E1C">
      <w:pPr>
        <w:rPr>
          <w:rFonts w:ascii="Arial" w:hAnsi="Arial" w:cs="Arial"/>
          <w:sz w:val="22"/>
          <w:szCs w:val="22"/>
        </w:rPr>
      </w:pPr>
      <w:r>
        <w:rPr>
          <w:rFonts w:ascii="Arial" w:hAnsi="Arial" w:cs="Arial"/>
          <w:sz w:val="22"/>
          <w:szCs w:val="22"/>
        </w:rPr>
        <w:t>XXXXXXXXXXXXXXXXX</w:t>
      </w:r>
      <w:r w:rsidR="00717BF0" w:rsidRPr="00341B84">
        <w:rPr>
          <w:rFonts w:ascii="Arial" w:hAnsi="Arial" w:cs="Arial"/>
          <w:sz w:val="22"/>
          <w:szCs w:val="22"/>
        </w:rPr>
        <w:tab/>
      </w:r>
      <w:r w:rsidR="00717BF0" w:rsidRPr="00341B84">
        <w:rPr>
          <w:rFonts w:ascii="Arial" w:hAnsi="Arial" w:cs="Arial"/>
          <w:sz w:val="22"/>
          <w:szCs w:val="22"/>
        </w:rPr>
        <w:tab/>
      </w:r>
      <w:r w:rsidR="003F0D00" w:rsidRPr="00341B84">
        <w:rPr>
          <w:rFonts w:ascii="Arial" w:hAnsi="Arial" w:cs="Arial"/>
          <w:sz w:val="22"/>
          <w:szCs w:val="22"/>
        </w:rPr>
        <w:t xml:space="preserve"> </w:t>
      </w:r>
      <w:r w:rsidR="00717BF0" w:rsidRPr="00341B84">
        <w:rPr>
          <w:rFonts w:ascii="Arial" w:hAnsi="Arial" w:cs="Arial"/>
          <w:sz w:val="22"/>
          <w:szCs w:val="22"/>
        </w:rPr>
        <w:tab/>
      </w:r>
      <w:r w:rsidR="003F0D00" w:rsidRPr="00341B84">
        <w:rPr>
          <w:rFonts w:ascii="Arial" w:hAnsi="Arial" w:cs="Arial"/>
          <w:sz w:val="22"/>
          <w:szCs w:val="22"/>
        </w:rPr>
        <w:t xml:space="preserve"> </w:t>
      </w:r>
      <w:r w:rsidR="00ED5318" w:rsidRPr="00341B84">
        <w:rPr>
          <w:rFonts w:ascii="Arial" w:hAnsi="Arial" w:cs="Arial"/>
          <w:sz w:val="22"/>
          <w:szCs w:val="22"/>
        </w:rPr>
        <w:tab/>
      </w:r>
      <w:r w:rsidR="00464104" w:rsidRPr="00341B84">
        <w:rPr>
          <w:rFonts w:ascii="Arial" w:hAnsi="Arial" w:cs="Arial"/>
          <w:sz w:val="22"/>
          <w:szCs w:val="22"/>
        </w:rPr>
        <w:t xml:space="preserve"> </w:t>
      </w:r>
      <w:r>
        <w:rPr>
          <w:rFonts w:ascii="Arial" w:hAnsi="Arial" w:cs="Arial"/>
          <w:sz w:val="22"/>
          <w:szCs w:val="22"/>
        </w:rPr>
        <w:t xml:space="preserve">               XXXXXXXXXXXXXXXXX</w:t>
      </w:r>
    </w:p>
    <w:p w14:paraId="20E73AAB" w14:textId="77777777" w:rsidR="00686E1C" w:rsidRPr="00341B84" w:rsidRDefault="00686E1C" w:rsidP="00D0165D">
      <w:pPr>
        <w:tabs>
          <w:tab w:val="left" w:pos="5580"/>
        </w:tabs>
        <w:rPr>
          <w:rFonts w:ascii="Arial" w:hAnsi="Arial" w:cs="Arial"/>
          <w:sz w:val="22"/>
          <w:szCs w:val="22"/>
        </w:rPr>
      </w:pPr>
      <w:r w:rsidRPr="00341B84">
        <w:rPr>
          <w:rFonts w:ascii="Arial" w:hAnsi="Arial" w:cs="Arial"/>
          <w:sz w:val="22"/>
          <w:szCs w:val="22"/>
        </w:rPr>
        <w:t>...........................................</w:t>
      </w:r>
      <w:r w:rsidR="00BE3917" w:rsidRPr="00341B84">
        <w:rPr>
          <w:rFonts w:ascii="Arial" w:hAnsi="Arial" w:cs="Arial"/>
          <w:sz w:val="22"/>
          <w:szCs w:val="22"/>
        </w:rPr>
        <w:tab/>
      </w:r>
      <w:r w:rsidR="00AC270D" w:rsidRPr="00341B84">
        <w:rPr>
          <w:rFonts w:ascii="Arial" w:hAnsi="Arial" w:cs="Arial"/>
          <w:sz w:val="22"/>
          <w:szCs w:val="22"/>
        </w:rPr>
        <w:t>.</w:t>
      </w:r>
      <w:r w:rsidRPr="00341B84">
        <w:rPr>
          <w:rFonts w:ascii="Arial" w:hAnsi="Arial" w:cs="Arial"/>
          <w:sz w:val="22"/>
          <w:szCs w:val="22"/>
        </w:rPr>
        <w:t>....</w:t>
      </w:r>
      <w:r w:rsidR="00464104" w:rsidRPr="00341B84">
        <w:rPr>
          <w:rFonts w:ascii="Arial" w:hAnsi="Arial" w:cs="Arial"/>
          <w:sz w:val="22"/>
          <w:szCs w:val="22"/>
        </w:rPr>
        <w:t xml:space="preserve"> </w:t>
      </w:r>
      <w:r w:rsidRPr="00341B84">
        <w:rPr>
          <w:rFonts w:ascii="Arial" w:hAnsi="Arial" w:cs="Arial"/>
          <w:sz w:val="22"/>
          <w:szCs w:val="22"/>
        </w:rPr>
        <w:t>..........................................</w:t>
      </w:r>
    </w:p>
    <w:p w14:paraId="61C27960" w14:textId="77777777" w:rsidR="008C47A9" w:rsidRPr="00341B84" w:rsidRDefault="008C47A9" w:rsidP="006E35FD">
      <w:pPr>
        <w:jc w:val="both"/>
        <w:rPr>
          <w:rFonts w:ascii="Arial" w:hAnsi="Arial" w:cs="Arial"/>
          <w:sz w:val="22"/>
          <w:szCs w:val="22"/>
        </w:rPr>
      </w:pPr>
      <w:r w:rsidRPr="00341B84">
        <w:rPr>
          <w:rFonts w:ascii="Arial" w:hAnsi="Arial" w:cs="Arial"/>
          <w:sz w:val="22"/>
          <w:szCs w:val="22"/>
        </w:rPr>
        <w:t xml:space="preserve"> </w:t>
      </w:r>
    </w:p>
    <w:p w14:paraId="7CB74E1C" w14:textId="77777777" w:rsidR="00CD44BB" w:rsidRPr="00341B84" w:rsidRDefault="00CD44BB" w:rsidP="00CD44BB">
      <w:pPr>
        <w:tabs>
          <w:tab w:val="center" w:pos="2268"/>
          <w:tab w:val="center" w:pos="6804"/>
        </w:tabs>
        <w:autoSpaceDE w:val="0"/>
        <w:autoSpaceDN w:val="0"/>
        <w:adjustRightInd w:val="0"/>
        <w:spacing w:line="276" w:lineRule="auto"/>
        <w:jc w:val="both"/>
        <w:rPr>
          <w:rFonts w:ascii="Arial" w:eastAsia="Calibri" w:hAnsi="Arial" w:cs="Arial"/>
          <w:color w:val="222222"/>
          <w:sz w:val="22"/>
          <w:szCs w:val="22"/>
          <w:shd w:val="clear" w:color="auto" w:fill="FFFFFF"/>
          <w:lang w:eastAsia="en-US"/>
        </w:rPr>
      </w:pPr>
      <w:r w:rsidRPr="00341B84">
        <w:rPr>
          <w:rFonts w:ascii="Arial" w:eastAsia="Calibri" w:hAnsi="Arial" w:cs="Arial"/>
          <w:color w:val="222222"/>
          <w:sz w:val="22"/>
          <w:szCs w:val="22"/>
          <w:shd w:val="clear" w:color="auto" w:fill="FFFFFF"/>
          <w:lang w:eastAsia="en-US"/>
        </w:rPr>
        <w:t xml:space="preserve">       Bc Hana </w:t>
      </w:r>
      <w:proofErr w:type="gramStart"/>
      <w:r w:rsidRPr="00341B84">
        <w:rPr>
          <w:rFonts w:ascii="Arial" w:eastAsia="Calibri" w:hAnsi="Arial" w:cs="Arial"/>
          <w:color w:val="222222"/>
          <w:sz w:val="22"/>
          <w:szCs w:val="22"/>
          <w:shd w:val="clear" w:color="auto" w:fill="FFFFFF"/>
          <w:lang w:eastAsia="en-US"/>
        </w:rPr>
        <w:t xml:space="preserve">Ančincová,   </w:t>
      </w:r>
      <w:proofErr w:type="gramEnd"/>
      <w:r w:rsidRPr="00341B84">
        <w:rPr>
          <w:rFonts w:ascii="Arial" w:eastAsia="Calibri" w:hAnsi="Arial" w:cs="Arial"/>
          <w:color w:val="222222"/>
          <w:sz w:val="22"/>
          <w:szCs w:val="22"/>
          <w:shd w:val="clear" w:color="auto" w:fill="FFFFFF"/>
          <w:lang w:eastAsia="en-US"/>
        </w:rPr>
        <w:t xml:space="preserve">                                                               Ing. Roman Tvrzník</w:t>
      </w:r>
    </w:p>
    <w:p w14:paraId="1F3C7A24" w14:textId="6168A02F" w:rsidR="00CD44BB" w:rsidRPr="00341B84" w:rsidRDefault="001A36E9" w:rsidP="00CD44BB">
      <w:pPr>
        <w:tabs>
          <w:tab w:val="center" w:pos="2268"/>
          <w:tab w:val="center" w:pos="6804"/>
        </w:tabs>
        <w:autoSpaceDE w:val="0"/>
        <w:autoSpaceDN w:val="0"/>
        <w:adjustRightInd w:val="0"/>
        <w:spacing w:line="276" w:lineRule="auto"/>
        <w:jc w:val="both"/>
        <w:rPr>
          <w:rFonts w:ascii="Arial" w:eastAsia="Calibri" w:hAnsi="Arial" w:cs="Arial"/>
          <w:color w:val="222222"/>
          <w:sz w:val="22"/>
          <w:szCs w:val="22"/>
          <w:shd w:val="clear" w:color="auto" w:fill="FFFFFF"/>
          <w:lang w:eastAsia="en-US"/>
        </w:rPr>
      </w:pPr>
      <w:r>
        <w:rPr>
          <w:rFonts w:ascii="Arial" w:eastAsia="Calibri" w:hAnsi="Arial" w:cs="Arial"/>
          <w:color w:val="222222"/>
          <w:sz w:val="22"/>
          <w:szCs w:val="22"/>
          <w:shd w:val="clear" w:color="auto" w:fill="FFFFFF"/>
          <w:lang w:eastAsia="en-US"/>
        </w:rPr>
        <w:t>s</w:t>
      </w:r>
      <w:r w:rsidR="00CD44BB" w:rsidRPr="00341B84">
        <w:rPr>
          <w:rFonts w:ascii="Arial" w:eastAsia="Calibri" w:hAnsi="Arial" w:cs="Arial"/>
          <w:color w:val="222222"/>
          <w:sz w:val="22"/>
          <w:szCs w:val="22"/>
          <w:shd w:val="clear" w:color="auto" w:fill="FFFFFF"/>
          <w:lang w:eastAsia="en-US"/>
        </w:rPr>
        <w:t xml:space="preserve">tatutární náměstkyně Hejtmana Zlínského kraje </w:t>
      </w:r>
      <w:r w:rsidR="00CD44BB" w:rsidRPr="00341B84">
        <w:rPr>
          <w:rFonts w:ascii="Arial" w:eastAsia="Calibri" w:hAnsi="Arial" w:cs="Arial"/>
          <w:color w:val="222222"/>
          <w:sz w:val="22"/>
          <w:szCs w:val="22"/>
          <w:shd w:val="clear" w:color="auto" w:fill="FFFFFF"/>
          <w:lang w:eastAsia="en-US"/>
        </w:rPr>
        <w:tab/>
        <w:t xml:space="preserve">               předseda představenstva </w:t>
      </w:r>
    </w:p>
    <w:p w14:paraId="546AC8E5" w14:textId="141DD9BA" w:rsidR="00280688" w:rsidRPr="001A36E9" w:rsidRDefault="00CD44BB" w:rsidP="001A36E9">
      <w:pPr>
        <w:tabs>
          <w:tab w:val="center" w:pos="2268"/>
          <w:tab w:val="center" w:pos="6804"/>
        </w:tabs>
        <w:autoSpaceDE w:val="0"/>
        <w:autoSpaceDN w:val="0"/>
        <w:adjustRightInd w:val="0"/>
        <w:spacing w:line="276" w:lineRule="auto"/>
        <w:jc w:val="both"/>
        <w:rPr>
          <w:rFonts w:ascii="Arial" w:eastAsia="Calibri" w:hAnsi="Arial" w:cs="Arial"/>
          <w:color w:val="222222"/>
          <w:sz w:val="22"/>
          <w:szCs w:val="22"/>
          <w:shd w:val="clear" w:color="auto" w:fill="FFFFFF"/>
          <w:lang w:eastAsia="en-US"/>
        </w:rPr>
      </w:pPr>
      <w:r w:rsidRPr="00341B84">
        <w:rPr>
          <w:rFonts w:ascii="Arial" w:eastAsia="Calibri" w:hAnsi="Arial" w:cs="Arial"/>
          <w:color w:val="222222"/>
          <w:sz w:val="22"/>
          <w:szCs w:val="22"/>
          <w:shd w:val="clear" w:color="auto" w:fill="FFFFFF"/>
          <w:lang w:eastAsia="en-US"/>
        </w:rPr>
        <w:tab/>
      </w:r>
      <w:r w:rsidRPr="00341B84">
        <w:rPr>
          <w:rFonts w:ascii="Arial" w:eastAsia="Calibri" w:hAnsi="Arial" w:cs="Arial"/>
          <w:color w:val="222222"/>
          <w:sz w:val="22"/>
          <w:szCs w:val="22"/>
          <w:shd w:val="clear" w:color="auto" w:fill="FFFFFF"/>
          <w:lang w:eastAsia="en-US"/>
        </w:rPr>
        <w:tab/>
        <w:t xml:space="preserve">                 ELEKTROWIN a.s</w:t>
      </w:r>
      <w:r w:rsidR="00517C73" w:rsidRPr="00341B84">
        <w:rPr>
          <w:rFonts w:ascii="Arial" w:eastAsia="Calibri" w:hAnsi="Arial" w:cs="Arial"/>
          <w:color w:val="222222"/>
          <w:sz w:val="22"/>
          <w:szCs w:val="22"/>
          <w:shd w:val="clear" w:color="auto" w:fill="FFFFFF"/>
          <w:lang w:eastAsia="en-US"/>
        </w:rPr>
        <w:t>.</w:t>
      </w:r>
    </w:p>
    <w:p w14:paraId="1FA9C8D8" w14:textId="77777777" w:rsidR="00280688" w:rsidRPr="00341B84" w:rsidRDefault="00280688" w:rsidP="00280688">
      <w:pPr>
        <w:jc w:val="both"/>
        <w:rPr>
          <w:rFonts w:ascii="Arial" w:hAnsi="Arial" w:cs="Arial"/>
          <w:b/>
          <w:sz w:val="22"/>
          <w:szCs w:val="22"/>
        </w:rPr>
      </w:pPr>
    </w:p>
    <w:p w14:paraId="4994BB0F" w14:textId="77777777" w:rsidR="00A652D8" w:rsidRDefault="00A652D8" w:rsidP="00464104">
      <w:pPr>
        <w:jc w:val="both"/>
        <w:rPr>
          <w:rFonts w:ascii="Arial" w:hAnsi="Arial" w:cs="Arial"/>
          <w:b/>
          <w:sz w:val="22"/>
          <w:szCs w:val="22"/>
        </w:rPr>
      </w:pPr>
    </w:p>
    <w:p w14:paraId="46F486FC" w14:textId="77777777" w:rsidR="00A652D8" w:rsidRDefault="00A652D8" w:rsidP="00464104">
      <w:pPr>
        <w:jc w:val="both"/>
        <w:rPr>
          <w:rFonts w:ascii="Arial" w:hAnsi="Arial" w:cs="Arial"/>
          <w:b/>
          <w:sz w:val="22"/>
          <w:szCs w:val="22"/>
        </w:rPr>
      </w:pPr>
    </w:p>
    <w:p w14:paraId="36F1640D" w14:textId="77777777" w:rsidR="00A652D8" w:rsidRDefault="00A652D8" w:rsidP="00464104">
      <w:pPr>
        <w:jc w:val="both"/>
        <w:rPr>
          <w:rFonts w:ascii="Arial" w:hAnsi="Arial" w:cs="Arial"/>
          <w:b/>
          <w:sz w:val="22"/>
          <w:szCs w:val="22"/>
        </w:rPr>
      </w:pPr>
    </w:p>
    <w:p w14:paraId="4F8ABD2A" w14:textId="24385FC1" w:rsidR="00464104" w:rsidRPr="00341B84" w:rsidRDefault="00464104" w:rsidP="00464104">
      <w:pPr>
        <w:jc w:val="both"/>
        <w:rPr>
          <w:rFonts w:ascii="Arial" w:hAnsi="Arial" w:cs="Arial"/>
          <w:b/>
          <w:sz w:val="22"/>
          <w:szCs w:val="22"/>
        </w:rPr>
      </w:pPr>
      <w:r w:rsidRPr="00341B84">
        <w:rPr>
          <w:rFonts w:ascii="Arial" w:hAnsi="Arial" w:cs="Arial"/>
          <w:b/>
          <w:sz w:val="22"/>
          <w:szCs w:val="22"/>
        </w:rPr>
        <w:t xml:space="preserve">Příloha č. 1 </w:t>
      </w:r>
    </w:p>
    <w:p w14:paraId="1887E507" w14:textId="77777777" w:rsidR="00464104" w:rsidRPr="00341B84" w:rsidRDefault="00464104" w:rsidP="00464104">
      <w:pPr>
        <w:jc w:val="both"/>
        <w:rPr>
          <w:rFonts w:ascii="Arial" w:hAnsi="Arial" w:cs="Arial"/>
          <w:b/>
          <w:sz w:val="22"/>
          <w:szCs w:val="22"/>
        </w:rPr>
      </w:pPr>
    </w:p>
    <w:p w14:paraId="3069FF2E" w14:textId="5BCC3875" w:rsidR="00464104" w:rsidRPr="00341B84" w:rsidRDefault="00464104" w:rsidP="00464104">
      <w:pPr>
        <w:jc w:val="center"/>
        <w:rPr>
          <w:rFonts w:ascii="Arial" w:hAnsi="Arial" w:cs="Arial"/>
          <w:b/>
          <w:sz w:val="22"/>
          <w:szCs w:val="22"/>
        </w:rPr>
      </w:pPr>
      <w:r w:rsidRPr="00341B84">
        <w:rPr>
          <w:rFonts w:ascii="Arial" w:hAnsi="Arial" w:cs="Arial"/>
          <w:b/>
          <w:sz w:val="22"/>
          <w:szCs w:val="22"/>
        </w:rPr>
        <w:t>„Projekt Intenzifikace zpětného odběru odpadních elektrozařízení ve Zlínském kraji pro rok 2024“</w:t>
      </w:r>
      <w:r w:rsidR="00517C73" w:rsidRPr="00341B84">
        <w:rPr>
          <w:rFonts w:ascii="Arial" w:hAnsi="Arial" w:cs="Arial"/>
          <w:b/>
          <w:sz w:val="22"/>
          <w:szCs w:val="22"/>
        </w:rPr>
        <w:t xml:space="preserve"> </w:t>
      </w:r>
      <w:r w:rsidRPr="00341B84">
        <w:rPr>
          <w:rFonts w:ascii="Arial" w:hAnsi="Arial" w:cs="Arial"/>
          <w:b/>
          <w:sz w:val="22"/>
          <w:szCs w:val="22"/>
        </w:rPr>
        <w:t>(dále jen „projekt“)</w:t>
      </w:r>
    </w:p>
    <w:p w14:paraId="6D6F660B" w14:textId="77777777" w:rsidR="00464104" w:rsidRPr="00341B84" w:rsidRDefault="00464104" w:rsidP="00464104">
      <w:pPr>
        <w:spacing w:before="240"/>
        <w:jc w:val="both"/>
        <w:rPr>
          <w:rFonts w:ascii="Arial" w:hAnsi="Arial" w:cs="Arial"/>
          <w:b/>
          <w:sz w:val="22"/>
          <w:szCs w:val="22"/>
          <w:u w:val="single"/>
        </w:rPr>
      </w:pPr>
      <w:r w:rsidRPr="00341B84">
        <w:rPr>
          <w:rFonts w:ascii="Arial" w:hAnsi="Arial" w:cs="Arial"/>
          <w:b/>
          <w:sz w:val="22"/>
          <w:szCs w:val="22"/>
          <w:u w:val="single"/>
        </w:rPr>
        <w:t>Specifikace aktivit a závazků smluvních stran projektu pro rok 2024</w:t>
      </w:r>
    </w:p>
    <w:p w14:paraId="65AAA822"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 xml:space="preserve">Projekt je realizován na základě potřeby kolektivního systému ELEKTROWIN a.s. </w:t>
      </w:r>
      <w:r w:rsidRPr="00341B84">
        <w:rPr>
          <w:rFonts w:ascii="Arial" w:hAnsi="Arial" w:cs="Arial"/>
          <w:sz w:val="22"/>
          <w:szCs w:val="22"/>
        </w:rPr>
        <w:br/>
        <w:t>a Zlínského kraje zvýšit výtěžnost zpětného odběru vyřazených elektrozařízení, zlepšit efektivitu procesů nakládání s komunálními odpady na území Zlínského kraje a zajistit postupné naplňování cílů Plánu odpadového hospodářství Zlínského kraje 2016-2025. Z těchto důvodů je podstatnou a nedílnou součástí aktivit realizovaných na základě dodatku zlepšení informovanosti spotřebitelů a zvýšení jejich aktivní účasti na třídění odpadů a účasti na systému zpětného odběru vyřazených elektrospotřebičů.</w:t>
      </w:r>
    </w:p>
    <w:p w14:paraId="5F010F2B"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Aktivity realizované v rámci projektu budou respektovat cíle Plánu odpadového hospodářství Zlínského kraje 2016-2025 (dále jen POH), koncepční materiály Zlínského kraje a budou zaměřeny na motivaci občanů ke správnému nakládání s vyřazenými elektrospotřebiči v souladu se stanovenou hierarchií způsobů nakládání s odpady. Současně rozpracovává jeden z výstupů POH v oblasti nakládání s elektroodpady, který se týká cílů v recyklaci a využití elektroodpadů stanovených v Plánu odpadového hospodářství České republiky a platné legislativě.</w:t>
      </w:r>
    </w:p>
    <w:p w14:paraId="46AFD743" w14:textId="77777777" w:rsidR="00464104" w:rsidRPr="00341B84" w:rsidRDefault="00464104" w:rsidP="00464104">
      <w:pPr>
        <w:keepNext/>
        <w:spacing w:before="240"/>
        <w:jc w:val="both"/>
        <w:outlineLvl w:val="0"/>
        <w:rPr>
          <w:rFonts w:ascii="Arial" w:hAnsi="Arial" w:cs="Arial"/>
          <w:b/>
          <w:kern w:val="28"/>
          <w:sz w:val="22"/>
          <w:szCs w:val="22"/>
          <w:u w:val="single"/>
        </w:rPr>
      </w:pPr>
      <w:r w:rsidRPr="00341B84">
        <w:rPr>
          <w:rFonts w:ascii="Arial" w:hAnsi="Arial" w:cs="Arial"/>
          <w:b/>
          <w:kern w:val="28"/>
          <w:sz w:val="22"/>
          <w:szCs w:val="22"/>
          <w:u w:val="single"/>
        </w:rPr>
        <w:t>Plánovaný rozsah aktivit v roce 2024</w:t>
      </w:r>
    </w:p>
    <w:p w14:paraId="62E1FBBB" w14:textId="77777777" w:rsidR="00464104" w:rsidRPr="00341B84" w:rsidRDefault="00464104" w:rsidP="00464104">
      <w:pPr>
        <w:rPr>
          <w:rFonts w:ascii="Arial" w:hAnsi="Arial" w:cs="Arial"/>
          <w:sz w:val="22"/>
          <w:szCs w:val="22"/>
        </w:rPr>
      </w:pPr>
    </w:p>
    <w:p w14:paraId="12831F56" w14:textId="77777777" w:rsidR="00464104" w:rsidRPr="00341B84" w:rsidRDefault="00464104" w:rsidP="00464104">
      <w:pPr>
        <w:numPr>
          <w:ilvl w:val="0"/>
          <w:numId w:val="4"/>
        </w:numPr>
        <w:tabs>
          <w:tab w:val="clear" w:pos="720"/>
          <w:tab w:val="num" w:pos="360"/>
        </w:tabs>
        <w:ind w:left="360"/>
        <w:rPr>
          <w:rFonts w:ascii="Arial" w:hAnsi="Arial" w:cs="Arial"/>
          <w:b/>
          <w:bCs/>
          <w:i/>
          <w:sz w:val="22"/>
          <w:szCs w:val="22"/>
          <w:u w:val="single"/>
        </w:rPr>
      </w:pPr>
      <w:r w:rsidRPr="00341B84">
        <w:rPr>
          <w:rFonts w:ascii="Arial" w:hAnsi="Arial" w:cs="Arial"/>
          <w:b/>
          <w:bCs/>
          <w:i/>
          <w:sz w:val="22"/>
          <w:szCs w:val="22"/>
          <w:u w:val="single"/>
        </w:rPr>
        <w:t xml:space="preserve">Materiálová podpora a propagace zpětného odběru v kraji </w:t>
      </w:r>
    </w:p>
    <w:p w14:paraId="4B55D705" w14:textId="77777777" w:rsidR="00464104" w:rsidRPr="00341B84" w:rsidRDefault="00464104" w:rsidP="00464104">
      <w:pPr>
        <w:rPr>
          <w:rFonts w:ascii="Arial" w:hAnsi="Arial" w:cs="Arial"/>
          <w:b/>
          <w:bCs/>
          <w:i/>
          <w:sz w:val="22"/>
          <w:szCs w:val="22"/>
          <w:u w:val="single"/>
        </w:rPr>
      </w:pPr>
    </w:p>
    <w:p w14:paraId="3726BE2C" w14:textId="3999DC49" w:rsidR="00464104" w:rsidRPr="00341B84" w:rsidRDefault="00464104" w:rsidP="00464104">
      <w:pPr>
        <w:numPr>
          <w:ilvl w:val="1"/>
          <w:numId w:val="4"/>
        </w:numPr>
        <w:jc w:val="both"/>
        <w:rPr>
          <w:rFonts w:ascii="Arial" w:hAnsi="Arial" w:cs="Arial"/>
          <w:bCs/>
          <w:sz w:val="22"/>
          <w:szCs w:val="22"/>
        </w:rPr>
      </w:pPr>
      <w:r w:rsidRPr="00341B84">
        <w:rPr>
          <w:rFonts w:ascii="Arial" w:hAnsi="Arial" w:cs="Arial"/>
          <w:bCs/>
          <w:sz w:val="22"/>
          <w:szCs w:val="22"/>
        </w:rPr>
        <w:t xml:space="preserve">Rozšíření kontejnerového výměnného systému např. </w:t>
      </w:r>
      <w:proofErr w:type="spellStart"/>
      <w:r w:rsidRPr="00341B84">
        <w:rPr>
          <w:rFonts w:ascii="Arial" w:hAnsi="Arial" w:cs="Arial"/>
          <w:bCs/>
          <w:sz w:val="22"/>
          <w:szCs w:val="22"/>
        </w:rPr>
        <w:t>wintejnery</w:t>
      </w:r>
      <w:proofErr w:type="spellEnd"/>
      <w:r w:rsidRPr="00341B84">
        <w:rPr>
          <w:rFonts w:ascii="Arial" w:hAnsi="Arial" w:cs="Arial"/>
          <w:bCs/>
          <w:sz w:val="22"/>
          <w:szCs w:val="22"/>
        </w:rPr>
        <w:t xml:space="preserve"> a klecové kontejnery na malé spotřebiče ve vybraných městech a obcích </w:t>
      </w:r>
      <w:r w:rsidR="00517C73" w:rsidRPr="00341B84">
        <w:rPr>
          <w:rFonts w:ascii="Arial" w:hAnsi="Arial" w:cs="Arial"/>
          <w:bCs/>
          <w:sz w:val="22"/>
          <w:szCs w:val="22"/>
        </w:rPr>
        <w:t>ZLK</w:t>
      </w:r>
      <w:r w:rsidRPr="00341B84">
        <w:rPr>
          <w:rFonts w:ascii="Arial" w:hAnsi="Arial" w:cs="Arial"/>
          <w:bCs/>
          <w:sz w:val="22"/>
          <w:szCs w:val="22"/>
        </w:rPr>
        <w:t>, ve kterých je zřízeno místo zpětného odběru elektrozařízení pro zkvalitnění zpětného odběru, dopravní obslužnosti a k vyšší ochraně shromážděných elektrozařízení před jejich neodbornou a životu nebezpečnou demontáží neoprávněnými osobami. Každé z vytipovaných měst a obcí, které příjme nabídku, bude vybaveno, podle prostorových možností, kontejnery typu „</w:t>
      </w:r>
      <w:proofErr w:type="spellStart"/>
      <w:r w:rsidRPr="00341B84">
        <w:rPr>
          <w:rFonts w:ascii="Arial" w:hAnsi="Arial" w:cs="Arial"/>
          <w:bCs/>
          <w:sz w:val="22"/>
          <w:szCs w:val="22"/>
        </w:rPr>
        <w:t>wintejner</w:t>
      </w:r>
      <w:proofErr w:type="spellEnd"/>
      <w:r w:rsidRPr="00341B84">
        <w:rPr>
          <w:rFonts w:ascii="Arial" w:hAnsi="Arial" w:cs="Arial"/>
          <w:bCs/>
          <w:sz w:val="22"/>
          <w:szCs w:val="22"/>
        </w:rPr>
        <w:t>“ případně kontejnery určenými na sběr malých spotřebičů.</w:t>
      </w:r>
    </w:p>
    <w:p w14:paraId="645A7247" w14:textId="77777777" w:rsidR="00464104" w:rsidRPr="00341B84" w:rsidRDefault="00464104" w:rsidP="00464104">
      <w:pPr>
        <w:numPr>
          <w:ilvl w:val="0"/>
          <w:numId w:val="4"/>
        </w:numPr>
        <w:tabs>
          <w:tab w:val="clear" w:pos="720"/>
        </w:tabs>
        <w:ind w:left="502" w:firstLine="0"/>
        <w:jc w:val="both"/>
        <w:rPr>
          <w:rFonts w:ascii="Arial" w:hAnsi="Arial" w:cs="Arial"/>
          <w:bCs/>
          <w:sz w:val="22"/>
          <w:szCs w:val="22"/>
        </w:rPr>
      </w:pPr>
      <w:r w:rsidRPr="00341B84">
        <w:rPr>
          <w:rFonts w:ascii="Arial" w:hAnsi="Arial" w:cs="Arial"/>
          <w:bCs/>
          <w:sz w:val="22"/>
          <w:szCs w:val="22"/>
        </w:rPr>
        <w:t xml:space="preserve">Výměnu, odvoz ke zpracovateli a běžnou údržbu těchto kontejnerů, s výjimkou kontejnerů pořízených obcí z motivačního programu, bude ELEKTROWIN a.s. (dále jen „EWIN“) zajišťovat na své náklady. </w:t>
      </w:r>
    </w:p>
    <w:p w14:paraId="7CDEF4E4" w14:textId="77777777" w:rsidR="00464104" w:rsidRPr="00341B84" w:rsidRDefault="00464104" w:rsidP="00464104">
      <w:pPr>
        <w:jc w:val="both"/>
        <w:rPr>
          <w:rFonts w:ascii="Arial" w:hAnsi="Arial" w:cs="Arial"/>
          <w:bCs/>
          <w:sz w:val="22"/>
          <w:szCs w:val="22"/>
          <w:u w:val="single"/>
        </w:rPr>
      </w:pPr>
    </w:p>
    <w:p w14:paraId="1065CCA3" w14:textId="77777777" w:rsidR="00464104" w:rsidRPr="00341B84" w:rsidRDefault="00464104" w:rsidP="00464104">
      <w:pPr>
        <w:numPr>
          <w:ilvl w:val="1"/>
          <w:numId w:val="4"/>
        </w:numPr>
        <w:jc w:val="both"/>
        <w:rPr>
          <w:rFonts w:ascii="Arial" w:hAnsi="Arial" w:cs="Arial"/>
          <w:b/>
          <w:bCs/>
          <w:sz w:val="22"/>
          <w:szCs w:val="22"/>
        </w:rPr>
      </w:pPr>
      <w:r w:rsidRPr="00341B84">
        <w:rPr>
          <w:rFonts w:ascii="Arial" w:hAnsi="Arial" w:cs="Arial"/>
          <w:b/>
          <w:bCs/>
          <w:sz w:val="22"/>
          <w:szCs w:val="22"/>
          <w:u w:val="single"/>
        </w:rPr>
        <w:t>Podpora z Motivačního programu</w:t>
      </w:r>
    </w:p>
    <w:p w14:paraId="2C683BCB" w14:textId="77777777" w:rsidR="00464104" w:rsidRPr="00341B84" w:rsidRDefault="00464104" w:rsidP="00464104">
      <w:pPr>
        <w:ind w:left="502"/>
        <w:jc w:val="both"/>
        <w:rPr>
          <w:rFonts w:ascii="Arial" w:hAnsi="Arial" w:cs="Arial"/>
        </w:rPr>
      </w:pPr>
      <w:r w:rsidRPr="00341B84">
        <w:rPr>
          <w:rFonts w:ascii="Arial" w:hAnsi="Arial" w:cs="Arial"/>
        </w:rPr>
        <w:t>Obce mohou získat finanční podporu na úpravu sběrných dvorů a informovanost občanů na základě splnění kritérií Motivačního programu.</w:t>
      </w:r>
    </w:p>
    <w:p w14:paraId="35CAA587" w14:textId="77777777" w:rsidR="00464104" w:rsidRPr="00341B84" w:rsidRDefault="00464104" w:rsidP="00464104">
      <w:pPr>
        <w:ind w:firstLine="502"/>
        <w:jc w:val="both"/>
        <w:rPr>
          <w:rFonts w:ascii="Arial" w:hAnsi="Arial" w:cs="Arial"/>
        </w:rPr>
      </w:pPr>
    </w:p>
    <w:p w14:paraId="3A3CEA29" w14:textId="77777777" w:rsidR="00464104" w:rsidRPr="00341B84" w:rsidRDefault="00464104" w:rsidP="00464104">
      <w:pPr>
        <w:ind w:firstLine="502"/>
        <w:jc w:val="both"/>
        <w:rPr>
          <w:rFonts w:ascii="Arial" w:hAnsi="Arial" w:cs="Arial"/>
        </w:rPr>
      </w:pPr>
      <w:r w:rsidRPr="00341B84">
        <w:rPr>
          <w:rFonts w:ascii="Arial" w:hAnsi="Arial" w:cs="Arial"/>
        </w:rPr>
        <w:t>Alokovaná finanční podpora akce z finančních prostředků EWIN:</w:t>
      </w:r>
    </w:p>
    <w:p w14:paraId="4DEFF0A0" w14:textId="77777777" w:rsidR="00464104" w:rsidRPr="00341B84" w:rsidRDefault="00464104" w:rsidP="00464104">
      <w:pPr>
        <w:spacing w:after="200" w:line="276" w:lineRule="auto"/>
        <w:ind w:left="720"/>
        <w:contextualSpacing/>
        <w:jc w:val="both"/>
        <w:rPr>
          <w:rFonts w:ascii="Arial" w:eastAsia="Calibri" w:hAnsi="Arial" w:cs="Arial"/>
          <w:b/>
          <w:sz w:val="22"/>
          <w:szCs w:val="22"/>
          <w:lang w:eastAsia="en-US"/>
        </w:rPr>
      </w:pPr>
      <w:r w:rsidRPr="00341B84">
        <w:rPr>
          <w:rFonts w:ascii="Arial" w:eastAsia="Calibri" w:hAnsi="Arial" w:cs="Arial"/>
          <w:b/>
          <w:sz w:val="22"/>
          <w:szCs w:val="22"/>
          <w:lang w:eastAsia="en-US"/>
        </w:rPr>
        <w:t>•</w:t>
      </w:r>
      <w:r w:rsidRPr="00341B84">
        <w:rPr>
          <w:rFonts w:ascii="Arial" w:eastAsia="Calibri" w:hAnsi="Arial" w:cs="Arial"/>
          <w:b/>
          <w:sz w:val="22"/>
          <w:szCs w:val="22"/>
          <w:lang w:eastAsia="en-US"/>
        </w:rPr>
        <w:tab/>
        <w:t xml:space="preserve"> 115 385 Kč (předpoklad dle loňského roku)</w:t>
      </w:r>
    </w:p>
    <w:p w14:paraId="2783A232" w14:textId="77777777" w:rsidR="00517C73" w:rsidRPr="00341B84" w:rsidRDefault="00517C73" w:rsidP="00464104">
      <w:pPr>
        <w:ind w:left="502"/>
        <w:jc w:val="both"/>
        <w:rPr>
          <w:rFonts w:ascii="Arial" w:hAnsi="Arial" w:cs="Arial"/>
        </w:rPr>
      </w:pPr>
    </w:p>
    <w:p w14:paraId="08EEF9C7" w14:textId="46F45C3E" w:rsidR="00464104" w:rsidRPr="00341B84" w:rsidRDefault="00464104" w:rsidP="00464104">
      <w:pPr>
        <w:ind w:left="502"/>
        <w:jc w:val="both"/>
        <w:rPr>
          <w:rFonts w:ascii="Arial" w:hAnsi="Arial" w:cs="Arial"/>
        </w:rPr>
      </w:pPr>
      <w:r w:rsidRPr="00341B84">
        <w:rPr>
          <w:rFonts w:ascii="Arial" w:hAnsi="Arial" w:cs="Arial"/>
        </w:rPr>
        <w:t>Čerpání dle pořadí žádostí bez omezení. Maximálně však do 2 000 000 Kč, což je částka alokovaná na rok 2024 pro celou ČR</w:t>
      </w:r>
    </w:p>
    <w:p w14:paraId="52F0FDFD" w14:textId="77777777" w:rsidR="00464104" w:rsidRPr="00341B84" w:rsidRDefault="00464104" w:rsidP="00464104">
      <w:pPr>
        <w:spacing w:after="200" w:line="276" w:lineRule="auto"/>
        <w:ind w:left="708"/>
        <w:contextualSpacing/>
        <w:jc w:val="both"/>
        <w:rPr>
          <w:rFonts w:ascii="Arial" w:eastAsia="Calibri" w:hAnsi="Arial" w:cs="Arial"/>
          <w:sz w:val="22"/>
          <w:szCs w:val="22"/>
          <w:lang w:eastAsia="en-US"/>
        </w:rPr>
      </w:pPr>
    </w:p>
    <w:p w14:paraId="024CC3AE" w14:textId="77777777" w:rsidR="00464104" w:rsidRPr="00341B84" w:rsidRDefault="00464104" w:rsidP="00464104">
      <w:pPr>
        <w:numPr>
          <w:ilvl w:val="0"/>
          <w:numId w:val="10"/>
        </w:numPr>
        <w:spacing w:line="280" w:lineRule="exact"/>
        <w:contextualSpacing/>
        <w:rPr>
          <w:rFonts w:ascii="Arial" w:hAnsi="Arial" w:cs="Arial"/>
          <w:b/>
          <w:bCs/>
          <w:color w:val="000000"/>
          <w:sz w:val="22"/>
          <w:szCs w:val="22"/>
          <w:u w:val="single"/>
          <w:lang w:eastAsia="en-US"/>
        </w:rPr>
      </w:pPr>
      <w:r w:rsidRPr="00341B84">
        <w:rPr>
          <w:rFonts w:ascii="Arial" w:hAnsi="Arial" w:cs="Arial"/>
          <w:b/>
          <w:bCs/>
          <w:color w:val="000000"/>
          <w:sz w:val="22"/>
          <w:szCs w:val="22"/>
          <w:u w:val="single"/>
          <w:lang w:eastAsia="en-US"/>
        </w:rPr>
        <w:t xml:space="preserve">Recyklujte s hasiči – v roce 2024 bude pokračovat snaha o rozšíření počtu zapojených sborů dobrovolných hasičů v kraji do projektu. </w:t>
      </w:r>
    </w:p>
    <w:p w14:paraId="55FBABD9" w14:textId="77777777" w:rsidR="00464104" w:rsidRPr="00341B84" w:rsidRDefault="00464104" w:rsidP="00464104">
      <w:pPr>
        <w:spacing w:line="280" w:lineRule="exact"/>
        <w:ind w:left="728" w:hanging="364"/>
        <w:jc w:val="both"/>
        <w:rPr>
          <w:rFonts w:ascii="Arial" w:hAnsi="Arial" w:cs="Arial"/>
          <w:bCs/>
          <w:color w:val="000000"/>
          <w:sz w:val="22"/>
          <w:szCs w:val="22"/>
        </w:rPr>
      </w:pPr>
    </w:p>
    <w:p w14:paraId="32FC822C" w14:textId="29F8216A" w:rsidR="00464104" w:rsidRPr="00341B84" w:rsidRDefault="00464104" w:rsidP="00464104">
      <w:pPr>
        <w:spacing w:line="280" w:lineRule="exact"/>
        <w:ind w:left="425"/>
        <w:jc w:val="both"/>
        <w:rPr>
          <w:rFonts w:ascii="Arial" w:hAnsi="Arial" w:cs="Arial"/>
          <w:bCs/>
          <w:sz w:val="22"/>
          <w:szCs w:val="22"/>
        </w:rPr>
      </w:pPr>
      <w:r w:rsidRPr="00341B84">
        <w:rPr>
          <w:rFonts w:ascii="Arial" w:hAnsi="Arial" w:cs="Arial"/>
          <w:bCs/>
          <w:sz w:val="22"/>
          <w:szCs w:val="22"/>
        </w:rPr>
        <w:t>EWIN dodá zdarma všem hasičský</w:t>
      </w:r>
      <w:r w:rsidR="008C4AF1" w:rsidRPr="00341B84">
        <w:rPr>
          <w:rFonts w:ascii="Arial" w:hAnsi="Arial" w:cs="Arial"/>
          <w:bCs/>
          <w:sz w:val="22"/>
          <w:szCs w:val="22"/>
        </w:rPr>
        <w:t xml:space="preserve">m </w:t>
      </w:r>
      <w:r w:rsidRPr="00341B84">
        <w:rPr>
          <w:rFonts w:ascii="Arial" w:hAnsi="Arial" w:cs="Arial"/>
          <w:bCs/>
          <w:sz w:val="22"/>
          <w:szCs w:val="22"/>
        </w:rPr>
        <w:t xml:space="preserve">sborům informační materiály. Na základě vyplněného registračního formuláře nového sboru do soutěže „Recyklujte s hasiči“ dodá EWIN sborům bezplatně shromažďovací nádobu na malé spotřebiče a dále zajistí </w:t>
      </w:r>
      <w:r w:rsidRPr="00341B84">
        <w:rPr>
          <w:rFonts w:ascii="Arial" w:hAnsi="Arial" w:cs="Arial"/>
          <w:bCs/>
          <w:sz w:val="22"/>
          <w:szCs w:val="22"/>
        </w:rPr>
        <w:lastRenderedPageBreak/>
        <w:t>bezplatný zpětný odběr (odvoz) elektrozařízení určených pro použití v domácnosti dle přílohy č. 1 zákona VUŽ.</w:t>
      </w:r>
    </w:p>
    <w:p w14:paraId="1C1A9067" w14:textId="77777777" w:rsidR="00464104" w:rsidRPr="00341B84" w:rsidRDefault="00464104" w:rsidP="00464104">
      <w:pPr>
        <w:spacing w:line="280" w:lineRule="exact"/>
        <w:ind w:left="425"/>
        <w:jc w:val="both"/>
        <w:rPr>
          <w:rFonts w:ascii="Arial" w:hAnsi="Arial" w:cs="Arial"/>
          <w:bCs/>
          <w:color w:val="000000"/>
          <w:sz w:val="22"/>
          <w:szCs w:val="22"/>
        </w:rPr>
      </w:pPr>
    </w:p>
    <w:p w14:paraId="42227EA8" w14:textId="77777777" w:rsidR="00464104" w:rsidRPr="00341B84" w:rsidRDefault="00464104" w:rsidP="00464104">
      <w:pPr>
        <w:spacing w:line="280" w:lineRule="exact"/>
        <w:ind w:left="426"/>
        <w:jc w:val="both"/>
        <w:rPr>
          <w:rFonts w:ascii="Arial" w:hAnsi="Arial" w:cs="Arial"/>
          <w:bCs/>
          <w:color w:val="000000"/>
          <w:sz w:val="22"/>
          <w:szCs w:val="22"/>
        </w:rPr>
      </w:pPr>
      <w:r w:rsidRPr="00341B84">
        <w:rPr>
          <w:rFonts w:ascii="Arial" w:hAnsi="Arial" w:cs="Arial"/>
          <w:bCs/>
          <w:color w:val="000000"/>
          <w:sz w:val="22"/>
          <w:szCs w:val="22"/>
        </w:rPr>
        <w:t>Finanční podpora z finančních prostředků EWIN:</w:t>
      </w:r>
    </w:p>
    <w:p w14:paraId="4061D88F" w14:textId="77777777" w:rsidR="00464104" w:rsidRPr="00341B84" w:rsidRDefault="00464104" w:rsidP="00464104">
      <w:pPr>
        <w:numPr>
          <w:ilvl w:val="0"/>
          <w:numId w:val="7"/>
        </w:numPr>
        <w:spacing w:line="280" w:lineRule="exact"/>
        <w:ind w:left="426" w:firstLine="0"/>
        <w:jc w:val="both"/>
        <w:rPr>
          <w:rFonts w:ascii="Arial" w:hAnsi="Arial" w:cs="Arial"/>
          <w:bCs/>
          <w:color w:val="000000"/>
          <w:sz w:val="22"/>
          <w:szCs w:val="22"/>
        </w:rPr>
      </w:pPr>
      <w:r w:rsidRPr="00341B84">
        <w:rPr>
          <w:rFonts w:ascii="Arial" w:hAnsi="Arial" w:cs="Arial"/>
          <w:b/>
          <w:bCs/>
          <w:color w:val="000000"/>
          <w:sz w:val="22"/>
          <w:szCs w:val="22"/>
        </w:rPr>
        <w:t>5 000 Kč</w:t>
      </w:r>
      <w:r w:rsidRPr="00341B84">
        <w:rPr>
          <w:rFonts w:ascii="Arial" w:hAnsi="Arial" w:cs="Arial"/>
          <w:bCs/>
          <w:color w:val="000000"/>
          <w:sz w:val="22"/>
          <w:szCs w:val="22"/>
        </w:rPr>
        <w:t xml:space="preserve"> investice, shromažďovací nádoby na malé spotřebiče (předpoklad dle loňského roku)</w:t>
      </w:r>
    </w:p>
    <w:p w14:paraId="04BDC483" w14:textId="77777777" w:rsidR="00464104" w:rsidRPr="00341B84" w:rsidRDefault="00464104" w:rsidP="00464104">
      <w:pPr>
        <w:spacing w:line="280" w:lineRule="exact"/>
        <w:ind w:left="426"/>
        <w:contextualSpacing/>
        <w:jc w:val="both"/>
        <w:rPr>
          <w:rFonts w:ascii="Arial" w:hAnsi="Arial" w:cs="Arial"/>
          <w:color w:val="000000"/>
          <w:sz w:val="22"/>
          <w:szCs w:val="22"/>
        </w:rPr>
      </w:pPr>
      <w:r w:rsidRPr="00341B84">
        <w:rPr>
          <w:rFonts w:ascii="Arial" w:hAnsi="Arial" w:cs="Arial"/>
          <w:color w:val="000000"/>
          <w:sz w:val="22"/>
          <w:szCs w:val="22"/>
        </w:rPr>
        <w:t>Čerpání bez omezení dle potřeb kraje.</w:t>
      </w:r>
    </w:p>
    <w:p w14:paraId="7F2891E7" w14:textId="77777777" w:rsidR="00464104" w:rsidRPr="00341B84" w:rsidRDefault="00464104" w:rsidP="00464104">
      <w:pPr>
        <w:jc w:val="both"/>
        <w:rPr>
          <w:rFonts w:ascii="Arial" w:hAnsi="Arial" w:cs="Arial"/>
          <w:bCs/>
          <w:sz w:val="22"/>
          <w:szCs w:val="22"/>
        </w:rPr>
      </w:pPr>
    </w:p>
    <w:p w14:paraId="52725396" w14:textId="77777777" w:rsidR="00464104" w:rsidRPr="00341B84" w:rsidRDefault="00464104" w:rsidP="00464104">
      <w:pPr>
        <w:jc w:val="both"/>
        <w:rPr>
          <w:rFonts w:ascii="Arial" w:hAnsi="Arial" w:cs="Arial"/>
          <w:bCs/>
          <w:sz w:val="22"/>
          <w:szCs w:val="22"/>
        </w:rPr>
      </w:pPr>
    </w:p>
    <w:p w14:paraId="06FD8753" w14:textId="77777777" w:rsidR="00464104" w:rsidRPr="00341B84" w:rsidRDefault="00464104" w:rsidP="00464104">
      <w:pPr>
        <w:numPr>
          <w:ilvl w:val="0"/>
          <w:numId w:val="4"/>
        </w:numPr>
        <w:tabs>
          <w:tab w:val="clear" w:pos="720"/>
          <w:tab w:val="num" w:pos="360"/>
        </w:tabs>
        <w:ind w:left="360"/>
        <w:jc w:val="both"/>
        <w:rPr>
          <w:rFonts w:ascii="Arial" w:hAnsi="Arial" w:cs="Arial"/>
          <w:b/>
          <w:bCs/>
          <w:i/>
          <w:sz w:val="22"/>
          <w:szCs w:val="22"/>
          <w:u w:val="single"/>
        </w:rPr>
      </w:pPr>
      <w:r w:rsidRPr="00341B84">
        <w:rPr>
          <w:rFonts w:ascii="Arial" w:hAnsi="Arial" w:cs="Arial"/>
          <w:b/>
          <w:bCs/>
          <w:i/>
          <w:sz w:val="22"/>
          <w:szCs w:val="22"/>
          <w:u w:val="single"/>
        </w:rPr>
        <w:t xml:space="preserve">Mediální kampaň v kraji </w:t>
      </w:r>
    </w:p>
    <w:p w14:paraId="473D28DC" w14:textId="77777777" w:rsidR="00464104" w:rsidRPr="00341B84" w:rsidRDefault="00464104" w:rsidP="00464104">
      <w:pPr>
        <w:ind w:left="720"/>
        <w:jc w:val="both"/>
        <w:rPr>
          <w:rFonts w:ascii="Arial" w:hAnsi="Arial" w:cs="Arial"/>
          <w:b/>
          <w:bCs/>
          <w:i/>
          <w:sz w:val="22"/>
          <w:szCs w:val="22"/>
          <w:u w:val="single"/>
        </w:rPr>
      </w:pPr>
    </w:p>
    <w:p w14:paraId="1055521F" w14:textId="77777777" w:rsidR="00464104" w:rsidRPr="00341B84" w:rsidRDefault="00464104" w:rsidP="00464104">
      <w:pPr>
        <w:numPr>
          <w:ilvl w:val="1"/>
          <w:numId w:val="11"/>
        </w:numPr>
        <w:spacing w:after="200" w:line="280" w:lineRule="exact"/>
        <w:ind w:left="426" w:right="-144" w:hanging="426"/>
        <w:rPr>
          <w:rFonts w:ascii="Arial" w:hAnsi="Arial" w:cs="Arial"/>
          <w:bCs/>
          <w:color w:val="000000"/>
          <w:sz w:val="22"/>
          <w:szCs w:val="22"/>
        </w:rPr>
      </w:pPr>
      <w:r w:rsidRPr="00341B84">
        <w:rPr>
          <w:rFonts w:ascii="Arial" w:hAnsi="Arial" w:cs="Arial"/>
          <w:b/>
          <w:bCs/>
          <w:color w:val="000000"/>
          <w:sz w:val="22"/>
          <w:szCs w:val="22"/>
          <w:u w:val="single"/>
        </w:rPr>
        <w:t>Inzerce a odborné články o zpětném odběru a o aktivitách souvisejících s projektem a s krajskou soutěží v médiích s krajským rozsahem</w:t>
      </w:r>
      <w:r w:rsidRPr="00341B84">
        <w:rPr>
          <w:rFonts w:ascii="Arial" w:hAnsi="Arial" w:cs="Arial"/>
          <w:color w:val="000000"/>
          <w:sz w:val="22"/>
          <w:szCs w:val="22"/>
          <w:u w:val="single"/>
        </w:rPr>
        <w:t xml:space="preserve"> (využití</w:t>
      </w:r>
      <w:r w:rsidRPr="00341B84">
        <w:rPr>
          <w:rFonts w:ascii="Arial" w:hAnsi="Arial" w:cs="Arial"/>
          <w:bCs/>
          <w:color w:val="000000"/>
          <w:sz w:val="22"/>
          <w:szCs w:val="22"/>
          <w:u w:val="single"/>
        </w:rPr>
        <w:t> z www.elektrowin.cz/inzerce.html)</w:t>
      </w:r>
      <w:r w:rsidRPr="00341B84">
        <w:rPr>
          <w:rFonts w:ascii="Arial" w:hAnsi="Arial" w:cs="Arial"/>
          <w:bCs/>
          <w:color w:val="000000"/>
          <w:sz w:val="22"/>
          <w:szCs w:val="22"/>
        </w:rPr>
        <w:t xml:space="preserve"> – publikování článků a inzerátů v lokálních tiskových</w:t>
      </w:r>
    </w:p>
    <w:p w14:paraId="343C2CB4" w14:textId="77777777" w:rsidR="00464104" w:rsidRPr="00341B84" w:rsidRDefault="00464104" w:rsidP="00464104">
      <w:pPr>
        <w:spacing w:line="280" w:lineRule="exact"/>
        <w:ind w:left="425" w:right="-142"/>
        <w:jc w:val="both"/>
        <w:rPr>
          <w:rFonts w:ascii="Arial" w:hAnsi="Arial" w:cs="Arial"/>
          <w:bCs/>
          <w:color w:val="000000"/>
          <w:sz w:val="22"/>
          <w:szCs w:val="22"/>
        </w:rPr>
      </w:pPr>
      <w:r w:rsidRPr="00341B84">
        <w:rPr>
          <w:rFonts w:ascii="Arial" w:hAnsi="Arial" w:cs="Arial"/>
          <w:bCs/>
          <w:color w:val="000000"/>
          <w:sz w:val="22"/>
          <w:szCs w:val="22"/>
        </w:rPr>
        <w:t xml:space="preserve">Finanční podpora akce z finančních prostředků EWIN: </w:t>
      </w:r>
    </w:p>
    <w:p w14:paraId="038BCD23" w14:textId="77777777" w:rsidR="00464104" w:rsidRPr="00341B84" w:rsidRDefault="00464104" w:rsidP="00464104">
      <w:pPr>
        <w:numPr>
          <w:ilvl w:val="0"/>
          <w:numId w:val="7"/>
        </w:numPr>
        <w:spacing w:line="280" w:lineRule="exact"/>
        <w:ind w:left="426" w:firstLine="0"/>
        <w:jc w:val="both"/>
        <w:rPr>
          <w:rFonts w:ascii="Arial" w:hAnsi="Arial" w:cs="Arial"/>
          <w:b/>
          <w:bCs/>
          <w:color w:val="000000"/>
          <w:sz w:val="22"/>
          <w:szCs w:val="22"/>
        </w:rPr>
      </w:pPr>
      <w:r w:rsidRPr="00341B84">
        <w:rPr>
          <w:rFonts w:ascii="Arial" w:hAnsi="Arial" w:cs="Arial"/>
          <w:b/>
          <w:bCs/>
          <w:color w:val="000000"/>
          <w:sz w:val="22"/>
          <w:szCs w:val="22"/>
        </w:rPr>
        <w:t>13 000 Kč (předpoklad dle loňského roku)</w:t>
      </w:r>
    </w:p>
    <w:p w14:paraId="25495FBA" w14:textId="77777777" w:rsidR="00464104" w:rsidRPr="00341B84" w:rsidRDefault="00464104" w:rsidP="00464104">
      <w:pPr>
        <w:spacing w:line="280" w:lineRule="exact"/>
        <w:ind w:left="360"/>
        <w:jc w:val="both"/>
        <w:rPr>
          <w:rFonts w:ascii="Arial" w:hAnsi="Arial" w:cs="Arial"/>
          <w:bCs/>
          <w:color w:val="000000"/>
          <w:sz w:val="22"/>
          <w:szCs w:val="22"/>
        </w:rPr>
      </w:pPr>
      <w:r w:rsidRPr="00341B84">
        <w:rPr>
          <w:rFonts w:ascii="Arial" w:hAnsi="Arial" w:cs="Arial"/>
          <w:bCs/>
          <w:color w:val="000000"/>
          <w:sz w:val="22"/>
          <w:szCs w:val="22"/>
        </w:rPr>
        <w:t>Čerpání dle pořadí žádostí bez omezení. Maximálně však do 150 000 Kč, což je částka alokovaná na rok 2024 pro celou ČR</w:t>
      </w:r>
    </w:p>
    <w:p w14:paraId="0AEA3C43" w14:textId="77777777" w:rsidR="00464104" w:rsidRPr="00341B84" w:rsidRDefault="00464104" w:rsidP="00464104">
      <w:pPr>
        <w:jc w:val="both"/>
        <w:rPr>
          <w:rFonts w:ascii="Arial" w:hAnsi="Arial" w:cs="Arial"/>
          <w:b/>
          <w:bCs/>
          <w:sz w:val="22"/>
          <w:szCs w:val="22"/>
        </w:rPr>
      </w:pPr>
    </w:p>
    <w:p w14:paraId="57169A13" w14:textId="77777777" w:rsidR="00464104" w:rsidRPr="00341B84" w:rsidRDefault="00464104" w:rsidP="00464104">
      <w:pPr>
        <w:numPr>
          <w:ilvl w:val="0"/>
          <w:numId w:val="4"/>
        </w:numPr>
        <w:tabs>
          <w:tab w:val="clear" w:pos="720"/>
          <w:tab w:val="num" w:pos="360"/>
        </w:tabs>
        <w:ind w:left="360"/>
        <w:jc w:val="both"/>
        <w:rPr>
          <w:rFonts w:ascii="Arial" w:hAnsi="Arial" w:cs="Arial"/>
          <w:b/>
          <w:bCs/>
          <w:i/>
          <w:sz w:val="22"/>
          <w:szCs w:val="22"/>
          <w:u w:val="single"/>
        </w:rPr>
      </w:pPr>
      <w:r w:rsidRPr="00341B84">
        <w:rPr>
          <w:rFonts w:ascii="Arial" w:hAnsi="Arial" w:cs="Arial"/>
          <w:b/>
          <w:bCs/>
          <w:i/>
          <w:sz w:val="22"/>
          <w:szCs w:val="22"/>
          <w:u w:val="single"/>
        </w:rPr>
        <w:t>Osvětové akce v kraji</w:t>
      </w:r>
    </w:p>
    <w:p w14:paraId="1921AC89" w14:textId="77777777" w:rsidR="00464104" w:rsidRPr="00341B84" w:rsidRDefault="00464104" w:rsidP="00464104">
      <w:pPr>
        <w:jc w:val="both"/>
        <w:rPr>
          <w:rFonts w:ascii="Arial" w:hAnsi="Arial" w:cs="Arial"/>
          <w:b/>
          <w:bCs/>
          <w:i/>
          <w:sz w:val="22"/>
          <w:szCs w:val="22"/>
          <w:u w:val="single"/>
        </w:rPr>
      </w:pPr>
    </w:p>
    <w:p w14:paraId="3BE4D13F" w14:textId="77777777" w:rsidR="00464104" w:rsidRPr="00341B84" w:rsidRDefault="00464104" w:rsidP="00464104">
      <w:pPr>
        <w:numPr>
          <w:ilvl w:val="0"/>
          <w:numId w:val="6"/>
        </w:numPr>
        <w:jc w:val="both"/>
        <w:rPr>
          <w:rFonts w:ascii="Arial" w:hAnsi="Arial" w:cs="Arial"/>
          <w:bCs/>
          <w:sz w:val="22"/>
          <w:szCs w:val="22"/>
        </w:rPr>
      </w:pPr>
      <w:r w:rsidRPr="00341B84">
        <w:rPr>
          <w:rFonts w:ascii="Arial" w:hAnsi="Arial" w:cs="Arial"/>
          <w:b/>
          <w:bCs/>
          <w:sz w:val="22"/>
          <w:szCs w:val="22"/>
          <w:u w:val="single"/>
        </w:rPr>
        <w:t>Informování obcí zejména za účelem rozšíření zpětného odběru v obcích bez sběrného dvora</w:t>
      </w:r>
      <w:r w:rsidRPr="00341B84">
        <w:rPr>
          <w:rFonts w:ascii="Arial" w:hAnsi="Arial" w:cs="Arial"/>
          <w:bCs/>
          <w:sz w:val="22"/>
          <w:szCs w:val="22"/>
        </w:rPr>
        <w:t xml:space="preserve"> – Zlínský kraj zajistí organizaci seminářů, na kterých budou pracovníci obcí zástupcem ELEKTROWIN a.s. informováni o třídění a zpětném odběru vysloužilých zařízení, popř. poradu pro zástupce ORP.</w:t>
      </w:r>
    </w:p>
    <w:p w14:paraId="543C30AE" w14:textId="77777777" w:rsidR="00464104" w:rsidRPr="00341B84" w:rsidRDefault="00464104" w:rsidP="00464104">
      <w:pPr>
        <w:ind w:left="927"/>
        <w:jc w:val="both"/>
        <w:rPr>
          <w:rFonts w:ascii="Arial" w:hAnsi="Arial" w:cs="Arial"/>
          <w:bCs/>
          <w:sz w:val="22"/>
          <w:szCs w:val="22"/>
        </w:rPr>
      </w:pPr>
    </w:p>
    <w:p w14:paraId="24247867" w14:textId="77777777" w:rsidR="00464104" w:rsidRPr="00341B84" w:rsidRDefault="00464104" w:rsidP="00464104">
      <w:pPr>
        <w:ind w:left="567"/>
        <w:jc w:val="both"/>
        <w:rPr>
          <w:rFonts w:ascii="Arial" w:hAnsi="Arial" w:cs="Arial"/>
          <w:b/>
          <w:bCs/>
          <w:sz w:val="22"/>
          <w:szCs w:val="22"/>
        </w:rPr>
      </w:pPr>
      <w:r w:rsidRPr="00341B84">
        <w:rPr>
          <w:rFonts w:ascii="Arial" w:hAnsi="Arial" w:cs="Arial"/>
          <w:bCs/>
          <w:sz w:val="22"/>
          <w:szCs w:val="22"/>
        </w:rPr>
        <w:t xml:space="preserve">Finanční podpora akce z finančních prostředků ELEKTROWIN a.s.: </w:t>
      </w:r>
      <w:r w:rsidRPr="00341B84">
        <w:rPr>
          <w:rFonts w:ascii="Arial" w:hAnsi="Arial" w:cs="Arial"/>
          <w:b/>
          <w:bCs/>
          <w:sz w:val="22"/>
          <w:szCs w:val="22"/>
        </w:rPr>
        <w:t> 25.000 Kč</w:t>
      </w:r>
      <w:r w:rsidRPr="00341B84">
        <w:rPr>
          <w:rFonts w:ascii="Arial" w:hAnsi="Arial" w:cs="Arial"/>
          <w:sz w:val="22"/>
          <w:szCs w:val="22"/>
        </w:rPr>
        <w:t xml:space="preserve"> </w:t>
      </w:r>
      <w:r w:rsidRPr="00341B84">
        <w:rPr>
          <w:rFonts w:ascii="Arial" w:hAnsi="Arial" w:cs="Arial"/>
          <w:b/>
          <w:bCs/>
          <w:sz w:val="22"/>
          <w:szCs w:val="22"/>
        </w:rPr>
        <w:t>bez DPH</w:t>
      </w:r>
    </w:p>
    <w:p w14:paraId="262BBE31" w14:textId="77777777" w:rsidR="00464104" w:rsidRPr="00341B84" w:rsidRDefault="00464104" w:rsidP="00464104">
      <w:pPr>
        <w:jc w:val="both"/>
        <w:rPr>
          <w:rFonts w:ascii="Arial" w:hAnsi="Arial" w:cs="Arial"/>
          <w:b/>
          <w:bCs/>
          <w:sz w:val="22"/>
          <w:szCs w:val="22"/>
        </w:rPr>
      </w:pPr>
    </w:p>
    <w:p w14:paraId="772C2F2B" w14:textId="77777777" w:rsidR="00464104" w:rsidRPr="00341B84" w:rsidRDefault="00464104" w:rsidP="00464104">
      <w:pPr>
        <w:numPr>
          <w:ilvl w:val="0"/>
          <w:numId w:val="5"/>
        </w:numPr>
        <w:jc w:val="both"/>
        <w:rPr>
          <w:rFonts w:ascii="Arial" w:hAnsi="Arial" w:cs="Arial"/>
          <w:b/>
          <w:sz w:val="22"/>
          <w:szCs w:val="22"/>
          <w:u w:val="single"/>
        </w:rPr>
      </w:pPr>
      <w:r w:rsidRPr="00341B84">
        <w:rPr>
          <w:rFonts w:ascii="Arial" w:hAnsi="Arial" w:cs="Arial"/>
          <w:b/>
          <w:sz w:val="22"/>
          <w:szCs w:val="22"/>
          <w:u w:val="single"/>
        </w:rPr>
        <w:t xml:space="preserve">Soutěž obcí </w:t>
      </w:r>
      <w:r w:rsidRPr="00341B84">
        <w:rPr>
          <w:rFonts w:ascii="Arial" w:hAnsi="Arial" w:cs="Arial"/>
          <w:b/>
          <w:sz w:val="22"/>
          <w:szCs w:val="22"/>
        </w:rPr>
        <w:t xml:space="preserve">– </w:t>
      </w:r>
      <w:r w:rsidRPr="00341B84">
        <w:rPr>
          <w:rFonts w:ascii="Arial" w:hAnsi="Arial" w:cs="Arial"/>
          <w:sz w:val="22"/>
          <w:szCs w:val="22"/>
        </w:rPr>
        <w:t>Bude organizováno vyhodnocení soutěže obcí ve zpětném odběru vyřazených elektrospotřebičů.</w:t>
      </w:r>
      <w:r w:rsidRPr="00341B84">
        <w:rPr>
          <w:rFonts w:ascii="Arial" w:hAnsi="Arial" w:cs="Arial"/>
          <w:b/>
          <w:sz w:val="22"/>
          <w:szCs w:val="22"/>
        </w:rPr>
        <w:t xml:space="preserve"> </w:t>
      </w:r>
      <w:r w:rsidRPr="00341B84">
        <w:rPr>
          <w:rFonts w:ascii="Arial" w:hAnsi="Arial" w:cs="Arial"/>
          <w:sz w:val="22"/>
          <w:szCs w:val="22"/>
        </w:rPr>
        <w:t xml:space="preserve">ELEKTROWIN a.s. v rámci soutěže obcí vyhodnotí obec s </w:t>
      </w:r>
      <w:r w:rsidRPr="00341B84">
        <w:rPr>
          <w:rFonts w:ascii="Arial" w:hAnsi="Arial" w:cs="Arial"/>
          <w:bCs/>
          <w:sz w:val="22"/>
          <w:szCs w:val="22"/>
        </w:rPr>
        <w:t xml:space="preserve">největším procentní nárůstem chlazení, velkých a malých spotřebičů </w:t>
      </w:r>
      <w:r w:rsidRPr="00341B84">
        <w:rPr>
          <w:rFonts w:ascii="Arial" w:hAnsi="Arial" w:cs="Arial"/>
          <w:bCs/>
          <w:color w:val="000000"/>
          <w:sz w:val="22"/>
          <w:szCs w:val="22"/>
          <w:shd w:val="clear" w:color="auto" w:fill="FFFFFF"/>
        </w:rPr>
        <w:t xml:space="preserve">za hodnocené </w:t>
      </w:r>
      <w:proofErr w:type="gramStart"/>
      <w:r w:rsidRPr="00341B84">
        <w:rPr>
          <w:rFonts w:ascii="Arial" w:hAnsi="Arial" w:cs="Arial"/>
          <w:bCs/>
          <w:color w:val="000000"/>
          <w:sz w:val="22"/>
          <w:szCs w:val="22"/>
          <w:shd w:val="clear" w:color="auto" w:fill="FFFFFF"/>
        </w:rPr>
        <w:t>období</w:t>
      </w:r>
      <w:proofErr w:type="gramEnd"/>
      <w:r w:rsidRPr="00341B84">
        <w:rPr>
          <w:rFonts w:ascii="Arial" w:hAnsi="Arial" w:cs="Arial"/>
          <w:bCs/>
          <w:color w:val="000000"/>
          <w:sz w:val="22"/>
          <w:szCs w:val="22"/>
          <w:shd w:val="clear" w:color="auto" w:fill="FFFFFF"/>
        </w:rPr>
        <w:t xml:space="preserve"> a to v kategoriích</w:t>
      </w:r>
      <w:r w:rsidRPr="00341B84">
        <w:rPr>
          <w:rFonts w:ascii="Arial" w:hAnsi="Arial" w:cs="Arial"/>
          <w:bCs/>
          <w:sz w:val="22"/>
          <w:szCs w:val="22"/>
        </w:rPr>
        <w:t>:</w:t>
      </w:r>
    </w:p>
    <w:p w14:paraId="751A8EDC" w14:textId="77777777" w:rsidR="00464104" w:rsidRPr="00341B84" w:rsidRDefault="00464104" w:rsidP="00464104">
      <w:pPr>
        <w:numPr>
          <w:ilvl w:val="0"/>
          <w:numId w:val="9"/>
        </w:numPr>
        <w:jc w:val="both"/>
        <w:rPr>
          <w:rFonts w:ascii="Arial" w:hAnsi="Arial" w:cs="Arial"/>
          <w:b/>
          <w:sz w:val="22"/>
          <w:szCs w:val="22"/>
        </w:rPr>
      </w:pPr>
      <w:r w:rsidRPr="00341B84">
        <w:rPr>
          <w:rFonts w:ascii="Arial" w:hAnsi="Arial" w:cs="Arial"/>
          <w:b/>
          <w:sz w:val="22"/>
          <w:szCs w:val="22"/>
        </w:rPr>
        <w:t xml:space="preserve">obec/město do 4 000 obyvatel, </w:t>
      </w:r>
    </w:p>
    <w:p w14:paraId="16E79313" w14:textId="77777777" w:rsidR="00464104" w:rsidRPr="00341B84" w:rsidRDefault="00464104" w:rsidP="00464104">
      <w:pPr>
        <w:numPr>
          <w:ilvl w:val="0"/>
          <w:numId w:val="9"/>
        </w:numPr>
        <w:jc w:val="both"/>
        <w:rPr>
          <w:rFonts w:ascii="Arial" w:hAnsi="Arial" w:cs="Arial"/>
          <w:sz w:val="22"/>
          <w:szCs w:val="22"/>
        </w:rPr>
      </w:pPr>
      <w:r w:rsidRPr="00341B84">
        <w:rPr>
          <w:rFonts w:ascii="Arial" w:hAnsi="Arial" w:cs="Arial"/>
          <w:b/>
          <w:sz w:val="22"/>
          <w:szCs w:val="22"/>
        </w:rPr>
        <w:t>obec/město od 4 001 do 9 999 obyvatel,</w:t>
      </w:r>
    </w:p>
    <w:p w14:paraId="4D01EAD6" w14:textId="77777777" w:rsidR="00464104" w:rsidRPr="00341B84" w:rsidRDefault="00464104" w:rsidP="00464104">
      <w:pPr>
        <w:numPr>
          <w:ilvl w:val="0"/>
          <w:numId w:val="9"/>
        </w:numPr>
        <w:jc w:val="both"/>
        <w:rPr>
          <w:rFonts w:ascii="Arial" w:hAnsi="Arial" w:cs="Arial"/>
          <w:b/>
          <w:bCs/>
          <w:sz w:val="22"/>
          <w:szCs w:val="22"/>
          <w:u w:val="single"/>
        </w:rPr>
      </w:pPr>
      <w:r w:rsidRPr="00341B84">
        <w:rPr>
          <w:rFonts w:ascii="Arial" w:hAnsi="Arial" w:cs="Arial"/>
          <w:b/>
          <w:bCs/>
          <w:sz w:val="22"/>
          <w:szCs w:val="22"/>
        </w:rPr>
        <w:t xml:space="preserve">město nad 10 000 obyvatel </w:t>
      </w:r>
    </w:p>
    <w:p w14:paraId="5D9AF0A7" w14:textId="77777777" w:rsidR="00464104" w:rsidRPr="00341B84" w:rsidRDefault="00464104" w:rsidP="00464104">
      <w:pPr>
        <w:jc w:val="both"/>
        <w:rPr>
          <w:rFonts w:ascii="Arial" w:hAnsi="Arial" w:cs="Arial"/>
          <w:b/>
          <w:sz w:val="22"/>
          <w:szCs w:val="22"/>
          <w:u w:val="single"/>
        </w:rPr>
      </w:pPr>
    </w:p>
    <w:p w14:paraId="1C0F1980" w14:textId="77777777" w:rsidR="00464104" w:rsidRPr="00341B84" w:rsidRDefault="00464104" w:rsidP="00464104">
      <w:pPr>
        <w:ind w:left="708"/>
        <w:jc w:val="both"/>
        <w:rPr>
          <w:rFonts w:ascii="Arial" w:hAnsi="Arial" w:cs="Arial"/>
          <w:b/>
          <w:bCs/>
          <w:sz w:val="22"/>
          <w:szCs w:val="22"/>
        </w:rPr>
      </w:pPr>
      <w:r w:rsidRPr="00341B84">
        <w:rPr>
          <w:rFonts w:ascii="Arial" w:hAnsi="Arial" w:cs="Arial"/>
          <w:bCs/>
          <w:sz w:val="22"/>
          <w:szCs w:val="22"/>
        </w:rPr>
        <w:t xml:space="preserve">Finanční podpora akce z finančních prostředků ELEKTROWIN a.s.: </w:t>
      </w:r>
      <w:r w:rsidRPr="00341B84">
        <w:rPr>
          <w:rFonts w:ascii="Arial" w:hAnsi="Arial" w:cs="Arial"/>
          <w:b/>
          <w:bCs/>
          <w:sz w:val="22"/>
          <w:szCs w:val="22"/>
        </w:rPr>
        <w:t>40.000 Kč</w:t>
      </w:r>
      <w:r w:rsidRPr="00341B84">
        <w:rPr>
          <w:rFonts w:ascii="Arial" w:hAnsi="Arial" w:cs="Arial"/>
          <w:sz w:val="22"/>
          <w:szCs w:val="22"/>
        </w:rPr>
        <w:t xml:space="preserve"> </w:t>
      </w:r>
      <w:r w:rsidRPr="00341B84">
        <w:rPr>
          <w:rFonts w:ascii="Arial" w:hAnsi="Arial" w:cs="Arial"/>
          <w:b/>
          <w:bCs/>
          <w:sz w:val="22"/>
          <w:szCs w:val="22"/>
        </w:rPr>
        <w:t>bez DPH</w:t>
      </w:r>
    </w:p>
    <w:p w14:paraId="0A520D62" w14:textId="77777777" w:rsidR="00464104" w:rsidRPr="00341B84" w:rsidRDefault="00464104" w:rsidP="00464104">
      <w:pPr>
        <w:jc w:val="both"/>
        <w:rPr>
          <w:rFonts w:ascii="Arial" w:hAnsi="Arial" w:cs="Arial"/>
          <w:bCs/>
          <w:sz w:val="22"/>
          <w:szCs w:val="22"/>
        </w:rPr>
      </w:pPr>
    </w:p>
    <w:p w14:paraId="08D81FD4" w14:textId="77777777" w:rsidR="00464104" w:rsidRPr="00341B84" w:rsidRDefault="00464104" w:rsidP="00464104">
      <w:pPr>
        <w:numPr>
          <w:ilvl w:val="0"/>
          <w:numId w:val="5"/>
        </w:numPr>
        <w:jc w:val="both"/>
        <w:rPr>
          <w:rFonts w:ascii="Arial" w:hAnsi="Arial" w:cs="Arial"/>
          <w:b/>
          <w:sz w:val="22"/>
          <w:szCs w:val="22"/>
          <w:u w:val="single"/>
        </w:rPr>
      </w:pPr>
      <w:r w:rsidRPr="00341B84">
        <w:rPr>
          <w:rFonts w:ascii="Arial" w:hAnsi="Arial" w:cs="Arial"/>
          <w:b/>
          <w:sz w:val="22"/>
          <w:szCs w:val="22"/>
          <w:u w:val="single"/>
        </w:rPr>
        <w:t>Společné akce Zlínského kraje a ELEKTROWIN a.s.</w:t>
      </w:r>
      <w:r w:rsidRPr="00341B84">
        <w:rPr>
          <w:rFonts w:ascii="Arial" w:hAnsi="Arial" w:cs="Arial"/>
          <w:b/>
          <w:sz w:val="22"/>
          <w:szCs w:val="22"/>
        </w:rPr>
        <w:t xml:space="preserve"> </w:t>
      </w:r>
      <w:r w:rsidRPr="00341B84">
        <w:rPr>
          <w:rFonts w:ascii="Arial" w:hAnsi="Arial" w:cs="Arial"/>
          <w:sz w:val="22"/>
          <w:szCs w:val="22"/>
        </w:rPr>
        <w:t xml:space="preserve">- v rámci spolupráce na projektu zajistí ELEKTROWIN a.s., na základě výsledku jednání pracovní skupiny dle čl. II odst. 2 Dohody, akce pro veřejnost zaměřené na šíření informovanosti </w:t>
      </w:r>
      <w:r w:rsidRPr="00341B84">
        <w:rPr>
          <w:rFonts w:ascii="Arial" w:hAnsi="Arial" w:cs="Arial"/>
          <w:sz w:val="22"/>
          <w:szCs w:val="22"/>
        </w:rPr>
        <w:br/>
        <w:t xml:space="preserve">o zpětném odběru elektrozařízení (např. akce typu Přelez, přeskoč, recykluj, akce v ZOO Zlín, informační stánek na vybraných akcích většího rozsahu v obcích Zlínského kraje, Den kraje apod.) včetně vytvoření vhodných propagačních předmětů a tiskovin. Zlínský kraj zajistí účast zástupce kraje a propagaci a podporu aktivit prostřednictvím zveřejnění informací o jejich konání na sociálních sítích, webových stránkách kraje a komunikační kampaně o třídění odpadů </w:t>
      </w:r>
      <w:hyperlink r:id="rId8" w:history="1">
        <w:r w:rsidRPr="00341B84">
          <w:rPr>
            <w:rFonts w:ascii="Arial" w:hAnsi="Arial" w:cs="Arial"/>
            <w:color w:val="0000FF"/>
            <w:sz w:val="22"/>
            <w:szCs w:val="22"/>
            <w:u w:val="single"/>
          </w:rPr>
          <w:t>www.trideni.cz</w:t>
        </w:r>
      </w:hyperlink>
      <w:r w:rsidRPr="00341B84">
        <w:rPr>
          <w:rFonts w:ascii="Arial" w:hAnsi="Arial" w:cs="Arial"/>
          <w:sz w:val="22"/>
          <w:szCs w:val="22"/>
        </w:rPr>
        <w:t xml:space="preserve"> a v tištěných periodicích kraje. Alternativně, v případě, že nebude možné uspořádat venkovní akce, nebo je nebude možno pořádat v plném rozsahu, bude zajištěno vytvoření </w:t>
      </w:r>
      <w:proofErr w:type="spellStart"/>
      <w:r w:rsidRPr="00341B84">
        <w:rPr>
          <w:rFonts w:ascii="Arial" w:hAnsi="Arial" w:cs="Arial"/>
          <w:sz w:val="22"/>
          <w:szCs w:val="22"/>
        </w:rPr>
        <w:t>videospotu</w:t>
      </w:r>
      <w:proofErr w:type="spellEnd"/>
      <w:r w:rsidRPr="00341B84">
        <w:rPr>
          <w:rFonts w:ascii="Arial" w:hAnsi="Arial" w:cs="Arial"/>
          <w:sz w:val="22"/>
          <w:szCs w:val="22"/>
        </w:rPr>
        <w:t xml:space="preserve"> zaměřeného na třídění elektroodpadu a jeho zpracování ve Zlínském kraji a jeho zveřejnění na sociálních sítích, v krajských médiích </w:t>
      </w:r>
      <w:proofErr w:type="gramStart"/>
      <w:r w:rsidRPr="00341B84">
        <w:rPr>
          <w:rFonts w:ascii="Arial" w:hAnsi="Arial" w:cs="Arial"/>
          <w:sz w:val="22"/>
          <w:szCs w:val="22"/>
        </w:rPr>
        <w:t>apod..</w:t>
      </w:r>
      <w:proofErr w:type="gramEnd"/>
    </w:p>
    <w:p w14:paraId="6649B678" w14:textId="77777777" w:rsidR="00464104" w:rsidRPr="00341B84" w:rsidRDefault="00464104" w:rsidP="00464104">
      <w:pPr>
        <w:jc w:val="both"/>
        <w:rPr>
          <w:rFonts w:ascii="Arial" w:hAnsi="Arial" w:cs="Arial"/>
          <w:bCs/>
          <w:sz w:val="22"/>
          <w:szCs w:val="22"/>
        </w:rPr>
      </w:pPr>
    </w:p>
    <w:p w14:paraId="34EA0B1C" w14:textId="77777777" w:rsidR="00464104" w:rsidRPr="00341B84" w:rsidRDefault="00464104" w:rsidP="00464104">
      <w:pPr>
        <w:jc w:val="both"/>
        <w:rPr>
          <w:rFonts w:ascii="Arial" w:hAnsi="Arial" w:cs="Arial"/>
          <w:b/>
          <w:sz w:val="22"/>
          <w:szCs w:val="22"/>
        </w:rPr>
      </w:pPr>
      <w:r w:rsidRPr="00341B84">
        <w:rPr>
          <w:rFonts w:ascii="Arial" w:hAnsi="Arial" w:cs="Arial"/>
          <w:bCs/>
          <w:sz w:val="22"/>
          <w:szCs w:val="22"/>
        </w:rPr>
        <w:t xml:space="preserve">Finanční podpora akce z finančních prostředků </w:t>
      </w:r>
      <w:proofErr w:type="gramStart"/>
      <w:r w:rsidRPr="00341B84">
        <w:rPr>
          <w:rFonts w:ascii="Arial" w:hAnsi="Arial" w:cs="Arial"/>
          <w:bCs/>
          <w:sz w:val="22"/>
          <w:szCs w:val="22"/>
        </w:rPr>
        <w:t>ELEKTROWIN  a.s.</w:t>
      </w:r>
      <w:proofErr w:type="gramEnd"/>
      <w:r w:rsidRPr="00341B84">
        <w:rPr>
          <w:rFonts w:ascii="Arial" w:hAnsi="Arial" w:cs="Arial"/>
          <w:bCs/>
          <w:sz w:val="22"/>
          <w:szCs w:val="22"/>
        </w:rPr>
        <w:t xml:space="preserve">:  </w:t>
      </w:r>
      <w:r w:rsidRPr="00341B84">
        <w:rPr>
          <w:rFonts w:ascii="Arial" w:hAnsi="Arial" w:cs="Arial"/>
          <w:b/>
          <w:sz w:val="22"/>
          <w:szCs w:val="22"/>
        </w:rPr>
        <w:t>147.645 Kč</w:t>
      </w:r>
      <w:r w:rsidRPr="00341B84">
        <w:rPr>
          <w:rFonts w:ascii="Arial" w:hAnsi="Arial" w:cs="Arial"/>
          <w:sz w:val="22"/>
          <w:szCs w:val="22"/>
        </w:rPr>
        <w:t xml:space="preserve"> </w:t>
      </w:r>
      <w:r w:rsidRPr="00341B84">
        <w:rPr>
          <w:rFonts w:ascii="Arial" w:hAnsi="Arial" w:cs="Arial"/>
          <w:b/>
          <w:sz w:val="22"/>
          <w:szCs w:val="22"/>
        </w:rPr>
        <w:t>bez DPH</w:t>
      </w:r>
    </w:p>
    <w:p w14:paraId="11B91222" w14:textId="36AE971E" w:rsidR="00464104" w:rsidRPr="00341B84" w:rsidRDefault="00464104" w:rsidP="00464104">
      <w:pPr>
        <w:jc w:val="both"/>
        <w:rPr>
          <w:rFonts w:ascii="Arial" w:hAnsi="Arial" w:cs="Arial"/>
          <w:b/>
          <w:sz w:val="22"/>
          <w:szCs w:val="22"/>
        </w:rPr>
      </w:pPr>
      <w:r w:rsidRPr="00341B84">
        <w:rPr>
          <w:rFonts w:ascii="Arial" w:hAnsi="Arial" w:cs="Arial"/>
          <w:bCs/>
          <w:sz w:val="22"/>
          <w:szCs w:val="22"/>
        </w:rPr>
        <w:lastRenderedPageBreak/>
        <w:t xml:space="preserve">Finanční podpora akce z finančních prostředků Zlínského kraje: </w:t>
      </w:r>
      <w:r w:rsidRPr="00341B84">
        <w:rPr>
          <w:rFonts w:ascii="Arial" w:hAnsi="Arial" w:cs="Arial"/>
          <w:b/>
          <w:bCs/>
          <w:sz w:val="22"/>
          <w:szCs w:val="22"/>
        </w:rPr>
        <w:t>82.644 Kč bez DPH (100.000 Kč vč. DPH)</w:t>
      </w:r>
    </w:p>
    <w:p w14:paraId="03F9577B" w14:textId="77777777" w:rsidR="00464104" w:rsidRPr="00341B84" w:rsidRDefault="00464104" w:rsidP="00464104">
      <w:pPr>
        <w:jc w:val="both"/>
        <w:rPr>
          <w:rFonts w:ascii="Arial" w:hAnsi="Arial" w:cs="Arial"/>
          <w:bCs/>
          <w:sz w:val="22"/>
          <w:szCs w:val="22"/>
        </w:rPr>
      </w:pPr>
    </w:p>
    <w:p w14:paraId="0F9DB4D8" w14:textId="77777777" w:rsidR="00464104" w:rsidRPr="00341B84" w:rsidRDefault="00464104" w:rsidP="00464104">
      <w:pPr>
        <w:spacing w:before="120"/>
        <w:jc w:val="both"/>
        <w:rPr>
          <w:rFonts w:ascii="Arial" w:hAnsi="Arial" w:cs="Arial"/>
          <w:b/>
          <w:bCs/>
          <w:sz w:val="22"/>
          <w:szCs w:val="22"/>
          <w:u w:val="single"/>
        </w:rPr>
      </w:pPr>
      <w:r w:rsidRPr="00341B84">
        <w:rPr>
          <w:rFonts w:ascii="Arial" w:hAnsi="Arial" w:cs="Arial"/>
          <w:b/>
          <w:sz w:val="22"/>
          <w:szCs w:val="22"/>
          <w:u w:val="single"/>
        </w:rPr>
        <w:t xml:space="preserve">Rozpočet </w:t>
      </w:r>
      <w:r w:rsidRPr="00341B84">
        <w:rPr>
          <w:rFonts w:ascii="Arial" w:hAnsi="Arial" w:cs="Arial"/>
          <w:b/>
          <w:bCs/>
          <w:sz w:val="22"/>
          <w:szCs w:val="22"/>
          <w:u w:val="single"/>
        </w:rPr>
        <w:t>pro rok 2024</w:t>
      </w:r>
    </w:p>
    <w:p w14:paraId="302F8DEC" w14:textId="77777777" w:rsidR="00464104" w:rsidRPr="00341B84" w:rsidRDefault="00464104" w:rsidP="00464104">
      <w:pPr>
        <w:spacing w:before="120" w:after="120"/>
        <w:jc w:val="both"/>
        <w:rPr>
          <w:rFonts w:ascii="Arial" w:hAnsi="Arial" w:cs="Arial"/>
          <w:sz w:val="22"/>
          <w:szCs w:val="22"/>
        </w:rPr>
      </w:pPr>
      <w:r w:rsidRPr="00341B84">
        <w:rPr>
          <w:rFonts w:ascii="Arial" w:hAnsi="Arial" w:cs="Arial"/>
          <w:sz w:val="22"/>
          <w:szCs w:val="22"/>
        </w:rPr>
        <w:t>V roce 2024 bude plnění ELEKTROWIN a.s. v předpokládané výši 353 030,- Kč (bez DPH) a sice na základě výběru (poptávky) dodavatelů. Výše podílu Zlínského kraje bude</w:t>
      </w:r>
      <w:r w:rsidRPr="00341B84">
        <w:rPr>
          <w:rFonts w:ascii="Arial" w:hAnsi="Arial" w:cs="Arial"/>
          <w:color w:val="FF0000"/>
          <w:sz w:val="22"/>
          <w:szCs w:val="22"/>
        </w:rPr>
        <w:t xml:space="preserve"> </w:t>
      </w:r>
      <w:r w:rsidRPr="00341B84">
        <w:rPr>
          <w:rFonts w:ascii="Arial" w:hAnsi="Arial" w:cs="Arial"/>
          <w:sz w:val="22"/>
          <w:szCs w:val="22"/>
        </w:rPr>
        <w:t xml:space="preserve">v navrhované výši do 82 644,- Kč (bez DPH), resp. </w:t>
      </w:r>
      <w:proofErr w:type="gramStart"/>
      <w:r w:rsidRPr="00341B84">
        <w:rPr>
          <w:rFonts w:ascii="Arial" w:hAnsi="Arial" w:cs="Arial"/>
          <w:sz w:val="22"/>
          <w:szCs w:val="22"/>
        </w:rPr>
        <w:t>100.000,-</w:t>
      </w:r>
      <w:proofErr w:type="gramEnd"/>
      <w:r w:rsidRPr="00341B84">
        <w:rPr>
          <w:rFonts w:ascii="Arial" w:hAnsi="Arial" w:cs="Arial"/>
          <w:sz w:val="22"/>
          <w:szCs w:val="22"/>
        </w:rPr>
        <w:t xml:space="preserve"> Kč vč. DPH.</w:t>
      </w:r>
    </w:p>
    <w:p w14:paraId="2B646D34" w14:textId="77777777" w:rsidR="00464104" w:rsidRPr="00341B84" w:rsidRDefault="00464104" w:rsidP="00464104">
      <w:pPr>
        <w:spacing w:before="120" w:after="120"/>
        <w:jc w:val="both"/>
        <w:rPr>
          <w:rFonts w:ascii="Arial" w:hAnsi="Arial" w:cs="Arial"/>
          <w:sz w:val="22"/>
          <w:szCs w:val="22"/>
        </w:rPr>
      </w:pPr>
      <w:r w:rsidRPr="00341B84">
        <w:rPr>
          <w:rFonts w:ascii="Arial" w:hAnsi="Arial" w:cs="Arial"/>
          <w:sz w:val="22"/>
          <w:szCs w:val="22"/>
        </w:rPr>
        <w:t xml:space="preserve">V případě, že vyčleněné prostředky nebude možné prokazatelně využít pro konkrétní, níže uvedené, finanční plnění, je možné, na základě projednání a odsouhlasení pracovní skupinou, provést jejich přesun na jinou aktivitu uvedenou v tomto dodatku.  </w:t>
      </w:r>
    </w:p>
    <w:p w14:paraId="46BE2EE5" w14:textId="77777777" w:rsidR="00464104" w:rsidRPr="00341B84" w:rsidRDefault="00464104" w:rsidP="00464104">
      <w:pPr>
        <w:spacing w:before="120"/>
        <w:ind w:left="720"/>
        <w:jc w:val="both"/>
        <w:rPr>
          <w:rFonts w:ascii="Arial" w:hAnsi="Arial"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976"/>
        <w:gridCol w:w="2410"/>
        <w:gridCol w:w="2234"/>
      </w:tblGrid>
      <w:tr w:rsidR="00464104" w:rsidRPr="00341B84" w14:paraId="01D2AFBB" w14:textId="77777777" w:rsidTr="002A39AE">
        <w:trPr>
          <w:trHeight w:val="630"/>
        </w:trPr>
        <w:tc>
          <w:tcPr>
            <w:tcW w:w="1668" w:type="dxa"/>
            <w:shd w:val="clear" w:color="auto" w:fill="D0CECE"/>
          </w:tcPr>
          <w:p w14:paraId="0919DA37"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Oblast</w:t>
            </w:r>
          </w:p>
        </w:tc>
        <w:tc>
          <w:tcPr>
            <w:tcW w:w="2976" w:type="dxa"/>
            <w:shd w:val="clear" w:color="auto" w:fill="D0CECE"/>
          </w:tcPr>
          <w:p w14:paraId="3FD52D59" w14:textId="77777777" w:rsidR="00464104" w:rsidRPr="00341B84" w:rsidRDefault="00464104" w:rsidP="00464104">
            <w:pPr>
              <w:spacing w:before="120"/>
              <w:ind w:left="720"/>
              <w:jc w:val="both"/>
              <w:rPr>
                <w:rFonts w:ascii="Arial" w:hAnsi="Arial" w:cs="Arial"/>
                <w:b/>
                <w:sz w:val="22"/>
                <w:szCs w:val="22"/>
              </w:rPr>
            </w:pPr>
            <w:r w:rsidRPr="00341B84">
              <w:rPr>
                <w:rFonts w:ascii="Arial" w:hAnsi="Arial" w:cs="Arial"/>
                <w:b/>
                <w:sz w:val="22"/>
                <w:szCs w:val="22"/>
              </w:rPr>
              <w:t>Specifikace akce</w:t>
            </w:r>
          </w:p>
        </w:tc>
        <w:tc>
          <w:tcPr>
            <w:tcW w:w="2410" w:type="dxa"/>
            <w:shd w:val="clear" w:color="auto" w:fill="D0CECE"/>
          </w:tcPr>
          <w:p w14:paraId="7039801A"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 xml:space="preserve">Zlínský kraj </w:t>
            </w:r>
          </w:p>
        </w:tc>
        <w:tc>
          <w:tcPr>
            <w:tcW w:w="2234" w:type="dxa"/>
            <w:shd w:val="clear" w:color="auto" w:fill="D0CECE"/>
          </w:tcPr>
          <w:p w14:paraId="68F45E4D"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ELEKTROWIN a.s.</w:t>
            </w:r>
          </w:p>
        </w:tc>
      </w:tr>
      <w:tr w:rsidR="00464104" w:rsidRPr="00341B84" w14:paraId="2D8A4BEC" w14:textId="77777777" w:rsidTr="002A39AE">
        <w:tblPrEx>
          <w:tblLook w:val="04A0" w:firstRow="1" w:lastRow="0" w:firstColumn="1" w:lastColumn="0" w:noHBand="0" w:noVBand="1"/>
        </w:tblPrEx>
        <w:tc>
          <w:tcPr>
            <w:tcW w:w="1668" w:type="dxa"/>
            <w:vMerge w:val="restart"/>
          </w:tcPr>
          <w:p w14:paraId="0AAC40CD" w14:textId="77777777" w:rsidR="00464104" w:rsidRPr="00341B84" w:rsidRDefault="00464104" w:rsidP="00464104">
            <w:pPr>
              <w:spacing w:before="120"/>
              <w:ind w:left="720"/>
              <w:jc w:val="both"/>
              <w:rPr>
                <w:rFonts w:ascii="Arial" w:hAnsi="Arial" w:cs="Arial"/>
                <w:sz w:val="22"/>
                <w:szCs w:val="22"/>
              </w:rPr>
            </w:pPr>
          </w:p>
          <w:p w14:paraId="0D3E9DDE"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Provozní náklady</w:t>
            </w:r>
          </w:p>
        </w:tc>
        <w:tc>
          <w:tcPr>
            <w:tcW w:w="2976" w:type="dxa"/>
          </w:tcPr>
          <w:p w14:paraId="363B0A42"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Výměnný systém WINTEJNER a klecové kontejnery – stabilní sběrné kontejnery</w:t>
            </w:r>
          </w:p>
        </w:tc>
        <w:tc>
          <w:tcPr>
            <w:tcW w:w="2410" w:type="dxa"/>
          </w:tcPr>
          <w:p w14:paraId="12054E8A"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w:t>
            </w:r>
          </w:p>
        </w:tc>
        <w:tc>
          <w:tcPr>
            <w:tcW w:w="2234" w:type="dxa"/>
          </w:tcPr>
          <w:p w14:paraId="70A2B86E" w14:textId="77777777" w:rsidR="00464104" w:rsidRPr="00341B84" w:rsidRDefault="00464104" w:rsidP="00464104">
            <w:pPr>
              <w:spacing w:before="120"/>
              <w:ind w:left="720"/>
              <w:jc w:val="both"/>
              <w:rPr>
                <w:rFonts w:ascii="Arial" w:hAnsi="Arial" w:cs="Arial"/>
                <w:sz w:val="22"/>
                <w:szCs w:val="22"/>
              </w:rPr>
            </w:pPr>
            <w:r w:rsidRPr="00341B84">
              <w:rPr>
                <w:rFonts w:ascii="Arial" w:hAnsi="Arial" w:cs="Arial"/>
                <w:sz w:val="22"/>
                <w:szCs w:val="22"/>
              </w:rPr>
              <w:t xml:space="preserve">-    </w:t>
            </w:r>
          </w:p>
        </w:tc>
      </w:tr>
      <w:tr w:rsidR="00464104" w:rsidRPr="00341B84" w14:paraId="6579AF6B" w14:textId="77777777" w:rsidTr="002A39AE">
        <w:tblPrEx>
          <w:tblLook w:val="04A0" w:firstRow="1" w:lastRow="0" w:firstColumn="1" w:lastColumn="0" w:noHBand="0" w:noVBand="1"/>
        </w:tblPrEx>
        <w:tc>
          <w:tcPr>
            <w:tcW w:w="1668" w:type="dxa"/>
            <w:vMerge/>
          </w:tcPr>
          <w:p w14:paraId="2D8F6F3B" w14:textId="77777777" w:rsidR="00464104" w:rsidRPr="00341B84" w:rsidRDefault="00464104" w:rsidP="00464104">
            <w:pPr>
              <w:spacing w:before="120"/>
              <w:ind w:left="720"/>
              <w:jc w:val="both"/>
              <w:rPr>
                <w:rFonts w:ascii="Arial" w:hAnsi="Arial" w:cs="Arial"/>
                <w:sz w:val="22"/>
                <w:szCs w:val="22"/>
              </w:rPr>
            </w:pPr>
          </w:p>
        </w:tc>
        <w:tc>
          <w:tcPr>
            <w:tcW w:w="2976" w:type="dxa"/>
          </w:tcPr>
          <w:p w14:paraId="72AB03BF"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Podpora z Motivačního programu</w:t>
            </w:r>
          </w:p>
        </w:tc>
        <w:tc>
          <w:tcPr>
            <w:tcW w:w="2410" w:type="dxa"/>
          </w:tcPr>
          <w:p w14:paraId="25BBA402"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0</w:t>
            </w:r>
          </w:p>
        </w:tc>
        <w:tc>
          <w:tcPr>
            <w:tcW w:w="2234" w:type="dxa"/>
          </w:tcPr>
          <w:p w14:paraId="2A8FB0AD"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115.385,-</w:t>
            </w:r>
            <w:proofErr w:type="gramEnd"/>
          </w:p>
        </w:tc>
      </w:tr>
      <w:tr w:rsidR="00464104" w:rsidRPr="00341B84" w14:paraId="1E13FC2B" w14:textId="77777777" w:rsidTr="002A39AE">
        <w:tblPrEx>
          <w:tblLook w:val="04A0" w:firstRow="1" w:lastRow="0" w:firstColumn="1" w:lastColumn="0" w:noHBand="0" w:noVBand="1"/>
        </w:tblPrEx>
        <w:trPr>
          <w:trHeight w:val="634"/>
        </w:trPr>
        <w:tc>
          <w:tcPr>
            <w:tcW w:w="1668" w:type="dxa"/>
            <w:vMerge/>
          </w:tcPr>
          <w:p w14:paraId="084B7C28" w14:textId="77777777" w:rsidR="00464104" w:rsidRPr="00341B84" w:rsidRDefault="00464104" w:rsidP="00464104">
            <w:pPr>
              <w:spacing w:before="120"/>
              <w:ind w:left="720"/>
              <w:jc w:val="both"/>
              <w:rPr>
                <w:rFonts w:ascii="Arial" w:hAnsi="Arial" w:cs="Arial"/>
                <w:sz w:val="22"/>
                <w:szCs w:val="22"/>
              </w:rPr>
            </w:pPr>
          </w:p>
        </w:tc>
        <w:tc>
          <w:tcPr>
            <w:tcW w:w="2976" w:type="dxa"/>
          </w:tcPr>
          <w:p w14:paraId="52E6CDAB"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Umístění sběrových nádob hasičům</w:t>
            </w:r>
          </w:p>
        </w:tc>
        <w:tc>
          <w:tcPr>
            <w:tcW w:w="2410" w:type="dxa"/>
          </w:tcPr>
          <w:p w14:paraId="7B6CE95E"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0</w:t>
            </w:r>
          </w:p>
        </w:tc>
        <w:tc>
          <w:tcPr>
            <w:tcW w:w="2234" w:type="dxa"/>
          </w:tcPr>
          <w:p w14:paraId="1C41A998"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5.000,-</w:t>
            </w:r>
            <w:proofErr w:type="gramEnd"/>
          </w:p>
        </w:tc>
      </w:tr>
      <w:tr w:rsidR="00464104" w:rsidRPr="00341B84" w14:paraId="07180B87" w14:textId="77777777" w:rsidTr="002A39AE">
        <w:tblPrEx>
          <w:tblLook w:val="04A0" w:firstRow="1" w:lastRow="0" w:firstColumn="1" w:lastColumn="0" w:noHBand="0" w:noVBand="1"/>
        </w:tblPrEx>
        <w:tc>
          <w:tcPr>
            <w:tcW w:w="1668" w:type="dxa"/>
            <w:vMerge w:val="restart"/>
          </w:tcPr>
          <w:p w14:paraId="7FBDD030" w14:textId="77777777" w:rsidR="00464104" w:rsidRPr="00341B84" w:rsidRDefault="00464104" w:rsidP="00464104">
            <w:pPr>
              <w:spacing w:before="120"/>
              <w:jc w:val="both"/>
              <w:rPr>
                <w:rFonts w:ascii="Arial" w:hAnsi="Arial" w:cs="Arial"/>
                <w:sz w:val="22"/>
                <w:szCs w:val="22"/>
              </w:rPr>
            </w:pPr>
          </w:p>
          <w:p w14:paraId="2FE8C816"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Náklady na informovanost</w:t>
            </w:r>
          </w:p>
        </w:tc>
        <w:tc>
          <w:tcPr>
            <w:tcW w:w="2976" w:type="dxa"/>
          </w:tcPr>
          <w:p w14:paraId="1050B735"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Články a inzerce</w:t>
            </w:r>
          </w:p>
        </w:tc>
        <w:tc>
          <w:tcPr>
            <w:tcW w:w="2410" w:type="dxa"/>
          </w:tcPr>
          <w:p w14:paraId="03911D1C"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0</w:t>
            </w:r>
          </w:p>
        </w:tc>
        <w:tc>
          <w:tcPr>
            <w:tcW w:w="2234" w:type="dxa"/>
          </w:tcPr>
          <w:p w14:paraId="71167F21" w14:textId="6F735EE9" w:rsidR="00464104" w:rsidRPr="00341B84" w:rsidRDefault="00517C73" w:rsidP="00464104">
            <w:pPr>
              <w:spacing w:before="120"/>
              <w:jc w:val="both"/>
              <w:rPr>
                <w:rFonts w:ascii="Arial" w:hAnsi="Arial" w:cs="Arial"/>
                <w:sz w:val="22"/>
                <w:szCs w:val="22"/>
              </w:rPr>
            </w:pPr>
            <w:proofErr w:type="gramStart"/>
            <w:r w:rsidRPr="00341B84">
              <w:rPr>
                <w:rFonts w:ascii="Arial" w:hAnsi="Arial" w:cs="Arial"/>
                <w:sz w:val="22"/>
                <w:szCs w:val="22"/>
              </w:rPr>
              <w:t>13</w:t>
            </w:r>
            <w:r w:rsidR="00464104" w:rsidRPr="00341B84">
              <w:rPr>
                <w:rFonts w:ascii="Arial" w:hAnsi="Arial" w:cs="Arial"/>
                <w:sz w:val="22"/>
                <w:szCs w:val="22"/>
              </w:rPr>
              <w:t>.000,-</w:t>
            </w:r>
            <w:proofErr w:type="gramEnd"/>
          </w:p>
        </w:tc>
      </w:tr>
      <w:tr w:rsidR="00464104" w:rsidRPr="00341B84" w14:paraId="5269FE2B" w14:textId="77777777" w:rsidTr="002A39AE">
        <w:tblPrEx>
          <w:tblLook w:val="04A0" w:firstRow="1" w:lastRow="0" w:firstColumn="1" w:lastColumn="0" w:noHBand="0" w:noVBand="1"/>
        </w:tblPrEx>
        <w:trPr>
          <w:trHeight w:val="634"/>
        </w:trPr>
        <w:tc>
          <w:tcPr>
            <w:tcW w:w="1668" w:type="dxa"/>
            <w:vMerge/>
          </w:tcPr>
          <w:p w14:paraId="407EFB4E" w14:textId="77777777" w:rsidR="00464104" w:rsidRPr="00341B84" w:rsidRDefault="00464104" w:rsidP="00464104">
            <w:pPr>
              <w:spacing w:before="120"/>
              <w:ind w:left="720"/>
              <w:jc w:val="both"/>
              <w:rPr>
                <w:rFonts w:ascii="Arial" w:hAnsi="Arial" w:cs="Arial"/>
                <w:sz w:val="22"/>
                <w:szCs w:val="22"/>
              </w:rPr>
            </w:pPr>
          </w:p>
        </w:tc>
        <w:tc>
          <w:tcPr>
            <w:tcW w:w="2976" w:type="dxa"/>
          </w:tcPr>
          <w:p w14:paraId="627BC131"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 xml:space="preserve">Společné akce s Krajem, Den kraje, ZOO, další venkovní akce atp., propagace prostřednictvím </w:t>
            </w:r>
            <w:proofErr w:type="spellStart"/>
            <w:r w:rsidRPr="00341B84">
              <w:rPr>
                <w:rFonts w:ascii="Arial" w:hAnsi="Arial" w:cs="Arial"/>
                <w:sz w:val="22"/>
                <w:szCs w:val="22"/>
              </w:rPr>
              <w:t>videospotu</w:t>
            </w:r>
            <w:proofErr w:type="spellEnd"/>
            <w:r w:rsidRPr="00341B84">
              <w:rPr>
                <w:rFonts w:ascii="Arial" w:hAnsi="Arial" w:cs="Arial"/>
                <w:sz w:val="22"/>
                <w:szCs w:val="22"/>
              </w:rPr>
              <w:t xml:space="preserve">    </w:t>
            </w:r>
          </w:p>
        </w:tc>
        <w:tc>
          <w:tcPr>
            <w:tcW w:w="2410" w:type="dxa"/>
            <w:vMerge w:val="restart"/>
          </w:tcPr>
          <w:p w14:paraId="40AF572F" w14:textId="77777777" w:rsidR="00464104" w:rsidRPr="00341B84" w:rsidRDefault="00464104" w:rsidP="00464104">
            <w:pPr>
              <w:spacing w:before="120"/>
              <w:jc w:val="both"/>
              <w:rPr>
                <w:rFonts w:ascii="Arial" w:hAnsi="Arial" w:cs="Arial"/>
                <w:sz w:val="22"/>
                <w:szCs w:val="22"/>
              </w:rPr>
            </w:pPr>
          </w:p>
          <w:p w14:paraId="21B06C82" w14:textId="77777777" w:rsidR="00464104" w:rsidRPr="00341B84" w:rsidRDefault="00464104" w:rsidP="00464104">
            <w:pPr>
              <w:spacing w:before="120"/>
              <w:jc w:val="both"/>
              <w:rPr>
                <w:rFonts w:ascii="Arial" w:hAnsi="Arial" w:cs="Arial"/>
                <w:sz w:val="22"/>
                <w:szCs w:val="22"/>
              </w:rPr>
            </w:pPr>
          </w:p>
          <w:p w14:paraId="083F872E"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82.644,-</w:t>
            </w:r>
            <w:proofErr w:type="gramEnd"/>
          </w:p>
          <w:p w14:paraId="08319BEC" w14:textId="77777777" w:rsidR="00464104" w:rsidRPr="00341B84" w:rsidRDefault="00464104" w:rsidP="00464104">
            <w:pPr>
              <w:spacing w:before="120"/>
              <w:jc w:val="both"/>
              <w:rPr>
                <w:rFonts w:ascii="Arial" w:hAnsi="Arial" w:cs="Arial"/>
                <w:sz w:val="22"/>
                <w:szCs w:val="22"/>
              </w:rPr>
            </w:pPr>
            <w:r w:rsidRPr="00341B84">
              <w:rPr>
                <w:rFonts w:ascii="Arial" w:hAnsi="Arial" w:cs="Arial"/>
                <w:sz w:val="22"/>
                <w:szCs w:val="22"/>
              </w:rPr>
              <w:t xml:space="preserve"> </w:t>
            </w:r>
          </w:p>
        </w:tc>
        <w:tc>
          <w:tcPr>
            <w:tcW w:w="2234" w:type="dxa"/>
          </w:tcPr>
          <w:p w14:paraId="723766A7"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147.645,-</w:t>
            </w:r>
            <w:proofErr w:type="gramEnd"/>
          </w:p>
        </w:tc>
      </w:tr>
      <w:tr w:rsidR="00464104" w:rsidRPr="00341B84" w14:paraId="2E6DDACE" w14:textId="77777777" w:rsidTr="002A39AE">
        <w:tblPrEx>
          <w:tblLook w:val="04A0" w:firstRow="1" w:lastRow="0" w:firstColumn="1" w:lastColumn="0" w:noHBand="0" w:noVBand="1"/>
        </w:tblPrEx>
        <w:tc>
          <w:tcPr>
            <w:tcW w:w="1668" w:type="dxa"/>
            <w:vMerge/>
          </w:tcPr>
          <w:p w14:paraId="474887DF" w14:textId="77777777" w:rsidR="00464104" w:rsidRPr="00341B84" w:rsidRDefault="00464104" w:rsidP="00464104">
            <w:pPr>
              <w:spacing w:before="120"/>
              <w:ind w:left="720"/>
              <w:jc w:val="both"/>
              <w:rPr>
                <w:rFonts w:ascii="Arial" w:hAnsi="Arial" w:cs="Arial"/>
                <w:sz w:val="22"/>
                <w:szCs w:val="22"/>
              </w:rPr>
            </w:pPr>
          </w:p>
        </w:tc>
        <w:tc>
          <w:tcPr>
            <w:tcW w:w="2976" w:type="dxa"/>
            <w:tcBorders>
              <w:top w:val="single" w:sz="4" w:space="0" w:color="000000"/>
              <w:bottom w:val="single" w:sz="4" w:space="0" w:color="000000"/>
            </w:tcBorders>
          </w:tcPr>
          <w:p w14:paraId="44913E18"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Školení a vzdělávání obcí</w:t>
            </w:r>
          </w:p>
        </w:tc>
        <w:tc>
          <w:tcPr>
            <w:tcW w:w="2410" w:type="dxa"/>
            <w:vMerge/>
          </w:tcPr>
          <w:p w14:paraId="1307EE85" w14:textId="77777777" w:rsidR="00464104" w:rsidRPr="00341B84" w:rsidRDefault="00464104" w:rsidP="00464104">
            <w:pPr>
              <w:spacing w:before="120"/>
              <w:jc w:val="both"/>
              <w:rPr>
                <w:rFonts w:ascii="Arial" w:hAnsi="Arial" w:cs="Arial"/>
                <w:sz w:val="22"/>
                <w:szCs w:val="22"/>
              </w:rPr>
            </w:pPr>
          </w:p>
        </w:tc>
        <w:tc>
          <w:tcPr>
            <w:tcW w:w="2234" w:type="dxa"/>
            <w:tcBorders>
              <w:top w:val="single" w:sz="4" w:space="0" w:color="000000"/>
              <w:bottom w:val="single" w:sz="4" w:space="0" w:color="000000"/>
              <w:right w:val="single" w:sz="4" w:space="0" w:color="000000"/>
            </w:tcBorders>
          </w:tcPr>
          <w:p w14:paraId="325628F4"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25.000,-</w:t>
            </w:r>
            <w:proofErr w:type="gramEnd"/>
          </w:p>
        </w:tc>
      </w:tr>
      <w:tr w:rsidR="00464104" w:rsidRPr="00341B84" w14:paraId="43972E71" w14:textId="77777777" w:rsidTr="002A39AE">
        <w:tblPrEx>
          <w:tblLook w:val="04A0" w:firstRow="1" w:lastRow="0" w:firstColumn="1" w:lastColumn="0" w:noHBand="0" w:noVBand="1"/>
        </w:tblPrEx>
        <w:tc>
          <w:tcPr>
            <w:tcW w:w="1668" w:type="dxa"/>
            <w:vMerge/>
          </w:tcPr>
          <w:p w14:paraId="476FD339" w14:textId="77777777" w:rsidR="00464104" w:rsidRPr="00341B84" w:rsidRDefault="00464104" w:rsidP="00464104">
            <w:pPr>
              <w:spacing w:before="120"/>
              <w:ind w:left="720"/>
              <w:jc w:val="both"/>
              <w:rPr>
                <w:rFonts w:ascii="Arial" w:hAnsi="Arial" w:cs="Arial"/>
                <w:sz w:val="22"/>
                <w:szCs w:val="22"/>
              </w:rPr>
            </w:pPr>
          </w:p>
        </w:tc>
        <w:tc>
          <w:tcPr>
            <w:tcW w:w="2976" w:type="dxa"/>
            <w:tcBorders>
              <w:top w:val="single" w:sz="4" w:space="0" w:color="000000"/>
              <w:bottom w:val="single" w:sz="4" w:space="0" w:color="000000"/>
            </w:tcBorders>
          </w:tcPr>
          <w:p w14:paraId="28070900" w14:textId="77777777" w:rsidR="00464104" w:rsidRPr="00341B84" w:rsidRDefault="00464104" w:rsidP="00464104">
            <w:pPr>
              <w:spacing w:before="120"/>
              <w:rPr>
                <w:rFonts w:ascii="Arial" w:hAnsi="Arial" w:cs="Arial"/>
                <w:sz w:val="22"/>
                <w:szCs w:val="22"/>
              </w:rPr>
            </w:pPr>
            <w:r w:rsidRPr="00341B84">
              <w:rPr>
                <w:rFonts w:ascii="Arial" w:hAnsi="Arial" w:cs="Arial"/>
                <w:sz w:val="22"/>
                <w:szCs w:val="22"/>
              </w:rPr>
              <w:t>Soutěž obcí</w:t>
            </w:r>
          </w:p>
        </w:tc>
        <w:tc>
          <w:tcPr>
            <w:tcW w:w="2410" w:type="dxa"/>
            <w:vMerge/>
            <w:tcBorders>
              <w:bottom w:val="single" w:sz="4" w:space="0" w:color="000000"/>
            </w:tcBorders>
          </w:tcPr>
          <w:p w14:paraId="30F10FEE" w14:textId="77777777" w:rsidR="00464104" w:rsidRPr="00341B84" w:rsidRDefault="00464104" w:rsidP="00464104">
            <w:pPr>
              <w:spacing w:before="120"/>
              <w:jc w:val="both"/>
              <w:rPr>
                <w:rFonts w:ascii="Arial" w:hAnsi="Arial" w:cs="Arial"/>
                <w:sz w:val="22"/>
                <w:szCs w:val="22"/>
              </w:rPr>
            </w:pPr>
          </w:p>
        </w:tc>
        <w:tc>
          <w:tcPr>
            <w:tcW w:w="2234" w:type="dxa"/>
            <w:tcBorders>
              <w:top w:val="single" w:sz="4" w:space="0" w:color="000000"/>
              <w:bottom w:val="single" w:sz="4" w:space="0" w:color="000000"/>
              <w:right w:val="single" w:sz="4" w:space="0" w:color="000000"/>
            </w:tcBorders>
          </w:tcPr>
          <w:p w14:paraId="2AFCE984" w14:textId="77777777" w:rsidR="00464104" w:rsidRPr="00341B84" w:rsidRDefault="00464104" w:rsidP="00464104">
            <w:pPr>
              <w:spacing w:before="120"/>
              <w:jc w:val="both"/>
              <w:rPr>
                <w:rFonts w:ascii="Arial" w:hAnsi="Arial" w:cs="Arial"/>
                <w:sz w:val="22"/>
                <w:szCs w:val="22"/>
              </w:rPr>
            </w:pPr>
            <w:proofErr w:type="gramStart"/>
            <w:r w:rsidRPr="00341B84">
              <w:rPr>
                <w:rFonts w:ascii="Arial" w:hAnsi="Arial" w:cs="Arial"/>
                <w:sz w:val="22"/>
                <w:szCs w:val="22"/>
              </w:rPr>
              <w:t>40.000,-</w:t>
            </w:r>
            <w:proofErr w:type="gramEnd"/>
          </w:p>
        </w:tc>
      </w:tr>
      <w:tr w:rsidR="00464104" w:rsidRPr="00341B84" w14:paraId="31CB190D" w14:textId="77777777" w:rsidTr="002A39AE">
        <w:tblPrEx>
          <w:tblLook w:val="04A0" w:firstRow="1" w:lastRow="0" w:firstColumn="1" w:lastColumn="0" w:noHBand="0" w:noVBand="1"/>
        </w:tblPrEx>
        <w:tc>
          <w:tcPr>
            <w:tcW w:w="1668" w:type="dxa"/>
            <w:tcBorders>
              <w:top w:val="single" w:sz="4" w:space="0" w:color="000000"/>
              <w:left w:val="single" w:sz="4" w:space="0" w:color="000000"/>
              <w:bottom w:val="single" w:sz="4" w:space="0" w:color="000000"/>
              <w:right w:val="single" w:sz="4" w:space="0" w:color="000000"/>
            </w:tcBorders>
            <w:shd w:val="clear" w:color="auto" w:fill="D0CECE"/>
          </w:tcPr>
          <w:p w14:paraId="19DD7574"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 xml:space="preserve">CELKEM  </w:t>
            </w:r>
          </w:p>
        </w:tc>
        <w:tc>
          <w:tcPr>
            <w:tcW w:w="2976" w:type="dxa"/>
            <w:tcBorders>
              <w:top w:val="single" w:sz="4" w:space="0" w:color="000000"/>
              <w:left w:val="single" w:sz="4" w:space="0" w:color="000000"/>
              <w:bottom w:val="single" w:sz="4" w:space="0" w:color="000000"/>
              <w:right w:val="single" w:sz="4" w:space="0" w:color="000000"/>
            </w:tcBorders>
            <w:shd w:val="clear" w:color="auto" w:fill="D0CECE"/>
          </w:tcPr>
          <w:p w14:paraId="5FEF92CB" w14:textId="77777777" w:rsidR="00464104" w:rsidRPr="00341B84" w:rsidRDefault="00464104" w:rsidP="00464104">
            <w:pPr>
              <w:spacing w:before="120"/>
              <w:jc w:val="both"/>
              <w:rPr>
                <w:rFonts w:ascii="Arial" w:hAnsi="Arial" w:cs="Arial"/>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14:paraId="04DF63AB" w14:textId="77777777" w:rsidR="00464104" w:rsidRPr="00341B84" w:rsidRDefault="00464104" w:rsidP="00464104">
            <w:pPr>
              <w:spacing w:before="120"/>
              <w:jc w:val="both"/>
              <w:rPr>
                <w:rFonts w:ascii="Arial" w:hAnsi="Arial" w:cs="Arial"/>
                <w:b/>
                <w:sz w:val="22"/>
                <w:szCs w:val="22"/>
              </w:rPr>
            </w:pPr>
            <w:proofErr w:type="gramStart"/>
            <w:r w:rsidRPr="00341B84">
              <w:rPr>
                <w:rFonts w:ascii="Arial" w:hAnsi="Arial" w:cs="Arial"/>
                <w:b/>
                <w:sz w:val="22"/>
                <w:szCs w:val="22"/>
              </w:rPr>
              <w:t>82.644,-</w:t>
            </w:r>
            <w:proofErr w:type="gramEnd"/>
            <w:r w:rsidRPr="00341B84">
              <w:rPr>
                <w:rFonts w:ascii="Arial" w:hAnsi="Arial" w:cs="Arial"/>
                <w:b/>
                <w:sz w:val="22"/>
                <w:szCs w:val="22"/>
              </w:rPr>
              <w:t xml:space="preserve"> Kč </w:t>
            </w:r>
          </w:p>
          <w:p w14:paraId="08FF5C82"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bez DPH</w:t>
            </w:r>
          </w:p>
        </w:tc>
        <w:tc>
          <w:tcPr>
            <w:tcW w:w="2234" w:type="dxa"/>
            <w:tcBorders>
              <w:top w:val="single" w:sz="4" w:space="0" w:color="000000"/>
              <w:left w:val="single" w:sz="4" w:space="0" w:color="000000"/>
              <w:bottom w:val="single" w:sz="4" w:space="0" w:color="000000"/>
              <w:right w:val="single" w:sz="4" w:space="0" w:color="000000"/>
            </w:tcBorders>
            <w:shd w:val="clear" w:color="auto" w:fill="D0CECE"/>
          </w:tcPr>
          <w:p w14:paraId="478CA258" w14:textId="380D0A0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3</w:t>
            </w:r>
            <w:r w:rsidR="00517C73" w:rsidRPr="00341B84">
              <w:rPr>
                <w:rFonts w:ascii="Arial" w:hAnsi="Arial" w:cs="Arial"/>
                <w:b/>
                <w:sz w:val="22"/>
                <w:szCs w:val="22"/>
              </w:rPr>
              <w:t>46</w:t>
            </w:r>
            <w:r w:rsidRPr="00341B84">
              <w:rPr>
                <w:rFonts w:ascii="Arial" w:hAnsi="Arial" w:cs="Arial"/>
                <w:b/>
                <w:sz w:val="22"/>
                <w:szCs w:val="22"/>
              </w:rPr>
              <w:t xml:space="preserve"> 030,- Kč </w:t>
            </w:r>
          </w:p>
          <w:p w14:paraId="793CEFDE" w14:textId="77777777" w:rsidR="00464104" w:rsidRPr="00341B84" w:rsidRDefault="00464104" w:rsidP="00464104">
            <w:pPr>
              <w:spacing w:before="120"/>
              <w:jc w:val="both"/>
              <w:rPr>
                <w:rFonts w:ascii="Arial" w:hAnsi="Arial" w:cs="Arial"/>
                <w:b/>
                <w:sz w:val="22"/>
                <w:szCs w:val="22"/>
              </w:rPr>
            </w:pPr>
            <w:r w:rsidRPr="00341B84">
              <w:rPr>
                <w:rFonts w:ascii="Arial" w:hAnsi="Arial" w:cs="Arial"/>
                <w:b/>
                <w:sz w:val="22"/>
                <w:szCs w:val="22"/>
              </w:rPr>
              <w:t xml:space="preserve">bez DPH </w:t>
            </w:r>
          </w:p>
        </w:tc>
      </w:tr>
    </w:tbl>
    <w:p w14:paraId="578CD5DF" w14:textId="77777777" w:rsidR="00464104" w:rsidRPr="00341B84" w:rsidRDefault="00464104" w:rsidP="00464104">
      <w:pPr>
        <w:spacing w:before="120"/>
        <w:ind w:left="720"/>
        <w:jc w:val="both"/>
        <w:rPr>
          <w:rFonts w:ascii="Arial" w:hAnsi="Arial" w:cs="Arial"/>
          <w:sz w:val="22"/>
          <w:szCs w:val="22"/>
        </w:rPr>
      </w:pPr>
      <w:r w:rsidRPr="00341B84">
        <w:rPr>
          <w:rFonts w:ascii="Arial" w:hAnsi="Arial" w:cs="Arial"/>
          <w:sz w:val="22"/>
          <w:szCs w:val="22"/>
        </w:rPr>
        <w:t xml:space="preserve"> </w:t>
      </w:r>
    </w:p>
    <w:p w14:paraId="50F5B729" w14:textId="77777777" w:rsidR="00464104" w:rsidRPr="00341B84" w:rsidRDefault="00464104" w:rsidP="00464104">
      <w:pPr>
        <w:rPr>
          <w:rFonts w:ascii="Arial" w:hAnsi="Arial" w:cs="Arial"/>
          <w:sz w:val="22"/>
          <w:szCs w:val="22"/>
        </w:rPr>
      </w:pPr>
    </w:p>
    <w:p w14:paraId="7D806FFD" w14:textId="77777777" w:rsidR="006B1867" w:rsidRPr="00341B84" w:rsidRDefault="00280688" w:rsidP="00280688">
      <w:pPr>
        <w:jc w:val="both"/>
        <w:rPr>
          <w:rFonts w:ascii="Arial" w:hAnsi="Arial" w:cs="Arial"/>
          <w:sz w:val="22"/>
          <w:szCs w:val="22"/>
        </w:rPr>
      </w:pPr>
      <w:r w:rsidRPr="00341B84">
        <w:rPr>
          <w:rFonts w:ascii="Arial" w:hAnsi="Arial" w:cs="Arial"/>
          <w:b/>
          <w:sz w:val="22"/>
          <w:szCs w:val="22"/>
        </w:rPr>
        <w:t xml:space="preserve"> </w:t>
      </w:r>
      <w:r w:rsidR="009F5BCC" w:rsidRPr="00341B84">
        <w:rPr>
          <w:rFonts w:ascii="Arial" w:hAnsi="Arial" w:cs="Arial"/>
          <w:sz w:val="22"/>
          <w:szCs w:val="22"/>
        </w:rPr>
        <w:t xml:space="preserve"> </w:t>
      </w:r>
    </w:p>
    <w:sectPr w:rsidR="006B1867" w:rsidRPr="00341B84" w:rsidSect="003A777C">
      <w:headerReference w:type="default" r:id="rId9"/>
      <w:footerReference w:type="even" r:id="rId10"/>
      <w:footerReference w:type="default" r:id="rId1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B25D" w14:textId="77777777" w:rsidR="003A777C" w:rsidRDefault="003A777C">
      <w:r>
        <w:separator/>
      </w:r>
    </w:p>
  </w:endnote>
  <w:endnote w:type="continuationSeparator" w:id="0">
    <w:p w14:paraId="5DADBF49" w14:textId="77777777" w:rsidR="003A777C" w:rsidRDefault="003A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19FC" w14:textId="77777777" w:rsidR="00CA3536" w:rsidRDefault="00CA3536" w:rsidP="004620E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28C39EAE" w14:textId="77777777" w:rsidR="00CA3536" w:rsidRDefault="00CA3536" w:rsidP="00A01C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EA5D" w14:textId="77777777" w:rsidR="00CA3536" w:rsidRPr="00577021" w:rsidRDefault="00CA3536" w:rsidP="004620E1">
    <w:pPr>
      <w:pStyle w:val="Zpat"/>
      <w:framePr w:wrap="around" w:vAnchor="text" w:hAnchor="margin" w:xAlign="right" w:y="1"/>
      <w:rPr>
        <w:rStyle w:val="slostrnky"/>
        <w:rFonts w:ascii="Arial" w:hAnsi="Arial" w:cs="Arial"/>
        <w:sz w:val="22"/>
        <w:szCs w:val="22"/>
      </w:rPr>
    </w:pPr>
    <w:r w:rsidRPr="00577021">
      <w:rPr>
        <w:rStyle w:val="slostrnky"/>
        <w:rFonts w:ascii="Arial" w:hAnsi="Arial" w:cs="Arial"/>
        <w:sz w:val="22"/>
        <w:szCs w:val="22"/>
      </w:rPr>
      <w:fldChar w:fldCharType="begin"/>
    </w:r>
    <w:r w:rsidRPr="00577021">
      <w:rPr>
        <w:rStyle w:val="slostrnky"/>
        <w:rFonts w:ascii="Arial" w:hAnsi="Arial" w:cs="Arial"/>
        <w:sz w:val="22"/>
        <w:szCs w:val="22"/>
      </w:rPr>
      <w:instrText xml:space="preserve">PAGE  </w:instrText>
    </w:r>
    <w:r w:rsidRPr="00577021">
      <w:rPr>
        <w:rStyle w:val="slostrnky"/>
        <w:rFonts w:ascii="Arial" w:hAnsi="Arial" w:cs="Arial"/>
        <w:sz w:val="22"/>
        <w:szCs w:val="22"/>
      </w:rPr>
      <w:fldChar w:fldCharType="separate"/>
    </w:r>
    <w:r w:rsidR="00040631">
      <w:rPr>
        <w:rStyle w:val="slostrnky"/>
        <w:rFonts w:ascii="Arial" w:hAnsi="Arial" w:cs="Arial"/>
        <w:noProof/>
        <w:sz w:val="22"/>
        <w:szCs w:val="22"/>
      </w:rPr>
      <w:t>2</w:t>
    </w:r>
    <w:r w:rsidRPr="00577021">
      <w:rPr>
        <w:rStyle w:val="slostrnky"/>
        <w:rFonts w:ascii="Arial" w:hAnsi="Arial" w:cs="Arial"/>
        <w:sz w:val="22"/>
        <w:szCs w:val="22"/>
      </w:rPr>
      <w:fldChar w:fldCharType="end"/>
    </w:r>
    <w:r w:rsidRPr="00577021">
      <w:rPr>
        <w:rStyle w:val="slostrnky"/>
        <w:rFonts w:ascii="Arial" w:hAnsi="Arial" w:cs="Arial"/>
        <w:sz w:val="22"/>
        <w:szCs w:val="22"/>
      </w:rPr>
      <w:t>/</w:t>
    </w:r>
    <w:r w:rsidRPr="00577021">
      <w:rPr>
        <w:rStyle w:val="slostrnky"/>
        <w:rFonts w:ascii="Arial" w:hAnsi="Arial" w:cs="Arial"/>
        <w:sz w:val="22"/>
        <w:szCs w:val="22"/>
      </w:rPr>
      <w:fldChar w:fldCharType="begin"/>
    </w:r>
    <w:r w:rsidRPr="00577021">
      <w:rPr>
        <w:rStyle w:val="slostrnky"/>
        <w:rFonts w:ascii="Arial" w:hAnsi="Arial" w:cs="Arial"/>
        <w:sz w:val="22"/>
        <w:szCs w:val="22"/>
      </w:rPr>
      <w:instrText xml:space="preserve"> NUMPAGES </w:instrText>
    </w:r>
    <w:r w:rsidRPr="00577021">
      <w:rPr>
        <w:rStyle w:val="slostrnky"/>
        <w:rFonts w:ascii="Arial" w:hAnsi="Arial" w:cs="Arial"/>
        <w:sz w:val="22"/>
        <w:szCs w:val="22"/>
      </w:rPr>
      <w:fldChar w:fldCharType="separate"/>
    </w:r>
    <w:r w:rsidR="00040631">
      <w:rPr>
        <w:rStyle w:val="slostrnky"/>
        <w:rFonts w:ascii="Arial" w:hAnsi="Arial" w:cs="Arial"/>
        <w:noProof/>
        <w:sz w:val="22"/>
        <w:szCs w:val="22"/>
      </w:rPr>
      <w:t>5</w:t>
    </w:r>
    <w:r w:rsidRPr="00577021">
      <w:rPr>
        <w:rStyle w:val="slostrnky"/>
        <w:rFonts w:ascii="Arial" w:hAnsi="Arial" w:cs="Arial"/>
        <w:sz w:val="22"/>
        <w:szCs w:val="22"/>
      </w:rPr>
      <w:fldChar w:fldCharType="end"/>
    </w:r>
  </w:p>
  <w:p w14:paraId="4D8FAA5B" w14:textId="77777777" w:rsidR="00CA3536" w:rsidRDefault="00CA3536" w:rsidP="00A01CB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55D3" w14:textId="77777777" w:rsidR="003A777C" w:rsidRDefault="003A777C">
      <w:r>
        <w:separator/>
      </w:r>
    </w:p>
  </w:footnote>
  <w:footnote w:type="continuationSeparator" w:id="0">
    <w:p w14:paraId="244E83CB" w14:textId="77777777" w:rsidR="003A777C" w:rsidRDefault="003A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7A27" w14:textId="77777777" w:rsidR="00834C03" w:rsidRPr="00F74E4E" w:rsidRDefault="00834C03" w:rsidP="00437D6A">
    <w:pPr>
      <w:pStyle w:val="Zhlav"/>
      <w:tabs>
        <w:tab w:val="clear" w:pos="4536"/>
        <w:tab w:val="clear" w:pos="9072"/>
        <w:tab w:val="left" w:pos="6970"/>
      </w:tabs>
      <w:rPr>
        <w:rFonts w:ascii="Arial" w:hAnsi="Arial" w:cs="Arial"/>
        <w:sz w:val="22"/>
        <w:szCs w:val="22"/>
      </w:rPr>
    </w:pPr>
  </w:p>
  <w:p w14:paraId="08ADD45B" w14:textId="77777777" w:rsidR="00834C03" w:rsidRDefault="00834C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5A26"/>
    <w:multiLevelType w:val="hybridMultilevel"/>
    <w:tmpl w:val="7702054C"/>
    <w:lvl w:ilvl="0" w:tplc="00C4CD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96FFA"/>
    <w:multiLevelType w:val="hybridMultilevel"/>
    <w:tmpl w:val="B1C8B1CC"/>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 w15:restartNumberingAfterBreak="0">
    <w:nsid w:val="1D963C75"/>
    <w:multiLevelType w:val="hybridMultilevel"/>
    <w:tmpl w:val="C8AE503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1E160DD"/>
    <w:multiLevelType w:val="hybridMultilevel"/>
    <w:tmpl w:val="2B00FA0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502"/>
        </w:tabs>
        <w:ind w:left="502" w:hanging="360"/>
      </w:pPr>
    </w:lvl>
    <w:lvl w:ilvl="2" w:tplc="3DC2A7D8">
      <w:start w:val="1"/>
      <w:numFmt w:val="bullet"/>
      <w:lvlText w:val="-"/>
      <w:lvlJc w:val="left"/>
      <w:pPr>
        <w:tabs>
          <w:tab w:val="num" w:pos="2340"/>
        </w:tabs>
        <w:ind w:left="2340" w:hanging="360"/>
      </w:pPr>
      <w:rPr>
        <w:rFonts w:ascii="Times New Roman" w:eastAsia="Calibri" w:hAnsi="Times New Roman" w:cs="Times New Roman" w:hint="default"/>
      </w:rPr>
    </w:lvl>
    <w:lvl w:ilvl="3" w:tplc="D5D839C8">
      <w:start w:val="1"/>
      <w:numFmt w:val="lowerRoman"/>
      <w:lvlText w:val="%4)"/>
      <w:lvlJc w:val="left"/>
      <w:pPr>
        <w:ind w:left="1571" w:hanging="720"/>
      </w:pPr>
      <w:rPr>
        <w:rFonts w:ascii="Times New Roman" w:eastAsia="Times New Roman" w:hAnsi="Times New Roman" w:cs="Times New Roman"/>
      </w:rPr>
    </w:lvl>
    <w:lvl w:ilvl="4" w:tplc="65C48CAC">
      <w:start w:val="1"/>
      <w:numFmt w:val="low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C41280"/>
    <w:multiLevelType w:val="hybridMultilevel"/>
    <w:tmpl w:val="CC4E4B64"/>
    <w:lvl w:ilvl="0" w:tplc="04050001">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5" w15:restartNumberingAfterBreak="0">
    <w:nsid w:val="2B3D7D12"/>
    <w:multiLevelType w:val="hybridMultilevel"/>
    <w:tmpl w:val="A912A478"/>
    <w:lvl w:ilvl="0" w:tplc="DB644A1A">
      <w:start w:val="1"/>
      <w:numFmt w:val="decimal"/>
      <w:lvlText w:val="%1."/>
      <w:lvlJc w:val="left"/>
      <w:pPr>
        <w:tabs>
          <w:tab w:val="num" w:pos="360"/>
        </w:tabs>
        <w:ind w:left="360" w:hanging="360"/>
      </w:pPr>
      <w:rPr>
        <w:rFonts w:hint="default"/>
        <w:b w:val="0"/>
      </w:rPr>
    </w:lvl>
    <w:lvl w:ilvl="1" w:tplc="04050001">
      <w:start w:val="1"/>
      <w:numFmt w:val="bullet"/>
      <w:lvlText w:val=""/>
      <w:lvlJc w:val="left"/>
      <w:pPr>
        <w:tabs>
          <w:tab w:val="num" w:pos="900"/>
        </w:tabs>
        <w:ind w:left="900" w:hanging="360"/>
      </w:pPr>
      <w:rPr>
        <w:rFonts w:ascii="Symbol" w:hAnsi="Symbol"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D9139B"/>
    <w:multiLevelType w:val="hybridMultilevel"/>
    <w:tmpl w:val="9D569882"/>
    <w:lvl w:ilvl="0" w:tplc="921CC778">
      <w:start w:val="2"/>
      <w:numFmt w:val="lowerLetter"/>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5E4B1ECC"/>
    <w:multiLevelType w:val="hybridMultilevel"/>
    <w:tmpl w:val="3CE0EF7C"/>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502"/>
        </w:tabs>
        <w:ind w:left="502" w:hanging="360"/>
      </w:pPr>
      <w:rPr>
        <w:b/>
      </w:rPr>
    </w:lvl>
    <w:lvl w:ilvl="2" w:tplc="3DC2A7D8">
      <w:start w:val="1"/>
      <w:numFmt w:val="bullet"/>
      <w:lvlText w:val="-"/>
      <w:lvlJc w:val="left"/>
      <w:pPr>
        <w:tabs>
          <w:tab w:val="num" w:pos="2340"/>
        </w:tabs>
        <w:ind w:left="2340" w:hanging="360"/>
      </w:pPr>
      <w:rPr>
        <w:rFonts w:ascii="Times New Roman" w:eastAsia="Calibri" w:hAnsi="Times New Roman" w:cs="Times New Roman" w:hint="default"/>
      </w:rPr>
    </w:lvl>
    <w:lvl w:ilvl="3" w:tplc="D5D839C8">
      <w:start w:val="1"/>
      <w:numFmt w:val="lowerRoman"/>
      <w:lvlText w:val="%4)"/>
      <w:lvlJc w:val="left"/>
      <w:pPr>
        <w:ind w:left="1571" w:hanging="720"/>
      </w:pPr>
      <w:rPr>
        <w:rFonts w:ascii="Times New Roman" w:eastAsia="Times New Roman" w:hAnsi="Times New Roman" w:cs="Times New Roman"/>
      </w:rPr>
    </w:lvl>
    <w:lvl w:ilvl="4" w:tplc="65C48CAC">
      <w:start w:val="1"/>
      <w:numFmt w:val="low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35B6B2D"/>
    <w:multiLevelType w:val="hybridMultilevel"/>
    <w:tmpl w:val="C66CAE46"/>
    <w:lvl w:ilvl="0" w:tplc="3BBE3AD2">
      <w:start w:val="1"/>
      <w:numFmt w:val="decimal"/>
      <w:pStyle w:val="slovanseznam"/>
      <w:lvlText w:val="%1."/>
      <w:lvlJc w:val="left"/>
      <w:pPr>
        <w:tabs>
          <w:tab w:val="num" w:pos="360"/>
        </w:tabs>
        <w:ind w:left="360" w:hanging="360"/>
      </w:pPr>
    </w:lvl>
    <w:lvl w:ilvl="1" w:tplc="A3F2E548">
      <w:start w:val="1"/>
      <w:numFmt w:val="bullet"/>
      <w:lvlText w:val=""/>
      <w:lvlJc w:val="left"/>
      <w:pPr>
        <w:tabs>
          <w:tab w:val="num" w:pos="1440"/>
        </w:tabs>
        <w:ind w:left="1440" w:hanging="360"/>
      </w:pPr>
      <w:rPr>
        <w:rFonts w:ascii="Symbol" w:hAnsi="Symbol" w:hint="default"/>
        <w:color w:val="auto"/>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227C30"/>
    <w:multiLevelType w:val="hybridMultilevel"/>
    <w:tmpl w:val="A566B03E"/>
    <w:lvl w:ilvl="0" w:tplc="B3BEFA46">
      <w:start w:val="1"/>
      <w:numFmt w:val="lowerLetter"/>
      <w:lvlText w:val="%1."/>
      <w:lvlJc w:val="left"/>
      <w:pPr>
        <w:ind w:left="927" w:hanging="360"/>
      </w:pPr>
      <w:rPr>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76E75FF4"/>
    <w:multiLevelType w:val="hybridMultilevel"/>
    <w:tmpl w:val="95FC71F0"/>
    <w:lvl w:ilvl="0" w:tplc="AB9CF8A6">
      <w:start w:val="3"/>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634062245">
    <w:abstractNumId w:val="8"/>
  </w:num>
  <w:num w:numId="2" w16cid:durableId="1169952330">
    <w:abstractNumId w:val="5"/>
  </w:num>
  <w:num w:numId="3" w16cid:durableId="1688142635">
    <w:abstractNumId w:val="0"/>
  </w:num>
  <w:num w:numId="4" w16cid:durableId="1086148738">
    <w:abstractNumId w:val="3"/>
  </w:num>
  <w:num w:numId="5" w16cid:durableId="1553497337">
    <w:abstractNumId w:val="6"/>
  </w:num>
  <w:num w:numId="6" w16cid:durableId="772439335">
    <w:abstractNumId w:val="9"/>
  </w:num>
  <w:num w:numId="7" w16cid:durableId="264004396">
    <w:abstractNumId w:val="1"/>
  </w:num>
  <w:num w:numId="8" w16cid:durableId="1654681596">
    <w:abstractNumId w:val="2"/>
  </w:num>
  <w:num w:numId="9" w16cid:durableId="2008360092">
    <w:abstractNumId w:val="4"/>
  </w:num>
  <w:num w:numId="10" w16cid:durableId="725881097">
    <w:abstractNumId w:val="10"/>
  </w:num>
  <w:num w:numId="11" w16cid:durableId="113660449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B5"/>
    <w:rsid w:val="000002CA"/>
    <w:rsid w:val="00002E6F"/>
    <w:rsid w:val="00005DE8"/>
    <w:rsid w:val="00012B68"/>
    <w:rsid w:val="00013274"/>
    <w:rsid w:val="0001658E"/>
    <w:rsid w:val="00024FEA"/>
    <w:rsid w:val="00037FAE"/>
    <w:rsid w:val="00040631"/>
    <w:rsid w:val="00044FFB"/>
    <w:rsid w:val="00050C74"/>
    <w:rsid w:val="000510DB"/>
    <w:rsid w:val="00052944"/>
    <w:rsid w:val="00053AB0"/>
    <w:rsid w:val="0005470A"/>
    <w:rsid w:val="00054E40"/>
    <w:rsid w:val="00055BEC"/>
    <w:rsid w:val="00057F08"/>
    <w:rsid w:val="00062FFC"/>
    <w:rsid w:val="00067E75"/>
    <w:rsid w:val="00070325"/>
    <w:rsid w:val="000731CE"/>
    <w:rsid w:val="0007786F"/>
    <w:rsid w:val="0008456B"/>
    <w:rsid w:val="0008632D"/>
    <w:rsid w:val="00096851"/>
    <w:rsid w:val="000A63C2"/>
    <w:rsid w:val="000B51F8"/>
    <w:rsid w:val="000C2085"/>
    <w:rsid w:val="000C26FE"/>
    <w:rsid w:val="000C32EE"/>
    <w:rsid w:val="000C7F5A"/>
    <w:rsid w:val="000D3175"/>
    <w:rsid w:val="000D42E3"/>
    <w:rsid w:val="000D6772"/>
    <w:rsid w:val="000E035C"/>
    <w:rsid w:val="000F0868"/>
    <w:rsid w:val="000F3E54"/>
    <w:rsid w:val="000F60B6"/>
    <w:rsid w:val="000F66B9"/>
    <w:rsid w:val="00106E2E"/>
    <w:rsid w:val="0012030B"/>
    <w:rsid w:val="00123BE0"/>
    <w:rsid w:val="00127865"/>
    <w:rsid w:val="0013150B"/>
    <w:rsid w:val="00131C79"/>
    <w:rsid w:val="001328ED"/>
    <w:rsid w:val="0013653D"/>
    <w:rsid w:val="0013654E"/>
    <w:rsid w:val="00136CC5"/>
    <w:rsid w:val="00141F37"/>
    <w:rsid w:val="00145929"/>
    <w:rsid w:val="00146EDB"/>
    <w:rsid w:val="00154E12"/>
    <w:rsid w:val="00155D21"/>
    <w:rsid w:val="0015749A"/>
    <w:rsid w:val="001663CB"/>
    <w:rsid w:val="0017246B"/>
    <w:rsid w:val="00172EC1"/>
    <w:rsid w:val="00175E07"/>
    <w:rsid w:val="00176131"/>
    <w:rsid w:val="00181DD6"/>
    <w:rsid w:val="00185EFF"/>
    <w:rsid w:val="001941BE"/>
    <w:rsid w:val="001A36E9"/>
    <w:rsid w:val="001B4224"/>
    <w:rsid w:val="001C3943"/>
    <w:rsid w:val="001D04C3"/>
    <w:rsid w:val="001D4858"/>
    <w:rsid w:val="001E1E25"/>
    <w:rsid w:val="001E6BF5"/>
    <w:rsid w:val="001F2EDE"/>
    <w:rsid w:val="001F3C39"/>
    <w:rsid w:val="001F5856"/>
    <w:rsid w:val="001F5D80"/>
    <w:rsid w:val="001F5DF1"/>
    <w:rsid w:val="00203DDB"/>
    <w:rsid w:val="0021248D"/>
    <w:rsid w:val="002136BF"/>
    <w:rsid w:val="00216CC1"/>
    <w:rsid w:val="00224364"/>
    <w:rsid w:val="00224CE7"/>
    <w:rsid w:val="00230B2D"/>
    <w:rsid w:val="00241E75"/>
    <w:rsid w:val="002459D9"/>
    <w:rsid w:val="00246E29"/>
    <w:rsid w:val="00246F05"/>
    <w:rsid w:val="00254DB4"/>
    <w:rsid w:val="00265F0C"/>
    <w:rsid w:val="00266B32"/>
    <w:rsid w:val="00280688"/>
    <w:rsid w:val="00280E2B"/>
    <w:rsid w:val="00282626"/>
    <w:rsid w:val="00284CA2"/>
    <w:rsid w:val="00287850"/>
    <w:rsid w:val="00294AAC"/>
    <w:rsid w:val="00297A67"/>
    <w:rsid w:val="002A0868"/>
    <w:rsid w:val="002A2BAF"/>
    <w:rsid w:val="002A39AE"/>
    <w:rsid w:val="002E0CDC"/>
    <w:rsid w:val="002E1F68"/>
    <w:rsid w:val="002E5123"/>
    <w:rsid w:val="002E5D42"/>
    <w:rsid w:val="002E6C0C"/>
    <w:rsid w:val="002E768C"/>
    <w:rsid w:val="002F02DE"/>
    <w:rsid w:val="002F18EA"/>
    <w:rsid w:val="002F7487"/>
    <w:rsid w:val="002F782E"/>
    <w:rsid w:val="00303FFA"/>
    <w:rsid w:val="00305C86"/>
    <w:rsid w:val="00306DFC"/>
    <w:rsid w:val="00312D43"/>
    <w:rsid w:val="0032162D"/>
    <w:rsid w:val="0032450A"/>
    <w:rsid w:val="003360EF"/>
    <w:rsid w:val="00337859"/>
    <w:rsid w:val="00340AE6"/>
    <w:rsid w:val="00341B84"/>
    <w:rsid w:val="00345376"/>
    <w:rsid w:val="00347024"/>
    <w:rsid w:val="00347677"/>
    <w:rsid w:val="003607B7"/>
    <w:rsid w:val="003610F4"/>
    <w:rsid w:val="00365CE0"/>
    <w:rsid w:val="0037186B"/>
    <w:rsid w:val="00376B1C"/>
    <w:rsid w:val="00382B2B"/>
    <w:rsid w:val="00383E2F"/>
    <w:rsid w:val="00393B7B"/>
    <w:rsid w:val="00394982"/>
    <w:rsid w:val="003A04F1"/>
    <w:rsid w:val="003A09AF"/>
    <w:rsid w:val="003A273B"/>
    <w:rsid w:val="003A2D73"/>
    <w:rsid w:val="003A2D7E"/>
    <w:rsid w:val="003A31A2"/>
    <w:rsid w:val="003A59E3"/>
    <w:rsid w:val="003A777C"/>
    <w:rsid w:val="003B0455"/>
    <w:rsid w:val="003B0BA5"/>
    <w:rsid w:val="003B15F2"/>
    <w:rsid w:val="003B2826"/>
    <w:rsid w:val="003B7405"/>
    <w:rsid w:val="003C4BD3"/>
    <w:rsid w:val="003D3924"/>
    <w:rsid w:val="003D3AB5"/>
    <w:rsid w:val="003D7074"/>
    <w:rsid w:val="003E04AF"/>
    <w:rsid w:val="003E05C8"/>
    <w:rsid w:val="003E2F10"/>
    <w:rsid w:val="003F0D00"/>
    <w:rsid w:val="003F37AE"/>
    <w:rsid w:val="003F39F3"/>
    <w:rsid w:val="003F4A6B"/>
    <w:rsid w:val="003F78C6"/>
    <w:rsid w:val="00401B64"/>
    <w:rsid w:val="00401C66"/>
    <w:rsid w:val="00415D96"/>
    <w:rsid w:val="004161C4"/>
    <w:rsid w:val="00417B68"/>
    <w:rsid w:val="004237B4"/>
    <w:rsid w:val="004312C8"/>
    <w:rsid w:val="0043752D"/>
    <w:rsid w:val="00437D6A"/>
    <w:rsid w:val="004407B0"/>
    <w:rsid w:val="00444E6E"/>
    <w:rsid w:val="00447867"/>
    <w:rsid w:val="00447CEB"/>
    <w:rsid w:val="00450BB7"/>
    <w:rsid w:val="00461035"/>
    <w:rsid w:val="004620E1"/>
    <w:rsid w:val="00464104"/>
    <w:rsid w:val="00466268"/>
    <w:rsid w:val="004707BE"/>
    <w:rsid w:val="0047542D"/>
    <w:rsid w:val="0048199B"/>
    <w:rsid w:val="00483F3D"/>
    <w:rsid w:val="00484274"/>
    <w:rsid w:val="00484B6D"/>
    <w:rsid w:val="00485D85"/>
    <w:rsid w:val="004873A1"/>
    <w:rsid w:val="004B2107"/>
    <w:rsid w:val="004B59E7"/>
    <w:rsid w:val="004B7EDC"/>
    <w:rsid w:val="004C0ACF"/>
    <w:rsid w:val="004C2293"/>
    <w:rsid w:val="004D5873"/>
    <w:rsid w:val="004D5A10"/>
    <w:rsid w:val="004D6CE5"/>
    <w:rsid w:val="004F0E40"/>
    <w:rsid w:val="004F10EE"/>
    <w:rsid w:val="004F1271"/>
    <w:rsid w:val="005002CF"/>
    <w:rsid w:val="00501628"/>
    <w:rsid w:val="00511AF8"/>
    <w:rsid w:val="00511BB9"/>
    <w:rsid w:val="00517C73"/>
    <w:rsid w:val="005268D2"/>
    <w:rsid w:val="005321B5"/>
    <w:rsid w:val="00533B05"/>
    <w:rsid w:val="00533DDD"/>
    <w:rsid w:val="005362E7"/>
    <w:rsid w:val="00537AB7"/>
    <w:rsid w:val="00551212"/>
    <w:rsid w:val="00553306"/>
    <w:rsid w:val="00553E98"/>
    <w:rsid w:val="00557190"/>
    <w:rsid w:val="0056044B"/>
    <w:rsid w:val="00563BA9"/>
    <w:rsid w:val="005640F1"/>
    <w:rsid w:val="00564F51"/>
    <w:rsid w:val="005721BC"/>
    <w:rsid w:val="005729F5"/>
    <w:rsid w:val="00577021"/>
    <w:rsid w:val="00577783"/>
    <w:rsid w:val="00581142"/>
    <w:rsid w:val="00581284"/>
    <w:rsid w:val="005852B1"/>
    <w:rsid w:val="005931F3"/>
    <w:rsid w:val="005A4D46"/>
    <w:rsid w:val="005A6425"/>
    <w:rsid w:val="005B199A"/>
    <w:rsid w:val="005C50BF"/>
    <w:rsid w:val="005C6A7B"/>
    <w:rsid w:val="005D2757"/>
    <w:rsid w:val="005E43F4"/>
    <w:rsid w:val="005F1CC6"/>
    <w:rsid w:val="00607A75"/>
    <w:rsid w:val="00607A96"/>
    <w:rsid w:val="00633AA6"/>
    <w:rsid w:val="00651CB1"/>
    <w:rsid w:val="0065352A"/>
    <w:rsid w:val="00653F45"/>
    <w:rsid w:val="00660E77"/>
    <w:rsid w:val="00660EE6"/>
    <w:rsid w:val="006677E3"/>
    <w:rsid w:val="00675C25"/>
    <w:rsid w:val="006800CE"/>
    <w:rsid w:val="00683BEB"/>
    <w:rsid w:val="00685FC0"/>
    <w:rsid w:val="00686E1C"/>
    <w:rsid w:val="00686E4E"/>
    <w:rsid w:val="00693604"/>
    <w:rsid w:val="006936FA"/>
    <w:rsid w:val="006A1178"/>
    <w:rsid w:val="006A4A6D"/>
    <w:rsid w:val="006A5DC1"/>
    <w:rsid w:val="006A7248"/>
    <w:rsid w:val="006B1867"/>
    <w:rsid w:val="006B4688"/>
    <w:rsid w:val="006C04AD"/>
    <w:rsid w:val="006C08F1"/>
    <w:rsid w:val="006C5D47"/>
    <w:rsid w:val="006D046A"/>
    <w:rsid w:val="006D06B4"/>
    <w:rsid w:val="006D3E60"/>
    <w:rsid w:val="006D7F31"/>
    <w:rsid w:val="006E0546"/>
    <w:rsid w:val="006E35FD"/>
    <w:rsid w:val="006E3C7E"/>
    <w:rsid w:val="006E6A74"/>
    <w:rsid w:val="006E6C8D"/>
    <w:rsid w:val="00704806"/>
    <w:rsid w:val="0070727D"/>
    <w:rsid w:val="00717535"/>
    <w:rsid w:val="00717769"/>
    <w:rsid w:val="00717BF0"/>
    <w:rsid w:val="00720EDA"/>
    <w:rsid w:val="00723011"/>
    <w:rsid w:val="007238B5"/>
    <w:rsid w:val="007243A6"/>
    <w:rsid w:val="00725FDD"/>
    <w:rsid w:val="00734701"/>
    <w:rsid w:val="007350B7"/>
    <w:rsid w:val="00735BE2"/>
    <w:rsid w:val="00735F08"/>
    <w:rsid w:val="00737908"/>
    <w:rsid w:val="00742C92"/>
    <w:rsid w:val="00745CF1"/>
    <w:rsid w:val="00746E24"/>
    <w:rsid w:val="007561C3"/>
    <w:rsid w:val="00764EC6"/>
    <w:rsid w:val="00771C3A"/>
    <w:rsid w:val="0077279F"/>
    <w:rsid w:val="007753AE"/>
    <w:rsid w:val="007809FB"/>
    <w:rsid w:val="007826CD"/>
    <w:rsid w:val="00785AAB"/>
    <w:rsid w:val="00785B0D"/>
    <w:rsid w:val="00790A1C"/>
    <w:rsid w:val="00790E4D"/>
    <w:rsid w:val="00792055"/>
    <w:rsid w:val="0079223D"/>
    <w:rsid w:val="00792311"/>
    <w:rsid w:val="007A0E3C"/>
    <w:rsid w:val="007A15A4"/>
    <w:rsid w:val="007A4CE9"/>
    <w:rsid w:val="007B2813"/>
    <w:rsid w:val="007B49FA"/>
    <w:rsid w:val="007C075B"/>
    <w:rsid w:val="007E5F31"/>
    <w:rsid w:val="007E64B0"/>
    <w:rsid w:val="007F2736"/>
    <w:rsid w:val="007F2E1D"/>
    <w:rsid w:val="007F3828"/>
    <w:rsid w:val="007F536A"/>
    <w:rsid w:val="00800C29"/>
    <w:rsid w:val="00807825"/>
    <w:rsid w:val="0083340C"/>
    <w:rsid w:val="00833B94"/>
    <w:rsid w:val="00834861"/>
    <w:rsid w:val="00834C03"/>
    <w:rsid w:val="008358C3"/>
    <w:rsid w:val="00837119"/>
    <w:rsid w:val="00847F34"/>
    <w:rsid w:val="00852B18"/>
    <w:rsid w:val="00855009"/>
    <w:rsid w:val="0085562A"/>
    <w:rsid w:val="00861FF1"/>
    <w:rsid w:val="00862685"/>
    <w:rsid w:val="00864F7A"/>
    <w:rsid w:val="00870C53"/>
    <w:rsid w:val="00882702"/>
    <w:rsid w:val="0088351F"/>
    <w:rsid w:val="0088725D"/>
    <w:rsid w:val="008904B7"/>
    <w:rsid w:val="00890E82"/>
    <w:rsid w:val="008954DD"/>
    <w:rsid w:val="00897A59"/>
    <w:rsid w:val="008B468E"/>
    <w:rsid w:val="008B4C84"/>
    <w:rsid w:val="008B4E81"/>
    <w:rsid w:val="008B5473"/>
    <w:rsid w:val="008B5ECE"/>
    <w:rsid w:val="008B6CA2"/>
    <w:rsid w:val="008C47A9"/>
    <w:rsid w:val="008C4AF1"/>
    <w:rsid w:val="008D0D10"/>
    <w:rsid w:val="008D2D7F"/>
    <w:rsid w:val="008D35FC"/>
    <w:rsid w:val="008E15DA"/>
    <w:rsid w:val="008E2CED"/>
    <w:rsid w:val="008F0F7E"/>
    <w:rsid w:val="008F7CD8"/>
    <w:rsid w:val="009011A0"/>
    <w:rsid w:val="0090335B"/>
    <w:rsid w:val="00904F20"/>
    <w:rsid w:val="00910E5A"/>
    <w:rsid w:val="009127CC"/>
    <w:rsid w:val="009170E5"/>
    <w:rsid w:val="009369B6"/>
    <w:rsid w:val="009414FD"/>
    <w:rsid w:val="00941FC9"/>
    <w:rsid w:val="00942AA9"/>
    <w:rsid w:val="00950DF6"/>
    <w:rsid w:val="0095593B"/>
    <w:rsid w:val="00965E69"/>
    <w:rsid w:val="0097034E"/>
    <w:rsid w:val="009724ED"/>
    <w:rsid w:val="009732D8"/>
    <w:rsid w:val="00975FFC"/>
    <w:rsid w:val="009812C2"/>
    <w:rsid w:val="009820C3"/>
    <w:rsid w:val="009859B8"/>
    <w:rsid w:val="0099566D"/>
    <w:rsid w:val="00995FE4"/>
    <w:rsid w:val="009A0764"/>
    <w:rsid w:val="009A1ECC"/>
    <w:rsid w:val="009A2CC5"/>
    <w:rsid w:val="009A6C7E"/>
    <w:rsid w:val="009B0743"/>
    <w:rsid w:val="009B1AAB"/>
    <w:rsid w:val="009B579D"/>
    <w:rsid w:val="009C560A"/>
    <w:rsid w:val="009C6430"/>
    <w:rsid w:val="009D0458"/>
    <w:rsid w:val="009E5281"/>
    <w:rsid w:val="009E5F87"/>
    <w:rsid w:val="009E6C63"/>
    <w:rsid w:val="009F1C10"/>
    <w:rsid w:val="009F2034"/>
    <w:rsid w:val="009F402C"/>
    <w:rsid w:val="009F5BCC"/>
    <w:rsid w:val="00A0169B"/>
    <w:rsid w:val="00A017DA"/>
    <w:rsid w:val="00A01A69"/>
    <w:rsid w:val="00A01CB5"/>
    <w:rsid w:val="00A033F1"/>
    <w:rsid w:val="00A03DC3"/>
    <w:rsid w:val="00A073C1"/>
    <w:rsid w:val="00A075A2"/>
    <w:rsid w:val="00A11CC7"/>
    <w:rsid w:val="00A16158"/>
    <w:rsid w:val="00A178EA"/>
    <w:rsid w:val="00A20423"/>
    <w:rsid w:val="00A2078B"/>
    <w:rsid w:val="00A232A9"/>
    <w:rsid w:val="00A2420C"/>
    <w:rsid w:val="00A251C2"/>
    <w:rsid w:val="00A402FA"/>
    <w:rsid w:val="00A41B01"/>
    <w:rsid w:val="00A5137B"/>
    <w:rsid w:val="00A54A29"/>
    <w:rsid w:val="00A56649"/>
    <w:rsid w:val="00A62C7A"/>
    <w:rsid w:val="00A652D8"/>
    <w:rsid w:val="00A66444"/>
    <w:rsid w:val="00A71102"/>
    <w:rsid w:val="00A72DE3"/>
    <w:rsid w:val="00A7490F"/>
    <w:rsid w:val="00A90190"/>
    <w:rsid w:val="00A92333"/>
    <w:rsid w:val="00AA719E"/>
    <w:rsid w:val="00AB2244"/>
    <w:rsid w:val="00AB2C94"/>
    <w:rsid w:val="00AB6D77"/>
    <w:rsid w:val="00AB793B"/>
    <w:rsid w:val="00AC2066"/>
    <w:rsid w:val="00AC270D"/>
    <w:rsid w:val="00AC486F"/>
    <w:rsid w:val="00AD11BC"/>
    <w:rsid w:val="00AD23E2"/>
    <w:rsid w:val="00AD5423"/>
    <w:rsid w:val="00AE365D"/>
    <w:rsid w:val="00AE3DAB"/>
    <w:rsid w:val="00AE6C47"/>
    <w:rsid w:val="00AF0907"/>
    <w:rsid w:val="00AF205B"/>
    <w:rsid w:val="00AF4AE7"/>
    <w:rsid w:val="00AF6610"/>
    <w:rsid w:val="00AF7BA8"/>
    <w:rsid w:val="00B0565F"/>
    <w:rsid w:val="00B10E49"/>
    <w:rsid w:val="00B17FBA"/>
    <w:rsid w:val="00B201ED"/>
    <w:rsid w:val="00B21277"/>
    <w:rsid w:val="00B34021"/>
    <w:rsid w:val="00B3697E"/>
    <w:rsid w:val="00B4481D"/>
    <w:rsid w:val="00B4662E"/>
    <w:rsid w:val="00B57E5F"/>
    <w:rsid w:val="00B621AA"/>
    <w:rsid w:val="00B8273D"/>
    <w:rsid w:val="00B858B2"/>
    <w:rsid w:val="00B94652"/>
    <w:rsid w:val="00BA687D"/>
    <w:rsid w:val="00BB543C"/>
    <w:rsid w:val="00BB725E"/>
    <w:rsid w:val="00BC0F9C"/>
    <w:rsid w:val="00BC14C1"/>
    <w:rsid w:val="00BC1A8B"/>
    <w:rsid w:val="00BC4F4B"/>
    <w:rsid w:val="00BC605D"/>
    <w:rsid w:val="00BC60E3"/>
    <w:rsid w:val="00BD4025"/>
    <w:rsid w:val="00BE328E"/>
    <w:rsid w:val="00BE3917"/>
    <w:rsid w:val="00BE67F9"/>
    <w:rsid w:val="00BF11B6"/>
    <w:rsid w:val="00BF20A5"/>
    <w:rsid w:val="00BF27D4"/>
    <w:rsid w:val="00BF3A26"/>
    <w:rsid w:val="00C00718"/>
    <w:rsid w:val="00C11C98"/>
    <w:rsid w:val="00C20EFD"/>
    <w:rsid w:val="00C21E9A"/>
    <w:rsid w:val="00C231B9"/>
    <w:rsid w:val="00C32983"/>
    <w:rsid w:val="00C419B9"/>
    <w:rsid w:val="00C41D9C"/>
    <w:rsid w:val="00C47051"/>
    <w:rsid w:val="00C4762C"/>
    <w:rsid w:val="00C5676F"/>
    <w:rsid w:val="00C57929"/>
    <w:rsid w:val="00C6134C"/>
    <w:rsid w:val="00C62C02"/>
    <w:rsid w:val="00C818E0"/>
    <w:rsid w:val="00C82B27"/>
    <w:rsid w:val="00C92EB4"/>
    <w:rsid w:val="00C95480"/>
    <w:rsid w:val="00C97B8F"/>
    <w:rsid w:val="00CA3536"/>
    <w:rsid w:val="00CA40AE"/>
    <w:rsid w:val="00CB00F5"/>
    <w:rsid w:val="00CB0280"/>
    <w:rsid w:val="00CB1DB8"/>
    <w:rsid w:val="00CB3E22"/>
    <w:rsid w:val="00CC0F23"/>
    <w:rsid w:val="00CC25B1"/>
    <w:rsid w:val="00CC2AB4"/>
    <w:rsid w:val="00CD44BB"/>
    <w:rsid w:val="00CE02B9"/>
    <w:rsid w:val="00CE0840"/>
    <w:rsid w:val="00CE32E6"/>
    <w:rsid w:val="00CE55CD"/>
    <w:rsid w:val="00CF1079"/>
    <w:rsid w:val="00CF1510"/>
    <w:rsid w:val="00CF1E6F"/>
    <w:rsid w:val="00CF2BBA"/>
    <w:rsid w:val="00CF3113"/>
    <w:rsid w:val="00CF34F6"/>
    <w:rsid w:val="00CF3BBA"/>
    <w:rsid w:val="00D00237"/>
    <w:rsid w:val="00D0165D"/>
    <w:rsid w:val="00D072FC"/>
    <w:rsid w:val="00D07516"/>
    <w:rsid w:val="00D11256"/>
    <w:rsid w:val="00D11F5C"/>
    <w:rsid w:val="00D1518A"/>
    <w:rsid w:val="00D16FCC"/>
    <w:rsid w:val="00D17D75"/>
    <w:rsid w:val="00D201DF"/>
    <w:rsid w:val="00D237AD"/>
    <w:rsid w:val="00D2387A"/>
    <w:rsid w:val="00D31C97"/>
    <w:rsid w:val="00D34CA7"/>
    <w:rsid w:val="00D42043"/>
    <w:rsid w:val="00D454A4"/>
    <w:rsid w:val="00D5495A"/>
    <w:rsid w:val="00D621D5"/>
    <w:rsid w:val="00D726C1"/>
    <w:rsid w:val="00D735B7"/>
    <w:rsid w:val="00D828DF"/>
    <w:rsid w:val="00D84DAD"/>
    <w:rsid w:val="00D86CFA"/>
    <w:rsid w:val="00D872E2"/>
    <w:rsid w:val="00D93AD2"/>
    <w:rsid w:val="00D94C9E"/>
    <w:rsid w:val="00D979C2"/>
    <w:rsid w:val="00DA0FCA"/>
    <w:rsid w:val="00DA3622"/>
    <w:rsid w:val="00DA58BF"/>
    <w:rsid w:val="00DA7056"/>
    <w:rsid w:val="00DB2ACD"/>
    <w:rsid w:val="00DB2F10"/>
    <w:rsid w:val="00DB53FD"/>
    <w:rsid w:val="00DB6351"/>
    <w:rsid w:val="00DC0F52"/>
    <w:rsid w:val="00DC1E83"/>
    <w:rsid w:val="00DC4C8F"/>
    <w:rsid w:val="00DC60EA"/>
    <w:rsid w:val="00DC7974"/>
    <w:rsid w:val="00DD1CCF"/>
    <w:rsid w:val="00DE2B8A"/>
    <w:rsid w:val="00DF28E9"/>
    <w:rsid w:val="00DF4A63"/>
    <w:rsid w:val="00DF51BC"/>
    <w:rsid w:val="00DF7B15"/>
    <w:rsid w:val="00E008D5"/>
    <w:rsid w:val="00E05180"/>
    <w:rsid w:val="00E07E52"/>
    <w:rsid w:val="00E131CC"/>
    <w:rsid w:val="00E13519"/>
    <w:rsid w:val="00E13E63"/>
    <w:rsid w:val="00E2026F"/>
    <w:rsid w:val="00E24A48"/>
    <w:rsid w:val="00E27662"/>
    <w:rsid w:val="00E342C6"/>
    <w:rsid w:val="00E42AE6"/>
    <w:rsid w:val="00E444DF"/>
    <w:rsid w:val="00E44D88"/>
    <w:rsid w:val="00E44E28"/>
    <w:rsid w:val="00E46F47"/>
    <w:rsid w:val="00E573B4"/>
    <w:rsid w:val="00E70FEE"/>
    <w:rsid w:val="00E75A02"/>
    <w:rsid w:val="00E77B76"/>
    <w:rsid w:val="00E84096"/>
    <w:rsid w:val="00E863D9"/>
    <w:rsid w:val="00E9151C"/>
    <w:rsid w:val="00E916C5"/>
    <w:rsid w:val="00E91923"/>
    <w:rsid w:val="00E92925"/>
    <w:rsid w:val="00E93928"/>
    <w:rsid w:val="00E96EEF"/>
    <w:rsid w:val="00EA7331"/>
    <w:rsid w:val="00EC06A7"/>
    <w:rsid w:val="00EC0EE0"/>
    <w:rsid w:val="00EC21FB"/>
    <w:rsid w:val="00EC4439"/>
    <w:rsid w:val="00ED2DA6"/>
    <w:rsid w:val="00ED2E4F"/>
    <w:rsid w:val="00ED5318"/>
    <w:rsid w:val="00ED6012"/>
    <w:rsid w:val="00ED613C"/>
    <w:rsid w:val="00EE0CA8"/>
    <w:rsid w:val="00EE5048"/>
    <w:rsid w:val="00EE6C69"/>
    <w:rsid w:val="00EE7165"/>
    <w:rsid w:val="00EF3A8B"/>
    <w:rsid w:val="00EF7B75"/>
    <w:rsid w:val="00F075D8"/>
    <w:rsid w:val="00F103E9"/>
    <w:rsid w:val="00F127C6"/>
    <w:rsid w:val="00F13452"/>
    <w:rsid w:val="00F140FF"/>
    <w:rsid w:val="00F16D41"/>
    <w:rsid w:val="00F22217"/>
    <w:rsid w:val="00F23343"/>
    <w:rsid w:val="00F26400"/>
    <w:rsid w:val="00F27239"/>
    <w:rsid w:val="00F34E38"/>
    <w:rsid w:val="00F3729F"/>
    <w:rsid w:val="00F669F1"/>
    <w:rsid w:val="00F72C88"/>
    <w:rsid w:val="00F74E4E"/>
    <w:rsid w:val="00F75613"/>
    <w:rsid w:val="00F82439"/>
    <w:rsid w:val="00F835A7"/>
    <w:rsid w:val="00F835ED"/>
    <w:rsid w:val="00F83D30"/>
    <w:rsid w:val="00F84F1C"/>
    <w:rsid w:val="00F86DCE"/>
    <w:rsid w:val="00F8767A"/>
    <w:rsid w:val="00F905AA"/>
    <w:rsid w:val="00F90DD2"/>
    <w:rsid w:val="00F9160E"/>
    <w:rsid w:val="00F96CB6"/>
    <w:rsid w:val="00F97930"/>
    <w:rsid w:val="00FA1056"/>
    <w:rsid w:val="00FA64D3"/>
    <w:rsid w:val="00FA7591"/>
    <w:rsid w:val="00FB05F2"/>
    <w:rsid w:val="00FB2FAF"/>
    <w:rsid w:val="00FB3AB2"/>
    <w:rsid w:val="00FB48A9"/>
    <w:rsid w:val="00FB589B"/>
    <w:rsid w:val="00FB77BE"/>
    <w:rsid w:val="00FC2BA7"/>
    <w:rsid w:val="00FC6421"/>
    <w:rsid w:val="00FC79B7"/>
    <w:rsid w:val="00FD51D0"/>
    <w:rsid w:val="00FD5B31"/>
    <w:rsid w:val="00FD7AA7"/>
    <w:rsid w:val="00FE1FA1"/>
    <w:rsid w:val="00FE3DB5"/>
    <w:rsid w:val="00FE44CA"/>
    <w:rsid w:val="00FE4667"/>
    <w:rsid w:val="00FE47EE"/>
    <w:rsid w:val="00FF70A2"/>
    <w:rsid w:val="00FF7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1647E"/>
  <w15:chartTrackingRefBased/>
  <w15:docId w15:val="{D1BECCEE-5D53-425E-A0B9-C98DA136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A58BF"/>
    <w:rPr>
      <w:sz w:val="24"/>
      <w:szCs w:val="24"/>
    </w:rPr>
  </w:style>
  <w:style w:type="paragraph" w:styleId="Nadpis1">
    <w:name w:val="heading 1"/>
    <w:basedOn w:val="Normln"/>
    <w:next w:val="Normln"/>
    <w:link w:val="Nadpis1Char"/>
    <w:qFormat/>
    <w:rsid w:val="00A01CB5"/>
    <w:pPr>
      <w:keepNext/>
      <w:jc w:val="both"/>
      <w:outlineLvl w:val="0"/>
    </w:pPr>
    <w:rPr>
      <w:b/>
      <w:kern w:val="28"/>
      <w:sz w:val="40"/>
      <w:szCs w:val="20"/>
    </w:rPr>
  </w:style>
  <w:style w:type="paragraph" w:styleId="Nadpis2">
    <w:name w:val="heading 2"/>
    <w:basedOn w:val="Normln"/>
    <w:next w:val="Normln"/>
    <w:qFormat/>
    <w:rsid w:val="00A01CB5"/>
    <w:pPr>
      <w:keepNext/>
      <w:jc w:val="center"/>
      <w:outlineLvl w:val="1"/>
    </w:pPr>
    <w:rPr>
      <w:rFonts w:ascii="Arial" w:hAnsi="Arial" w:cs="Arial"/>
      <w:b/>
      <w:iCs/>
      <w:sz w:val="32"/>
      <w:szCs w:val="32"/>
    </w:rPr>
  </w:style>
  <w:style w:type="paragraph" w:styleId="Nadpis3">
    <w:name w:val="heading 3"/>
    <w:basedOn w:val="Normln"/>
    <w:next w:val="Normln"/>
    <w:link w:val="Nadpis3Char"/>
    <w:qFormat/>
    <w:rsid w:val="00A01CB5"/>
    <w:pPr>
      <w:keepNext/>
      <w:jc w:val="center"/>
      <w:outlineLvl w:val="2"/>
    </w:pPr>
    <w:rPr>
      <w:rFonts w:ascii="Arial" w:hAnsi="Arial" w:cs="Arial"/>
      <w:b/>
      <w:sz w:val="22"/>
      <w:szCs w:val="22"/>
    </w:rPr>
  </w:style>
  <w:style w:type="paragraph" w:styleId="Nadpis4">
    <w:name w:val="heading 4"/>
    <w:basedOn w:val="Normln"/>
    <w:next w:val="Normln"/>
    <w:qFormat/>
    <w:rsid w:val="00BC14C1"/>
    <w:pPr>
      <w:keepNext/>
      <w:spacing w:before="240" w:after="60"/>
      <w:outlineLvl w:val="3"/>
    </w:pPr>
    <w:rPr>
      <w:b/>
      <w:bCs/>
      <w:sz w:val="28"/>
      <w:szCs w:val="28"/>
    </w:rPr>
  </w:style>
  <w:style w:type="paragraph" w:styleId="Nadpis7">
    <w:name w:val="heading 7"/>
    <w:basedOn w:val="Normln"/>
    <w:next w:val="Normln"/>
    <w:qFormat/>
    <w:rsid w:val="00224CE7"/>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01CB5"/>
    <w:pPr>
      <w:jc w:val="both"/>
    </w:pPr>
    <w:rPr>
      <w:rFonts w:ascii="Arial" w:hAnsi="Arial" w:cs="Arial"/>
      <w:sz w:val="20"/>
      <w:szCs w:val="20"/>
    </w:rPr>
  </w:style>
  <w:style w:type="paragraph" w:styleId="Zkladntextodsazen2">
    <w:name w:val="Body Text Indent 2"/>
    <w:basedOn w:val="Normln"/>
    <w:link w:val="Zkladntextodsazen2Char"/>
    <w:rsid w:val="00A01CB5"/>
    <w:pPr>
      <w:spacing w:after="120" w:line="480" w:lineRule="auto"/>
      <w:ind w:left="283"/>
    </w:pPr>
  </w:style>
  <w:style w:type="paragraph" w:styleId="Zpat">
    <w:name w:val="footer"/>
    <w:basedOn w:val="Normln"/>
    <w:rsid w:val="00A01CB5"/>
    <w:pPr>
      <w:tabs>
        <w:tab w:val="center" w:pos="4536"/>
        <w:tab w:val="right" w:pos="9072"/>
      </w:tabs>
    </w:pPr>
  </w:style>
  <w:style w:type="character" w:styleId="slostrnky">
    <w:name w:val="page number"/>
    <w:basedOn w:val="Standardnpsmoodstavce"/>
    <w:rsid w:val="00A01CB5"/>
  </w:style>
  <w:style w:type="paragraph" w:styleId="Textbubliny">
    <w:name w:val="Balloon Text"/>
    <w:basedOn w:val="Normln"/>
    <w:semiHidden/>
    <w:rsid w:val="00BC605D"/>
    <w:rPr>
      <w:rFonts w:ascii="Tahoma" w:hAnsi="Tahoma" w:cs="Tahoma"/>
      <w:sz w:val="16"/>
      <w:szCs w:val="16"/>
    </w:rPr>
  </w:style>
  <w:style w:type="paragraph" w:styleId="Zkladntext3">
    <w:name w:val="Body Text 3"/>
    <w:basedOn w:val="Normln"/>
    <w:link w:val="Zkladntext3Char"/>
    <w:rsid w:val="00BC14C1"/>
    <w:pPr>
      <w:spacing w:after="120"/>
    </w:pPr>
    <w:rPr>
      <w:sz w:val="16"/>
      <w:szCs w:val="16"/>
    </w:rPr>
  </w:style>
  <w:style w:type="paragraph" w:styleId="Zkladntext2">
    <w:name w:val="Body Text 2"/>
    <w:basedOn w:val="Normln"/>
    <w:rsid w:val="00BC14C1"/>
    <w:pPr>
      <w:spacing w:after="120" w:line="480" w:lineRule="auto"/>
    </w:pPr>
  </w:style>
  <w:style w:type="paragraph" w:styleId="slovanseznam">
    <w:name w:val="List Number"/>
    <w:basedOn w:val="Normln"/>
    <w:rsid w:val="00BC14C1"/>
    <w:pPr>
      <w:numPr>
        <w:numId w:val="1"/>
      </w:numPr>
    </w:pPr>
  </w:style>
  <w:style w:type="character" w:styleId="Odkaznakoment">
    <w:name w:val="annotation reference"/>
    <w:semiHidden/>
    <w:rsid w:val="00BC14C1"/>
    <w:rPr>
      <w:sz w:val="16"/>
      <w:szCs w:val="16"/>
    </w:rPr>
  </w:style>
  <w:style w:type="paragraph" w:styleId="Textkomente">
    <w:name w:val="annotation text"/>
    <w:basedOn w:val="Normln"/>
    <w:link w:val="TextkomenteChar"/>
    <w:semiHidden/>
    <w:rsid w:val="00BC14C1"/>
    <w:rPr>
      <w:sz w:val="20"/>
      <w:szCs w:val="20"/>
    </w:rPr>
  </w:style>
  <w:style w:type="character" w:styleId="Hypertextovodkaz">
    <w:name w:val="Hyperlink"/>
    <w:rsid w:val="00CB1DB8"/>
    <w:rPr>
      <w:color w:val="0000FF"/>
      <w:u w:val="single"/>
    </w:rPr>
  </w:style>
  <w:style w:type="character" w:customStyle="1" w:styleId="Nadpis3Char">
    <w:name w:val="Nadpis 3 Char"/>
    <w:link w:val="Nadpis3"/>
    <w:rsid w:val="00347677"/>
    <w:rPr>
      <w:rFonts w:ascii="Arial" w:hAnsi="Arial" w:cs="Arial"/>
      <w:b/>
      <w:sz w:val="22"/>
      <w:szCs w:val="22"/>
    </w:rPr>
  </w:style>
  <w:style w:type="paragraph" w:styleId="Rozloendokumentu">
    <w:name w:val="Document Map"/>
    <w:basedOn w:val="Normln"/>
    <w:semiHidden/>
    <w:rsid w:val="00D0165D"/>
    <w:pPr>
      <w:shd w:val="clear" w:color="auto" w:fill="000080"/>
    </w:pPr>
    <w:rPr>
      <w:rFonts w:ascii="Tahoma" w:hAnsi="Tahoma" w:cs="Tahoma"/>
      <w:sz w:val="20"/>
      <w:szCs w:val="20"/>
    </w:rPr>
  </w:style>
  <w:style w:type="character" w:customStyle="1" w:styleId="Zkladntext3Char">
    <w:name w:val="Základní text 3 Char"/>
    <w:link w:val="Zkladntext3"/>
    <w:rsid w:val="00401C66"/>
    <w:rPr>
      <w:sz w:val="16"/>
      <w:szCs w:val="16"/>
    </w:rPr>
  </w:style>
  <w:style w:type="paragraph" w:customStyle="1" w:styleId="WW-Zkladntext3">
    <w:name w:val="WW-Základní text 3"/>
    <w:basedOn w:val="Normln"/>
    <w:rsid w:val="00224CE7"/>
    <w:pPr>
      <w:suppressAutoHyphens/>
      <w:jc w:val="both"/>
    </w:pPr>
    <w:rPr>
      <w:sz w:val="22"/>
      <w:szCs w:val="20"/>
      <w:lang w:eastAsia="ar-SA"/>
    </w:rPr>
  </w:style>
  <w:style w:type="paragraph" w:styleId="Zhlav">
    <w:name w:val="header"/>
    <w:basedOn w:val="Normln"/>
    <w:link w:val="ZhlavChar"/>
    <w:uiPriority w:val="99"/>
    <w:rsid w:val="00DA3622"/>
    <w:pPr>
      <w:tabs>
        <w:tab w:val="center" w:pos="4536"/>
        <w:tab w:val="right" w:pos="9072"/>
      </w:tabs>
    </w:pPr>
  </w:style>
  <w:style w:type="paragraph" w:styleId="Odstavecseseznamem">
    <w:name w:val="List Paragraph"/>
    <w:basedOn w:val="Normln"/>
    <w:uiPriority w:val="34"/>
    <w:qFormat/>
    <w:rsid w:val="006B4688"/>
    <w:pPr>
      <w:ind w:left="720"/>
    </w:pPr>
    <w:rPr>
      <w:rFonts w:ascii="Calibri" w:eastAsia="Calibri" w:hAnsi="Calibri" w:cs="Calibri"/>
      <w:sz w:val="22"/>
      <w:szCs w:val="22"/>
      <w:lang w:eastAsia="en-US"/>
    </w:rPr>
  </w:style>
  <w:style w:type="character" w:customStyle="1" w:styleId="ZhlavChar">
    <w:name w:val="Záhlaví Char"/>
    <w:link w:val="Zhlav"/>
    <w:uiPriority w:val="99"/>
    <w:rsid w:val="00834C03"/>
    <w:rPr>
      <w:sz w:val="24"/>
      <w:szCs w:val="24"/>
    </w:rPr>
  </w:style>
  <w:style w:type="paragraph" w:styleId="Pedmtkomente">
    <w:name w:val="annotation subject"/>
    <w:basedOn w:val="Textkomente"/>
    <w:next w:val="Textkomente"/>
    <w:link w:val="PedmtkomenteChar"/>
    <w:rsid w:val="009724ED"/>
    <w:rPr>
      <w:b/>
      <w:bCs/>
    </w:rPr>
  </w:style>
  <w:style w:type="character" w:customStyle="1" w:styleId="TextkomenteChar">
    <w:name w:val="Text komentáře Char"/>
    <w:basedOn w:val="Standardnpsmoodstavce"/>
    <w:link w:val="Textkomente"/>
    <w:semiHidden/>
    <w:rsid w:val="009724ED"/>
  </w:style>
  <w:style w:type="character" w:customStyle="1" w:styleId="PedmtkomenteChar">
    <w:name w:val="Předmět komentáře Char"/>
    <w:link w:val="Pedmtkomente"/>
    <w:rsid w:val="009724ED"/>
    <w:rPr>
      <w:b/>
      <w:bCs/>
    </w:rPr>
  </w:style>
  <w:style w:type="paragraph" w:styleId="Revize">
    <w:name w:val="Revision"/>
    <w:hidden/>
    <w:uiPriority w:val="99"/>
    <w:semiHidden/>
    <w:rsid w:val="009724ED"/>
    <w:rPr>
      <w:sz w:val="24"/>
      <w:szCs w:val="24"/>
    </w:rPr>
  </w:style>
  <w:style w:type="character" w:customStyle="1" w:styleId="Nadpis1Char">
    <w:name w:val="Nadpis 1 Char"/>
    <w:link w:val="Nadpis1"/>
    <w:rsid w:val="006B1867"/>
    <w:rPr>
      <w:b/>
      <w:kern w:val="28"/>
      <w:sz w:val="40"/>
    </w:rPr>
  </w:style>
  <w:style w:type="character" w:customStyle="1" w:styleId="Zkladntextodsazen2Char">
    <w:name w:val="Základní text odsazený 2 Char"/>
    <w:link w:val="Zkladntextodsazen2"/>
    <w:rsid w:val="006B18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553">
      <w:bodyDiv w:val="1"/>
      <w:marLeft w:val="0"/>
      <w:marRight w:val="0"/>
      <w:marTop w:val="0"/>
      <w:marBottom w:val="0"/>
      <w:divBdr>
        <w:top w:val="none" w:sz="0" w:space="0" w:color="auto"/>
        <w:left w:val="none" w:sz="0" w:space="0" w:color="auto"/>
        <w:bottom w:val="none" w:sz="0" w:space="0" w:color="auto"/>
        <w:right w:val="none" w:sz="0" w:space="0" w:color="auto"/>
      </w:divBdr>
    </w:div>
    <w:div w:id="798108015">
      <w:bodyDiv w:val="1"/>
      <w:marLeft w:val="0"/>
      <w:marRight w:val="0"/>
      <w:marTop w:val="0"/>
      <w:marBottom w:val="0"/>
      <w:divBdr>
        <w:top w:val="none" w:sz="0" w:space="0" w:color="auto"/>
        <w:left w:val="none" w:sz="0" w:space="0" w:color="auto"/>
        <w:bottom w:val="none" w:sz="0" w:space="0" w:color="auto"/>
        <w:right w:val="none" w:sz="0" w:space="0" w:color="auto"/>
      </w:divBdr>
    </w:div>
    <w:div w:id="891191087">
      <w:bodyDiv w:val="1"/>
      <w:marLeft w:val="0"/>
      <w:marRight w:val="0"/>
      <w:marTop w:val="0"/>
      <w:marBottom w:val="0"/>
      <w:divBdr>
        <w:top w:val="none" w:sz="0" w:space="0" w:color="auto"/>
        <w:left w:val="none" w:sz="0" w:space="0" w:color="auto"/>
        <w:bottom w:val="none" w:sz="0" w:space="0" w:color="auto"/>
        <w:right w:val="none" w:sz="0" w:space="0" w:color="auto"/>
      </w:divBdr>
    </w:div>
    <w:div w:id="10967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de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13A3-51E9-4CFD-B359-11A5453F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9867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Dohoda o spolupráci při řešení pilotního projektu</vt:lpstr>
    </vt:vector>
  </TitlesOfParts>
  <Company>kulb</Company>
  <LinksUpToDate>false</LinksUpToDate>
  <CharactersWithSpaces>11516</CharactersWithSpaces>
  <SharedDoc>false</SharedDoc>
  <HLinks>
    <vt:vector size="6" baseType="variant">
      <vt:variant>
        <vt:i4>7733372</vt:i4>
      </vt:variant>
      <vt:variant>
        <vt:i4>0</vt:i4>
      </vt:variant>
      <vt:variant>
        <vt:i4>0</vt:i4>
      </vt:variant>
      <vt:variant>
        <vt:i4>5</vt:i4>
      </vt:variant>
      <vt:variant>
        <vt:lpwstr>http://www.trideni.cz/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 při řešení pilotního projektu</dc:title>
  <dc:subject/>
  <dc:creator>ulmannk</dc:creator>
  <cp:keywords/>
  <cp:lastModifiedBy>Káčerová Jana</cp:lastModifiedBy>
  <cp:revision>2</cp:revision>
  <cp:lastPrinted>2020-07-20T12:53:00Z</cp:lastPrinted>
  <dcterms:created xsi:type="dcterms:W3CDTF">2024-09-09T10:01:00Z</dcterms:created>
  <dcterms:modified xsi:type="dcterms:W3CDTF">2024-09-09T10:01:00Z</dcterms:modified>
</cp:coreProperties>
</file>