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2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742/2023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S-17/2023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“Oprava a rekonstrukce Mandavy ve Starých Křečanech”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6"/>
      <w:bookmarkEnd w:id="37"/>
      <w:bookmarkEnd w:id="38"/>
    </w:p>
    <w:tbl>
      <w:tblPr>
        <w:tblOverlap w:val="never"/>
        <w:jc w:val="center"/>
        <w:tblLayout w:type="fixed"/>
      </w:tblPr>
      <w:tblGrid>
        <w:gridCol w:w="2510"/>
        <w:gridCol w:w="6619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1" w:name="bookmark41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  <w:bookmarkEnd w:id="41"/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2" w:name="bookmark42"/>
            <w:bookmarkStart w:id="43" w:name="bookmark43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  <w:bookmarkEnd w:id="42"/>
            <w:bookmarkEnd w:id="43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  <w:bookmarkEnd w:id="39"/>
      <w:bookmarkEnd w:id="40"/>
    </w:p>
    <w:p>
      <w:pPr>
        <w:widowControl w:val="0"/>
        <w:spacing w:after="1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4"/>
      <w:bookmarkEnd w:id="45"/>
      <w:bookmarkEnd w:id="46"/>
    </w:p>
    <w:tbl>
      <w:tblPr>
        <w:tblOverlap w:val="never"/>
        <w:jc w:val="center"/>
        <w:tblLayout w:type="fixed"/>
      </w:tblPr>
      <w:tblGrid>
        <w:gridCol w:w="2510"/>
        <w:gridCol w:w="6614"/>
      </w:tblGrid>
      <w:tr>
        <w:trPr>
          <w:trHeight w:val="6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bookmarkStart w:id="52" w:name="bookmark52"/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NOWASTAV akciová společnost</w:t>
            </w:r>
            <w:bookmarkEnd w:id="52"/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bookmarkStart w:id="53" w:name="bookmark53"/>
            <w:bookmarkStart w:id="54" w:name="bookmark54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Malešická 49, 130 00 Praha 3</w:t>
            </w:r>
            <w:bookmarkEnd w:id="53"/>
            <w:bookmarkEnd w:id="54"/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 oprávněn(i) jednat o věcech smluvních:</w:t>
      </w:r>
      <w:bookmarkEnd w:id="4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48"/>
      <w:bookmarkEnd w:id="4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odpovědná osoba – hlavní stavbyvedoucí:</w:t>
      </w:r>
      <w:bookmarkEnd w:id="5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1" w:name="bookmark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zástupce hlavního stavbyvedoucího - stavbyvedoucí:</w:t>
      </w:r>
      <w:bookmarkEnd w:id="51"/>
    </w:p>
    <w:tbl>
      <w:tblPr>
        <w:tblOverlap w:val="never"/>
        <w:jc w:val="center"/>
        <w:tblLayout w:type="fixed"/>
      </w:tblPr>
      <w:tblGrid>
        <w:gridCol w:w="2510"/>
        <w:gridCol w:w="6614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59" w:name="bookmark59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  <w:bookmarkEnd w:id="59"/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60" w:name="bookmark60"/>
            <w:bookmarkStart w:id="61" w:name="bookmark61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  <w:bookmarkEnd w:id="60"/>
            <w:bookmarkEnd w:id="61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00565679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CZ00565679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tabs>
          <w:tab w:pos="2827" w:val="left"/>
        </w:tabs>
        <w:bidi w:val="0"/>
        <w:spacing w:before="0" w:after="0" w:line="240" w:lineRule="auto"/>
        <w:ind w:left="0" w:right="0" w:firstLine="0"/>
        <w:jc w:val="left"/>
      </w:pPr>
      <w:bookmarkStart w:id="55" w:name="bookmark55"/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MS v Praze, odd. B, vl. B393 tel.:</w:t>
        <w:tab/>
        <w:t>e-mail:</w:t>
      </w:r>
      <w:bookmarkEnd w:id="55"/>
      <w:bookmarkEnd w:id="56"/>
      <w:bookmarkEnd w:id="57"/>
      <w:bookmarkEnd w:id="5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62"/>
      <w:bookmarkEnd w:id="63"/>
      <w:bookmarkEnd w:id="6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65" w:name="bookmark65"/>
      <w:bookmarkEnd w:id="6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Čl. I. Účel a předmět smlouvy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Oceněných soupisů prací změn závazku ze dne 27.08.2024,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66" w:name="bookmark66"/>
      <w:bookmarkEnd w:id="6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provedení odpočtu neprovedených prací. Tyto změny jsou obsahem Přílohy č. 1. Tato změna závazku ze smlouvy v souvislosti se zadáním dalších prací nemění celkovou povahu veřejné zakázky.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mimořádných kontrolních dnech stavby. Obě smluvní strany odsouhlasily a potvrdily oceněný soupis prací.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line="240" w:lineRule="auto"/>
        <w:ind w:left="0" w:right="0" w:firstLine="0"/>
        <w:jc w:val="both"/>
      </w:pPr>
      <w:bookmarkStart w:id="67" w:name="bookmark67"/>
      <w:bookmarkEnd w:id="6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I. Účel a předmět smlouvy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mění v rozsahu přílohy tohoto dodatku – Oceněného soupisu prací změn závazku ze dne 27.08.2024, který se tímto stává nedílnou součástí smlouvy.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68" w:name="bookmark68"/>
      <w:bookmarkEnd w:id="6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Cenové a platební podmínky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odst. 1. 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díla: 28 984 625,20 Kč bez DPH,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dvacet osm milionů devět set osmdesát čtyři tisíc šest set dvacet pět korun českých dvacet haléřů)</w:t>
      </w:r>
    </w:p>
    <w:tbl>
      <w:tblPr>
        <w:tblOverlap w:val="never"/>
        <w:jc w:val="center"/>
        <w:tblLayout w:type="fixed"/>
      </w:tblPr>
      <w:tblGrid>
        <w:gridCol w:w="1718"/>
        <w:gridCol w:w="7406"/>
      </w:tblGrid>
      <w:tr>
        <w:trPr>
          <w:trHeight w:val="8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toho: oprava: investice: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1 328 176,03 Kč bez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27 656 449,17 Kč bez DPH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díla: 28 943 097,41 Kč bez DPH,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dvacet osm milionů devět set čtyřicet tři tisíc devadesát sedm korun českých čtyřicet jedna haléřů)</w:t>
      </w:r>
    </w:p>
    <w:tbl>
      <w:tblPr>
        <w:tblOverlap w:val="never"/>
        <w:jc w:val="center"/>
        <w:tblLayout w:type="fixed"/>
      </w:tblPr>
      <w:tblGrid>
        <w:gridCol w:w="1718"/>
        <w:gridCol w:w="7406"/>
      </w:tblGrid>
      <w:tr>
        <w:trPr>
          <w:trHeight w:val="8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toho: oprava: investice: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1 328 176,03 Kč bez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27 614 921,38 Kč bez DPH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971" w:left="1392" w:right="1386" w:bottom="2836" w:header="543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Oceněný soupis prací změn závazku ze dne 27.08.2024</w:t>
      </w:r>
    </w:p>
    <w:p>
      <w:pPr>
        <w:widowControl w:val="0"/>
        <w:spacing w:line="200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0" w:right="0" w:bottom="8396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1394" w:right="2421" w:bottom="8396" w:header="0" w:footer="3" w:gutter="0"/>
          <w:cols w:num="2" w:space="171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Jirnech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4" w:after="5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0" w:right="0" w:bottom="125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1688465" cy="3873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9" w:name="bookmark6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ekonomický ředitel</w:t>
                            </w:r>
                            <w:bookmarkEnd w:id="69"/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70" w:name="bookmark70"/>
                            <w:bookmarkStart w:id="71" w:name="bookmark7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  <w:bookmarkEnd w:id="70"/>
                            <w:bookmarkEnd w:id="7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5pt;margin-top:1.pt;width:132.94999999999999pt;height:30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9" w:name="bookmark6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ekonomický ředitel</w:t>
                      </w:r>
                      <w:bookmarkEnd w:id="69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0" w:name="bookmark70"/>
                      <w:bookmarkStart w:id="71" w:name="bookmark7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  <w:bookmarkEnd w:id="70"/>
                      <w:bookmarkEnd w:id="7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představenstva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NOWASTAV akciová společnost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57" w:left="4053" w:right="1389" w:bottom="125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5840095</wp:posOffset>
              </wp:positionH>
              <wp:positionV relativeFrom="page">
                <wp:posOffset>10093325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85000000000002pt;margin-top:794.75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Beržinský Miroslav</dc:creator>
  <cp:keywords/>
</cp:coreProperties>
</file>