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424AB" w14:textId="7EF2F538" w:rsidR="00CC16E5" w:rsidRDefault="004721A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</w:t>
      </w:r>
    </w:p>
    <w:p w14:paraId="0E3C7F7C" w14:textId="4763E81D" w:rsidR="0013221C" w:rsidRDefault="004721A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státní příspěvková organizace</w:t>
      </w:r>
    </w:p>
    <w:p w14:paraId="41F3665A" w14:textId="77777777" w:rsidR="0013221C" w:rsidRDefault="004721A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IČO: 75032333, DIČ: CZ75032333,</w:t>
      </w:r>
    </w:p>
    <w:p w14:paraId="31AA6E47" w14:textId="77777777" w:rsidR="0013221C" w:rsidRDefault="004721A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 sídlem: Valdštejnské nám. 162/3, PSČ 118 01 Praha 1 – Malá Strana,</w:t>
      </w:r>
    </w:p>
    <w:p w14:paraId="72555CA0" w14:textId="76F11400" w:rsidR="0013221C" w:rsidRDefault="004721A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A3985">
        <w:rPr>
          <w:rFonts w:ascii="Calibri" w:eastAsia="Calibri" w:hAnsi="Calibri" w:cs="Calibri"/>
          <w:color w:val="000000"/>
          <w:sz w:val="22"/>
          <w:szCs w:val="22"/>
        </w:rPr>
        <w:t xml:space="preserve">zastoupen: </w:t>
      </w:r>
      <w:r w:rsidR="00DA3985" w:rsidRPr="00DA3985">
        <w:rPr>
          <w:rFonts w:ascii="Calibri" w:eastAsia="Calibri" w:hAnsi="Calibri" w:cs="Calibri"/>
          <w:color w:val="000000"/>
          <w:sz w:val="22"/>
          <w:szCs w:val="22"/>
        </w:rPr>
        <w:t xml:space="preserve">PhDr. Jaroslavem </w:t>
      </w:r>
      <w:proofErr w:type="spellStart"/>
      <w:r w:rsidR="00DA3985" w:rsidRPr="00DA3985">
        <w:rPr>
          <w:rFonts w:ascii="Calibri" w:eastAsia="Calibri" w:hAnsi="Calibri" w:cs="Calibri"/>
          <w:color w:val="000000"/>
          <w:sz w:val="22"/>
          <w:szCs w:val="22"/>
        </w:rPr>
        <w:t>Podliskou</w:t>
      </w:r>
      <w:proofErr w:type="spellEnd"/>
      <w:r w:rsidR="00DA3985" w:rsidRPr="00DA3985">
        <w:rPr>
          <w:rFonts w:ascii="Calibri" w:eastAsia="Calibri" w:hAnsi="Calibri" w:cs="Calibri"/>
          <w:color w:val="000000"/>
          <w:sz w:val="22"/>
          <w:szCs w:val="22"/>
        </w:rPr>
        <w:t>, Ph.D., ředitelem NPÚ, územního odborného pracoviště v Praze</w:t>
      </w:r>
      <w:r w:rsidRPr="00DA3985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4FCF673A" w14:textId="05A60541" w:rsidR="0013221C" w:rsidRDefault="004721A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 w:rsidRPr="009E6B2F">
        <w:rPr>
          <w:rFonts w:ascii="Calibri" w:eastAsia="Calibri" w:hAnsi="Calibri" w:cs="Calibri"/>
          <w:color w:val="000000"/>
          <w:sz w:val="22"/>
          <w:szCs w:val="22"/>
        </w:rPr>
        <w:t>bankovní spojení: Česká národní banka, č. </w:t>
      </w:r>
      <w:proofErr w:type="spellStart"/>
      <w:r w:rsidRPr="009E6B2F">
        <w:rPr>
          <w:rFonts w:ascii="Calibri" w:eastAsia="Calibri" w:hAnsi="Calibri" w:cs="Calibri"/>
          <w:color w:val="000000"/>
          <w:sz w:val="22"/>
          <w:szCs w:val="22"/>
        </w:rPr>
        <w:t>ú.</w:t>
      </w:r>
      <w:proofErr w:type="spellEnd"/>
      <w:r w:rsidRPr="009E6B2F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="009E6B2F" w:rsidRPr="009E6B2F">
        <w:rPr>
          <w:rFonts w:ascii="Calibri" w:eastAsia="Calibri" w:hAnsi="Calibri" w:cs="Calibri"/>
          <w:color w:val="000000"/>
          <w:sz w:val="22"/>
          <w:szCs w:val="22"/>
        </w:rPr>
        <w:t>110007-60039011/0710</w:t>
      </w:r>
    </w:p>
    <w:p w14:paraId="4633BF63" w14:textId="77777777" w:rsidR="0013221C" w:rsidRPr="00DA3985" w:rsidRDefault="004721A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A3985">
        <w:rPr>
          <w:rFonts w:ascii="Calibri" w:eastAsia="Calibri" w:hAnsi="Calibri" w:cs="Calibri"/>
          <w:b/>
          <w:color w:val="000000"/>
          <w:sz w:val="22"/>
          <w:szCs w:val="22"/>
        </w:rPr>
        <w:t>Doručovací adresa:</w:t>
      </w:r>
    </w:p>
    <w:p w14:paraId="47B3236B" w14:textId="77777777" w:rsidR="00DA3985" w:rsidRDefault="00DA398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 w:rsidRPr="00DA3985">
        <w:rPr>
          <w:rFonts w:ascii="Calibri" w:eastAsia="Calibri" w:hAnsi="Calibri" w:cs="Calibri"/>
          <w:color w:val="000000"/>
          <w:sz w:val="22"/>
          <w:szCs w:val="22"/>
        </w:rPr>
        <w:t>Národní památkový ústav, územní odborné pracoviště v Praze, Na Perštýně 356/12, 110 00 Praha 1 – Staré Město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 </w:t>
      </w:r>
    </w:p>
    <w:p w14:paraId="66D6FDC1" w14:textId="77777777" w:rsidR="00F5725A" w:rsidRDefault="00DA398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A3985">
        <w:rPr>
          <w:rFonts w:ascii="Calibri" w:eastAsia="Calibri" w:hAnsi="Calibri" w:cs="Calibri"/>
          <w:color w:val="000000"/>
          <w:sz w:val="22"/>
          <w:szCs w:val="22"/>
        </w:rPr>
        <w:t xml:space="preserve">Zástupci oprávnění k jednání ve věcech technických: </w:t>
      </w:r>
      <w:r w:rsidR="00F5725A">
        <w:rPr>
          <w:rFonts w:ascii="Calibri" w:eastAsia="Calibri" w:hAnsi="Calibri" w:cs="Calibri"/>
          <w:color w:val="000000"/>
          <w:sz w:val="22"/>
          <w:szCs w:val="22"/>
        </w:rPr>
        <w:t>XXXXXXXXXX</w:t>
      </w:r>
      <w:r w:rsidRPr="00DA3985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F5725A">
        <w:rPr>
          <w:rFonts w:ascii="Calibri" w:eastAsia="Calibri" w:hAnsi="Calibri" w:cs="Calibri"/>
          <w:color w:val="000000"/>
          <w:sz w:val="22"/>
          <w:szCs w:val="22"/>
        </w:rPr>
        <w:t>XXXXXXXXXX</w:t>
      </w:r>
      <w:r w:rsidRPr="00DA3985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F5725A">
        <w:rPr>
          <w:rFonts w:ascii="Calibri" w:eastAsia="Calibri" w:hAnsi="Calibri" w:cs="Calibri"/>
          <w:color w:val="000000"/>
          <w:sz w:val="22"/>
          <w:szCs w:val="22"/>
        </w:rPr>
        <w:t>XXXXXXXXXX</w:t>
      </w:r>
      <w:r w:rsidR="004721A4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213B8B36" w14:textId="7D740454" w:rsidR="0013221C" w:rsidRDefault="004721A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00CC1236" w14:textId="77777777" w:rsidR="00DA3985" w:rsidRPr="00DA3985" w:rsidRDefault="00DA3985" w:rsidP="00DA398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C6F71C0" w14:textId="77777777" w:rsidR="0013221C" w:rsidRDefault="004721A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14:paraId="6A6BA731" w14:textId="77777777" w:rsidR="0013221C" w:rsidRDefault="0013221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51B06E1" w14:textId="74AF8580" w:rsidR="005473BC" w:rsidRDefault="005473B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</w:pPr>
      <w:r w:rsidRPr="005473BC">
        <w:rPr>
          <w:rFonts w:ascii="Calibri" w:eastAsia="Calibri" w:hAnsi="Calibri" w:cs="Calibri"/>
          <w:b/>
          <w:color w:val="000000"/>
          <w:sz w:val="22"/>
          <w:szCs w:val="22"/>
        </w:rPr>
        <w:t xml:space="preserve">Muzeum hlavního města Prahy, </w:t>
      </w:r>
      <w:r w:rsidRPr="005473BC">
        <w:rPr>
          <w:rFonts w:ascii="Calibri" w:eastAsia="Calibri" w:hAnsi="Calibri" w:cs="Calibri"/>
          <w:color w:val="000000"/>
          <w:sz w:val="22"/>
          <w:szCs w:val="22"/>
        </w:rPr>
        <w:t>příspěvková organizace zřízená hlavním městem Prahou</w:t>
      </w:r>
    </w:p>
    <w:p w14:paraId="1B9FEC75" w14:textId="136E9636" w:rsidR="00937FB9" w:rsidRDefault="00937FB9" w:rsidP="00937FB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IČO: </w:t>
      </w:r>
      <w:r w:rsidR="005473BC" w:rsidRPr="005473BC">
        <w:rPr>
          <w:rFonts w:ascii="Calibri" w:eastAsia="Calibri" w:hAnsi="Calibri" w:cs="Calibri"/>
          <w:color w:val="000000"/>
          <w:sz w:val="22"/>
          <w:szCs w:val="22"/>
        </w:rPr>
        <w:t>00064432, DIČ: CZ00064432</w:t>
      </w:r>
    </w:p>
    <w:p w14:paraId="701C03F3" w14:textId="33099101" w:rsidR="0013221C" w:rsidRDefault="004721A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 sídlem: </w:t>
      </w:r>
      <w:r w:rsidR="005473BC" w:rsidRPr="005473BC">
        <w:rPr>
          <w:rFonts w:ascii="Calibri" w:eastAsia="Calibri" w:hAnsi="Calibri" w:cs="Calibri"/>
          <w:color w:val="000000"/>
          <w:sz w:val="22"/>
          <w:szCs w:val="22"/>
        </w:rPr>
        <w:t>Kožná 475/1, 110 01 Praha 1 – Staré Město</w:t>
      </w:r>
    </w:p>
    <w:p w14:paraId="3EA8CF9C" w14:textId="35D14F57" w:rsidR="0013221C" w:rsidRDefault="004721A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zastoupen</w:t>
      </w:r>
      <w:r w:rsidR="005473BC">
        <w:rPr>
          <w:rFonts w:ascii="Calibri" w:eastAsia="Calibri" w:hAnsi="Calibri" w:cs="Calibri"/>
          <w:color w:val="000000"/>
          <w:sz w:val="22"/>
          <w:szCs w:val="22"/>
        </w:rPr>
        <w:t>é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="005473BC" w:rsidRPr="005473BC">
        <w:rPr>
          <w:rFonts w:ascii="Calibri" w:eastAsia="Calibri" w:hAnsi="Calibri" w:cs="Calibri"/>
          <w:color w:val="000000"/>
          <w:sz w:val="22"/>
          <w:szCs w:val="22"/>
        </w:rPr>
        <w:t>RNDr. Ing. Ivo Mackem, ředitelem</w:t>
      </w:r>
    </w:p>
    <w:p w14:paraId="7960F8F8" w14:textId="59E0BFA1" w:rsidR="005473BC" w:rsidRDefault="005473B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33A8E">
        <w:rPr>
          <w:rFonts w:ascii="Calibri" w:eastAsia="Calibri" w:hAnsi="Calibri" w:cs="Calibri"/>
          <w:color w:val="000000"/>
          <w:sz w:val="22"/>
          <w:szCs w:val="22"/>
        </w:rPr>
        <w:t>Zástupci oprávnění k jednání ve věcech technických:</w:t>
      </w:r>
      <w:r w:rsidR="00933A8E" w:rsidRPr="00933A8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F5725A">
        <w:rPr>
          <w:rFonts w:ascii="Calibri" w:eastAsia="Calibri" w:hAnsi="Calibri" w:cs="Calibri"/>
          <w:color w:val="000000"/>
          <w:sz w:val="22"/>
          <w:szCs w:val="22"/>
        </w:rPr>
        <w:t>XXXXXXXXXX</w:t>
      </w:r>
      <w:r w:rsidR="00933A8E" w:rsidRPr="00933A8E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F5725A">
        <w:rPr>
          <w:rFonts w:ascii="Calibri" w:eastAsia="Calibri" w:hAnsi="Calibri" w:cs="Calibri"/>
          <w:color w:val="000000"/>
          <w:sz w:val="22"/>
          <w:szCs w:val="22"/>
        </w:rPr>
        <w:t>XXXXXXXXXX</w:t>
      </w:r>
      <w:r w:rsidR="00933A8E" w:rsidRPr="00933A8E">
        <w:rPr>
          <w:rFonts w:ascii="Calibri" w:hAnsi="Calibri" w:cs="Calibri"/>
          <w:color w:val="000000"/>
          <w:sz w:val="22"/>
          <w:szCs w:val="22"/>
        </w:rPr>
        <w:t>,</w:t>
      </w:r>
      <w:r w:rsidR="00933A8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5725A">
        <w:rPr>
          <w:rFonts w:ascii="Calibri" w:eastAsia="Calibri" w:hAnsi="Calibri" w:cs="Calibri"/>
          <w:color w:val="000000"/>
          <w:sz w:val="22"/>
          <w:szCs w:val="22"/>
        </w:rPr>
        <w:t>XXXXXXXXXX</w:t>
      </w:r>
    </w:p>
    <w:p w14:paraId="1E246B91" w14:textId="77777777" w:rsidR="00F5725A" w:rsidRDefault="00F5725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D3167D0" w14:textId="0BF9633E" w:rsidR="0013221C" w:rsidRDefault="004721A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vypůjčitel</w:t>
      </w:r>
      <w:r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1B689618" w14:textId="77777777" w:rsidR="0013221C" w:rsidRDefault="0013221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209A77E" w14:textId="77777777" w:rsidR="0013221C" w:rsidRDefault="004721A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jako smluvní strany uzavřely níže uvedeného dne, měsíce a roku tuto</w:t>
      </w:r>
    </w:p>
    <w:p w14:paraId="476B4F62" w14:textId="77777777" w:rsidR="0013221C" w:rsidRPr="00E86FED" w:rsidRDefault="004721A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86FED">
        <w:rPr>
          <w:rFonts w:ascii="Calibri" w:eastAsia="Calibri" w:hAnsi="Calibri" w:cs="Calibri"/>
          <w:b/>
          <w:color w:val="000000"/>
          <w:sz w:val="24"/>
          <w:szCs w:val="24"/>
        </w:rPr>
        <w:t>smlouvu o výpůjčce movité věci:</w:t>
      </w:r>
    </w:p>
    <w:p w14:paraId="7AD14ECC" w14:textId="77777777" w:rsidR="0013221C" w:rsidRDefault="0013221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C8E40A" w14:textId="77777777" w:rsidR="0013221C" w:rsidRDefault="004721A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I.</w:t>
      </w:r>
    </w:p>
    <w:p w14:paraId="17E13E42" w14:textId="77777777" w:rsidR="0013221C" w:rsidRDefault="004721A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Úvodní ustanovení</w:t>
      </w:r>
    </w:p>
    <w:p w14:paraId="371E2FA9" w14:textId="184AB6CD" w:rsidR="006749F1" w:rsidRPr="00214954" w:rsidRDefault="004721A4" w:rsidP="006749F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jménem České republiky příslušný hospodařit </w:t>
      </w:r>
      <w:r w:rsidR="00415ACA">
        <w:rPr>
          <w:rFonts w:ascii="Calibri" w:eastAsia="Calibri" w:hAnsi="Calibri" w:cs="Calibri"/>
          <w:color w:val="000000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movitými věcmi </w:t>
      </w:r>
      <w:r w:rsidR="00214954">
        <w:rPr>
          <w:rFonts w:ascii="Calibri" w:eastAsia="Calibri" w:hAnsi="Calibri" w:cs="Calibri"/>
          <w:color w:val="000000"/>
          <w:sz w:val="22"/>
          <w:szCs w:val="22"/>
        </w:rPr>
        <w:t xml:space="preserve">specifikovanými </w:t>
      </w:r>
      <w:r w:rsidR="00BC6DA5">
        <w:rPr>
          <w:rFonts w:ascii="Calibri" w:eastAsia="Calibri" w:hAnsi="Calibri" w:cs="Calibri"/>
          <w:color w:val="000000"/>
          <w:sz w:val="22"/>
          <w:szCs w:val="22"/>
        </w:rPr>
        <w:t xml:space="preserve">v inventárním seznamu, který tvoří </w:t>
      </w:r>
      <w:r w:rsidR="00214954">
        <w:rPr>
          <w:rFonts w:ascii="Calibri" w:eastAsia="Calibri" w:hAnsi="Calibri" w:cs="Calibri"/>
          <w:color w:val="000000"/>
          <w:sz w:val="22"/>
          <w:szCs w:val="22"/>
        </w:rPr>
        <w:t>Přílo</w:t>
      </w:r>
      <w:r w:rsidR="00BC6DA5">
        <w:rPr>
          <w:rFonts w:ascii="Calibri" w:eastAsia="Calibri" w:hAnsi="Calibri" w:cs="Calibri"/>
          <w:color w:val="000000"/>
          <w:sz w:val="22"/>
          <w:szCs w:val="22"/>
        </w:rPr>
        <w:t>hu</w:t>
      </w:r>
      <w:r w:rsidR="00214954">
        <w:rPr>
          <w:rFonts w:ascii="Calibri" w:eastAsia="Calibri" w:hAnsi="Calibri" w:cs="Calibri"/>
          <w:color w:val="000000"/>
          <w:sz w:val="22"/>
          <w:szCs w:val="22"/>
        </w:rPr>
        <w:t xml:space="preserve"> 1 této smlouvy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(dále jen „předmět výpůjčky“). </w:t>
      </w:r>
    </w:p>
    <w:p w14:paraId="429AD462" w14:textId="06C16BA0" w:rsidR="0013221C" w:rsidRPr="00214954" w:rsidRDefault="004721A4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214954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214954">
        <w:rPr>
          <w:rFonts w:ascii="Calibri" w:eastAsia="Calibri" w:hAnsi="Calibri" w:cs="Calibri"/>
          <w:color w:val="000000"/>
          <w:sz w:val="22"/>
          <w:szCs w:val="22"/>
        </w:rPr>
        <w:t xml:space="preserve"> konstatuje, že výpůjčkou bude dosaženo účelnějšího nebo hospodárnějšího využití </w:t>
      </w:r>
      <w:r w:rsidR="00415ACA">
        <w:rPr>
          <w:rFonts w:ascii="Calibri" w:eastAsia="Calibri" w:hAnsi="Calibri" w:cs="Calibri"/>
          <w:color w:val="000000"/>
          <w:sz w:val="22"/>
          <w:szCs w:val="22"/>
        </w:rPr>
        <w:t>předmětu výpůjčky</w:t>
      </w:r>
      <w:r w:rsidRPr="00214954">
        <w:rPr>
          <w:rFonts w:ascii="Calibri" w:eastAsia="Calibri" w:hAnsi="Calibri" w:cs="Calibri"/>
          <w:color w:val="000000"/>
          <w:sz w:val="22"/>
          <w:szCs w:val="22"/>
        </w:rPr>
        <w:t xml:space="preserve"> při zachování hlavního účelu, ke kterému </w:t>
      </w:r>
      <w:proofErr w:type="spellStart"/>
      <w:r w:rsidRPr="00214954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214954">
        <w:rPr>
          <w:rFonts w:ascii="Calibri" w:eastAsia="Calibri" w:hAnsi="Calibri" w:cs="Calibri"/>
          <w:color w:val="000000"/>
          <w:sz w:val="22"/>
          <w:szCs w:val="22"/>
        </w:rPr>
        <w:t xml:space="preserve"> slouží. S ohledem na povahu předmětu výpůjčky, nebyl předmět výpůjčky nabízen organizačním složkám a ostatním státním organizacím.</w:t>
      </w:r>
    </w:p>
    <w:p w14:paraId="48D29023" w14:textId="77777777" w:rsidR="0013221C" w:rsidRDefault="0013221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0F07511" w14:textId="77777777" w:rsidR="0013221C" w:rsidRDefault="004721A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II.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Předmět smlouvy</w:t>
      </w:r>
    </w:p>
    <w:p w14:paraId="33C7EBA9" w14:textId="77777777" w:rsidR="0013221C" w:rsidRDefault="004721A4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Předmětem této smlouvy je závazek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přenechat předmět výpůjčky vypůjčiteli k bezplatnému dočasnému užívání.</w:t>
      </w:r>
    </w:p>
    <w:p w14:paraId="17A88E1C" w14:textId="77777777" w:rsidR="0013221C" w:rsidRDefault="004721A4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prohlašuje, že je mu znám stav předmětu výpůjčky a že je ve stavu vhodném pro účel výpůjčky dle této smlouvy. </w:t>
      </w:r>
    </w:p>
    <w:p w14:paraId="3860883D" w14:textId="77777777" w:rsidR="0013221C" w:rsidRDefault="0013221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A574B3F" w14:textId="77777777" w:rsidR="0013221C" w:rsidRDefault="004721A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Účel výpůjčky</w:t>
      </w:r>
    </w:p>
    <w:p w14:paraId="31EEADD8" w14:textId="525D9376" w:rsidR="0013221C" w:rsidRPr="00214954" w:rsidRDefault="004721A4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2et92p0" w:colFirst="0" w:colLast="0"/>
      <w:bookmarkEnd w:id="0"/>
      <w:r w:rsidRPr="00214954">
        <w:rPr>
          <w:rFonts w:ascii="Calibri" w:eastAsia="Calibri" w:hAnsi="Calibri" w:cs="Calibri"/>
          <w:color w:val="000000"/>
          <w:sz w:val="22"/>
          <w:szCs w:val="22"/>
        </w:rPr>
        <w:t>Vypůjčitel bude předmět výpůjčky používat pouze k </w:t>
      </w:r>
      <w:bookmarkStart w:id="1" w:name="3znysh7" w:colFirst="0" w:colLast="0"/>
      <w:bookmarkEnd w:id="1"/>
      <w:r w:rsidRPr="00214954">
        <w:rPr>
          <w:rFonts w:ascii="Calibri" w:eastAsia="Calibri" w:hAnsi="Calibri" w:cs="Calibri"/>
          <w:color w:val="000000"/>
          <w:sz w:val="22"/>
          <w:szCs w:val="22"/>
        </w:rPr>
        <w:t xml:space="preserve">tomuto účelu: </w:t>
      </w:r>
      <w:r w:rsidR="00214954" w:rsidRPr="00214954">
        <w:rPr>
          <w:rFonts w:ascii="Calibri" w:eastAsia="Calibri" w:hAnsi="Calibri" w:cs="Calibri"/>
          <w:color w:val="000000"/>
          <w:sz w:val="22"/>
          <w:szCs w:val="22"/>
        </w:rPr>
        <w:t>vystavení ve stálé expozici „Praha Karla IV. – středověké město“</w:t>
      </w:r>
      <w:r w:rsidRPr="00214954">
        <w:rPr>
          <w:rFonts w:ascii="Calibri" w:eastAsia="Calibri" w:hAnsi="Calibri" w:cs="Calibri"/>
          <w:color w:val="000000"/>
          <w:sz w:val="22"/>
          <w:szCs w:val="22"/>
        </w:rPr>
        <w:t xml:space="preserve">, k jinému účelu jej nesmí užívat a není oprávněn jej užívat užitkovým (funkčním) způsobem. </w:t>
      </w:r>
    </w:p>
    <w:p w14:paraId="2C8FF7E9" w14:textId="6442831E" w:rsidR="0013221C" w:rsidRPr="00214954" w:rsidRDefault="004721A4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tyjcwt" w:colFirst="0" w:colLast="0"/>
      <w:bookmarkEnd w:id="2"/>
      <w:r w:rsidRPr="00214954">
        <w:rPr>
          <w:rFonts w:ascii="Calibri" w:eastAsia="Calibri" w:hAnsi="Calibri" w:cs="Calibri"/>
          <w:color w:val="000000"/>
          <w:sz w:val="22"/>
          <w:szCs w:val="22"/>
        </w:rPr>
        <w:t>Vypůjčitel se zavazuje, že předmět výpůjčky bude po celou dobu trvání výpůjčky umístěn v</w:t>
      </w:r>
      <w:r w:rsidR="00214954" w:rsidRPr="00214954">
        <w:rPr>
          <w:rFonts w:ascii="Calibri" w:eastAsia="Calibri" w:hAnsi="Calibri" w:cs="Calibri"/>
          <w:color w:val="000000"/>
          <w:sz w:val="22"/>
          <w:szCs w:val="22"/>
        </w:rPr>
        <w:t xml:space="preserve"> prostorách expozice, </w:t>
      </w:r>
      <w:r w:rsidR="008E6D6F" w:rsidRPr="008E6D6F">
        <w:rPr>
          <w:rFonts w:ascii="Calibri" w:eastAsia="Calibri" w:hAnsi="Calibri" w:cs="Calibri"/>
          <w:color w:val="000000"/>
          <w:sz w:val="22"/>
          <w:szCs w:val="22"/>
        </w:rPr>
        <w:t>1. a 2</w:t>
      </w:r>
      <w:r w:rsidR="00214954" w:rsidRPr="008E6D6F">
        <w:rPr>
          <w:rFonts w:ascii="Calibri" w:eastAsia="Calibri" w:hAnsi="Calibri" w:cs="Calibri"/>
          <w:color w:val="000000"/>
          <w:sz w:val="22"/>
          <w:szCs w:val="22"/>
        </w:rPr>
        <w:t>. patro,</w:t>
      </w:r>
      <w:r w:rsidR="00214954" w:rsidRPr="00214954">
        <w:rPr>
          <w:rFonts w:ascii="Calibri" w:eastAsia="Calibri" w:hAnsi="Calibri" w:cs="Calibri"/>
          <w:color w:val="000000"/>
          <w:sz w:val="22"/>
          <w:szCs w:val="22"/>
        </w:rPr>
        <w:t xml:space="preserve"> dům U Zlatého prstenu, Týnská 630/6, 110 00 Praha 1, Staré Město</w:t>
      </w:r>
      <w:r w:rsidRPr="00214954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A266137" w14:textId="60D1BD0A" w:rsidR="0013221C" w:rsidRDefault="004721A4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14954">
        <w:rPr>
          <w:rFonts w:ascii="Calibri" w:eastAsia="Calibri" w:hAnsi="Calibri" w:cs="Calibri"/>
          <w:color w:val="000000"/>
          <w:sz w:val="22"/>
          <w:szCs w:val="22"/>
        </w:rPr>
        <w:t xml:space="preserve">Vypůjčitel není oprávněn bez předchozího písemného souhlasu </w:t>
      </w:r>
      <w:proofErr w:type="spellStart"/>
      <w:r w:rsidRPr="00214954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214954">
        <w:rPr>
          <w:rFonts w:ascii="Calibri" w:eastAsia="Calibri" w:hAnsi="Calibri" w:cs="Calibri"/>
          <w:color w:val="000000"/>
          <w:sz w:val="22"/>
          <w:szCs w:val="22"/>
        </w:rPr>
        <w:t xml:space="preserve"> předmět výpůjčky přemístit jinam, a to ani v rámci objektu, ve kterém je předmět výpůjčky umístěn. </w:t>
      </w:r>
    </w:p>
    <w:p w14:paraId="694DFFFF" w14:textId="7062D1E5" w:rsidR="00F5725A" w:rsidRDefault="00F5725A" w:rsidP="00F5725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A1B2C7D" w14:textId="77777777" w:rsidR="00F5725A" w:rsidRPr="00214954" w:rsidRDefault="00F5725A" w:rsidP="00F5725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GoBack"/>
      <w:bookmarkEnd w:id="3"/>
    </w:p>
    <w:p w14:paraId="1D6C3DF8" w14:textId="77777777" w:rsidR="0013221C" w:rsidRPr="00214954" w:rsidRDefault="004721A4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Za porušení povinností uvedených v tomto článku, je vypůjčitel povinen zaplatit smluvní pokut</w:t>
      </w:r>
      <w:r w:rsidRPr="00214954">
        <w:rPr>
          <w:rFonts w:ascii="Calibri" w:eastAsia="Calibri" w:hAnsi="Calibri" w:cs="Calibri"/>
          <w:color w:val="000000"/>
          <w:sz w:val="22"/>
          <w:szCs w:val="22"/>
        </w:rPr>
        <w:t xml:space="preserve">u ve výši </w:t>
      </w:r>
      <w:r w:rsidRPr="006749F1">
        <w:rPr>
          <w:rFonts w:ascii="Calibri" w:eastAsia="Calibri" w:hAnsi="Calibri" w:cs="Calibri"/>
          <w:color w:val="000000"/>
          <w:sz w:val="22"/>
          <w:szCs w:val="22"/>
        </w:rPr>
        <w:t>10 000 Kč</w:t>
      </w:r>
      <w:r w:rsidRPr="00214954"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5C921567" w14:textId="77777777" w:rsidR="0013221C" w:rsidRDefault="004721A4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prohlašuje, že je mu stav předmětu výpůjčky znám, a že je ve stavu vhodném pro účel výpůjčky dle ustanovení odst. 1 tohoto článku. </w:t>
      </w:r>
    </w:p>
    <w:p w14:paraId="6B4C071A" w14:textId="77777777" w:rsidR="0013221C" w:rsidRDefault="0013221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B965DB" w14:textId="77777777" w:rsidR="0013221C" w:rsidRDefault="004721A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 xml:space="preserve">Práva a povinnosti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půjčitele</w:t>
      </w:r>
      <w:proofErr w:type="spellEnd"/>
    </w:p>
    <w:p w14:paraId="098574AE" w14:textId="77777777" w:rsidR="0013221C" w:rsidRDefault="004721A4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povinen zajistit řádný a nerušený výkon práv vypůjčitele po celou dobu trvání smlouvy, aby bylo možno dosáhnout účelu užívání dle této smlouvy.</w:t>
      </w:r>
    </w:p>
    <w:p w14:paraId="5FD9DCD3" w14:textId="77777777" w:rsidR="0013221C" w:rsidRDefault="004721A4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oprávněn alespoň jednou měsíčně provést kontrolu předmětu výpůjčky, zda je předmět    výpůjčky užíván k účelu sjednanému podle této smlouvy. </w:t>
      </w:r>
    </w:p>
    <w:p w14:paraId="43F96B89" w14:textId="77777777" w:rsidR="0013221C" w:rsidRDefault="0013221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29F3B4A" w14:textId="77777777" w:rsidR="0013221C" w:rsidRDefault="004721A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Práva a povinnosti vypůjčitele</w:t>
      </w:r>
    </w:p>
    <w:p w14:paraId="41B25B87" w14:textId="77777777" w:rsidR="0013221C" w:rsidRDefault="004721A4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oprávněn užívat předmět výpůjčky k účelu uvedenému ve smlouvě, přiměřeně povaze a určení věci, vždy však v souladu s touto smlouvou a tak, aby byl předmět výpůjčky zachován v podobě, v jaké byl předán vypůjčiteli.</w:t>
      </w:r>
    </w:p>
    <w:p w14:paraId="726E151E" w14:textId="77777777" w:rsidR="0013221C" w:rsidRDefault="004721A4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 předmět výpůjčky chránit a pečovat o něj s veškerou potřebnou péčí a opatrností. Za tímto účelem se bude řídit pokyny a doporučeními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jím pověřených zaměstnanců.</w:t>
      </w:r>
    </w:p>
    <w:p w14:paraId="0CCF6224" w14:textId="74CC8F0C" w:rsidR="00BC6DA5" w:rsidRDefault="004721A4" w:rsidP="00BC6DA5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14954">
        <w:rPr>
          <w:rFonts w:ascii="Calibri" w:eastAsia="Calibri" w:hAnsi="Calibri" w:cs="Calibri"/>
          <w:color w:val="000000"/>
          <w:sz w:val="22"/>
          <w:szCs w:val="22"/>
        </w:rPr>
        <w:t xml:space="preserve">Vypůjčitel bere na vědomí, </w:t>
      </w:r>
      <w:r w:rsidR="00DA3985" w:rsidRPr="00214954">
        <w:rPr>
          <w:rFonts w:ascii="Calibri" w:eastAsia="Calibri" w:hAnsi="Calibri" w:cs="Calibri"/>
          <w:color w:val="000000"/>
          <w:sz w:val="22"/>
          <w:szCs w:val="22"/>
        </w:rPr>
        <w:t xml:space="preserve">že </w:t>
      </w:r>
      <w:r w:rsidR="00415ACA">
        <w:rPr>
          <w:rFonts w:ascii="Calibri" w:eastAsia="Calibri" w:hAnsi="Calibri" w:cs="Calibri"/>
          <w:color w:val="000000"/>
          <w:sz w:val="22"/>
          <w:szCs w:val="22"/>
        </w:rPr>
        <w:t xml:space="preserve">předmět výpůjčky je </w:t>
      </w:r>
      <w:r w:rsidR="00DA3985" w:rsidRPr="00214954">
        <w:rPr>
          <w:rFonts w:ascii="Calibri" w:eastAsia="Calibri" w:hAnsi="Calibri" w:cs="Calibri"/>
          <w:color w:val="000000"/>
          <w:sz w:val="22"/>
          <w:szCs w:val="22"/>
        </w:rPr>
        <w:t>archeologick</w:t>
      </w:r>
      <w:r w:rsidR="00415ACA">
        <w:rPr>
          <w:rFonts w:ascii="Calibri" w:eastAsia="Calibri" w:hAnsi="Calibri" w:cs="Calibri"/>
          <w:color w:val="000000"/>
          <w:sz w:val="22"/>
          <w:szCs w:val="22"/>
        </w:rPr>
        <w:t>ým</w:t>
      </w:r>
      <w:r w:rsidR="00DA3985" w:rsidRPr="00214954">
        <w:rPr>
          <w:rFonts w:ascii="Calibri" w:eastAsia="Calibri" w:hAnsi="Calibri" w:cs="Calibri"/>
          <w:color w:val="000000"/>
          <w:sz w:val="22"/>
          <w:szCs w:val="22"/>
        </w:rPr>
        <w:t xml:space="preserve"> nález</w:t>
      </w:r>
      <w:r w:rsidR="00415ACA">
        <w:rPr>
          <w:rFonts w:ascii="Calibri" w:eastAsia="Calibri" w:hAnsi="Calibri" w:cs="Calibri"/>
          <w:color w:val="000000"/>
          <w:sz w:val="22"/>
          <w:szCs w:val="22"/>
        </w:rPr>
        <w:t>em</w:t>
      </w:r>
      <w:r w:rsidR="00DA3985" w:rsidRPr="00214954">
        <w:rPr>
          <w:rFonts w:ascii="Calibri" w:eastAsia="Calibri" w:hAnsi="Calibri" w:cs="Calibri"/>
          <w:color w:val="000000"/>
          <w:sz w:val="22"/>
          <w:szCs w:val="22"/>
        </w:rPr>
        <w:t xml:space="preserve"> ve smyslu zákona č. 20/1987 Sb., o státní památkové péči, ve znění pozdějších předpisů a je při jeho užívání připraven zohlednit veškeré s tím související povinnosti</w:t>
      </w:r>
      <w:r w:rsidR="00415ACA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A588402" w14:textId="136AC197" w:rsidR="00AC6EB0" w:rsidRDefault="00BC6DA5" w:rsidP="00BC6DA5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C6DA5">
        <w:rPr>
          <w:rFonts w:ascii="Calibri" w:eastAsia="Calibri" w:hAnsi="Calibri" w:cs="Calibri"/>
          <w:color w:val="000000"/>
          <w:sz w:val="22"/>
          <w:szCs w:val="22"/>
        </w:rPr>
        <w:t xml:space="preserve">Vypůjčitel se </w:t>
      </w:r>
      <w:r w:rsidR="00415ACA">
        <w:rPr>
          <w:rFonts w:ascii="Calibri" w:eastAsia="Calibri" w:hAnsi="Calibri" w:cs="Calibri"/>
          <w:color w:val="000000"/>
          <w:sz w:val="22"/>
          <w:szCs w:val="22"/>
        </w:rPr>
        <w:t xml:space="preserve">po celou dobu platnosti této smlouvy ve vztahu k předmětu výpůjčky </w:t>
      </w:r>
      <w:r w:rsidRPr="00BC6DA5">
        <w:rPr>
          <w:rFonts w:ascii="Calibri" w:eastAsia="Calibri" w:hAnsi="Calibri" w:cs="Calibri"/>
          <w:color w:val="000000"/>
          <w:sz w:val="22"/>
          <w:szCs w:val="22"/>
        </w:rPr>
        <w:t xml:space="preserve">zavazuje učinit následující dostatečná bezpečnostní, klimatizační, popř. další opatření, aby nedošlo k poškození, ztrátě nebo zničení vypůjčených předmětů: </w:t>
      </w:r>
    </w:p>
    <w:p w14:paraId="277E1E7B" w14:textId="77777777" w:rsidR="00AC6EB0" w:rsidRDefault="00BC6DA5" w:rsidP="00AC6EB0">
      <w:pPr>
        <w:keepNext/>
        <w:keepLines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C6DA5">
        <w:rPr>
          <w:rFonts w:ascii="Calibri" w:eastAsia="Calibri" w:hAnsi="Calibri" w:cs="Calibri"/>
          <w:color w:val="000000"/>
          <w:sz w:val="22"/>
          <w:szCs w:val="22"/>
        </w:rPr>
        <w:t>Bezpečnostní podmínky: obvyklé v režimu muzea, nepřístupné pro dotek návštěvníka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365091E4" w14:textId="6698C794" w:rsidR="00180BB4" w:rsidRPr="00180BB4" w:rsidRDefault="00180BB4" w:rsidP="00180BB4">
      <w:pPr>
        <w:keepNext/>
        <w:keepLines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Stabilní k</w:t>
      </w:r>
      <w:r w:rsidR="00BC6DA5" w:rsidRPr="00BC6DA5">
        <w:rPr>
          <w:rFonts w:ascii="Calibri" w:eastAsia="Calibri" w:hAnsi="Calibri" w:cs="Calibri"/>
          <w:color w:val="000000"/>
          <w:sz w:val="22"/>
          <w:szCs w:val="22"/>
        </w:rPr>
        <w:t>limatické podmínky odpovídající povaze předmět</w:t>
      </w:r>
      <w:r w:rsidR="00415ACA">
        <w:rPr>
          <w:rFonts w:ascii="Calibri" w:eastAsia="Calibri" w:hAnsi="Calibri" w:cs="Calibri"/>
          <w:color w:val="000000"/>
          <w:sz w:val="22"/>
          <w:szCs w:val="22"/>
        </w:rPr>
        <w:t>u výpůjčky</w:t>
      </w:r>
      <w:r w:rsidR="00BC6DA5" w:rsidRPr="00BC6DA5">
        <w:rPr>
          <w:rFonts w:ascii="Calibri" w:eastAsia="Calibri" w:hAnsi="Calibri" w:cs="Calibri"/>
          <w:color w:val="000000"/>
          <w:sz w:val="22"/>
          <w:szCs w:val="22"/>
        </w:rPr>
        <w:t xml:space="preserve"> a je</w:t>
      </w:r>
      <w:r w:rsidR="00415ACA">
        <w:rPr>
          <w:rFonts w:ascii="Calibri" w:eastAsia="Calibri" w:hAnsi="Calibri" w:cs="Calibri"/>
          <w:color w:val="000000"/>
          <w:sz w:val="22"/>
          <w:szCs w:val="22"/>
        </w:rPr>
        <w:t>ho</w:t>
      </w:r>
      <w:r w:rsidR="00BC6DA5" w:rsidRPr="00BC6DA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BC6DA5" w:rsidRPr="00180BB4">
        <w:rPr>
          <w:rFonts w:ascii="Calibri" w:eastAsia="Calibri" w:hAnsi="Calibri" w:cs="Calibri"/>
          <w:color w:val="000000"/>
          <w:sz w:val="22"/>
          <w:szCs w:val="22"/>
        </w:rPr>
        <w:t>specifikac</w:t>
      </w:r>
      <w:r w:rsidRPr="00180BB4">
        <w:rPr>
          <w:rFonts w:ascii="Calibri" w:eastAsia="Calibri" w:hAnsi="Calibri" w:cs="Calibri"/>
          <w:color w:val="000000"/>
          <w:sz w:val="22"/>
          <w:szCs w:val="22"/>
        </w:rPr>
        <w:t xml:space="preserve">i: zabezpečení proti mechanickému poškození a proti prachu, teplota 18-20 °C, relativní vlhkost 40-50 %, osvětlení 150 </w:t>
      </w:r>
      <w:r>
        <w:rPr>
          <w:rFonts w:ascii="Calibri" w:eastAsia="Calibri" w:hAnsi="Calibri" w:cs="Calibri"/>
          <w:color w:val="000000"/>
          <w:sz w:val="22"/>
          <w:szCs w:val="22"/>
        </w:rPr>
        <w:t>až</w:t>
      </w:r>
      <w:r w:rsidRPr="00180BB4">
        <w:rPr>
          <w:rFonts w:ascii="Calibri" w:eastAsia="Calibri" w:hAnsi="Calibri" w:cs="Calibri"/>
          <w:color w:val="000000"/>
          <w:sz w:val="22"/>
          <w:szCs w:val="22"/>
        </w:rPr>
        <w:t xml:space="preserve"> 200 </w:t>
      </w:r>
      <w:proofErr w:type="spellStart"/>
      <w:r w:rsidRPr="00180BB4">
        <w:rPr>
          <w:rFonts w:ascii="Calibri" w:eastAsia="Calibri" w:hAnsi="Calibri" w:cs="Calibri"/>
          <w:color w:val="000000"/>
          <w:sz w:val="22"/>
          <w:szCs w:val="22"/>
        </w:rPr>
        <w:t>lx</w:t>
      </w:r>
      <w:proofErr w:type="spellEnd"/>
      <w:r w:rsidRPr="00180BB4">
        <w:rPr>
          <w:rFonts w:ascii="Calibri" w:eastAsia="Calibri" w:hAnsi="Calibri" w:cs="Calibri"/>
          <w:color w:val="000000"/>
          <w:sz w:val="22"/>
          <w:szCs w:val="22"/>
        </w:rPr>
        <w:t xml:space="preserve"> s podílem UV složky záření optimálně méně než 10 </w:t>
      </w:r>
      <w:proofErr w:type="spellStart"/>
      <w:r w:rsidRPr="00180BB4">
        <w:rPr>
          <w:rFonts w:ascii="Calibri" w:eastAsia="Calibri" w:hAnsi="Calibri" w:cs="Calibri"/>
          <w:color w:val="000000"/>
          <w:sz w:val="22"/>
          <w:szCs w:val="22"/>
        </w:rPr>
        <w:t>μW</w:t>
      </w:r>
      <w:proofErr w:type="spellEnd"/>
      <w:r w:rsidRPr="00180BB4">
        <w:rPr>
          <w:rFonts w:ascii="Calibri" w:eastAsia="Calibri" w:hAnsi="Calibri" w:cs="Calibri"/>
          <w:color w:val="000000"/>
          <w:sz w:val="22"/>
          <w:szCs w:val="22"/>
        </w:rPr>
        <w:t>/</w:t>
      </w:r>
      <w:proofErr w:type="spellStart"/>
      <w:r w:rsidRPr="00180BB4">
        <w:rPr>
          <w:rFonts w:ascii="Calibri" w:eastAsia="Calibri" w:hAnsi="Calibri" w:cs="Calibri"/>
          <w:color w:val="000000"/>
          <w:sz w:val="22"/>
          <w:szCs w:val="22"/>
        </w:rPr>
        <w:t>lm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23B16EF" w14:textId="77777777" w:rsidR="0013221C" w:rsidRDefault="004721A4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A3985">
        <w:rPr>
          <w:rFonts w:ascii="Calibri" w:eastAsia="Calibri" w:hAnsi="Calibri" w:cs="Calibri"/>
          <w:color w:val="000000"/>
          <w:sz w:val="22"/>
          <w:szCs w:val="22"/>
        </w:rPr>
        <w:t>Vypůjčitel není oprávněn předmět výpůjčky nebo jeho část dále pronajímat ani jinak umožnit jeho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užívání třetí osobou. </w:t>
      </w:r>
    </w:p>
    <w:p w14:paraId="3FEBA6F1" w14:textId="77777777" w:rsidR="0013221C" w:rsidRDefault="004721A4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odpovídá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za řádné užívání předmětu výpůjčky a není oprávněn na předmětu výpůjčky provádět změny a úpravy.</w:t>
      </w:r>
    </w:p>
    <w:p w14:paraId="4E703667" w14:textId="11C423C0" w:rsidR="0013221C" w:rsidRDefault="004721A4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Došlo-li k poškození předmětu výpůjčky (jeho části), je vypůjčitel povinen toto bezodkladně oznámit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dále je vypůjčitel povinen v souladu s pokyny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věc uvést do původního stavu, dá-li k tomu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souhlas; není-li to možné či nedá-li k tomu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souhlas, je vypůjčitel povinen uhradit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náklady na restaurování či opravy předmětu výpůjčky a jinou vzniklou škodu.</w:t>
      </w:r>
    </w:p>
    <w:p w14:paraId="41E3F8DE" w14:textId="5F7DB993" w:rsidR="0013221C" w:rsidRPr="00180BB4" w:rsidRDefault="004721A4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80BB4">
        <w:rPr>
          <w:rFonts w:ascii="Calibri" w:eastAsia="Calibri" w:hAnsi="Calibri" w:cs="Calibri"/>
          <w:color w:val="000000"/>
          <w:sz w:val="22"/>
          <w:szCs w:val="22"/>
        </w:rPr>
        <w:t>Vypůjčitel je povinen předmět výpůjčky ke dni vzniku výpůjčky pojistit, a to na pojistnou částku</w:t>
      </w:r>
      <w:r w:rsidR="00180BB4" w:rsidRPr="00180BB4">
        <w:t xml:space="preserve"> </w:t>
      </w:r>
      <w:r w:rsidR="00066A7B">
        <w:rPr>
          <w:rFonts w:ascii="Calibri" w:eastAsia="Calibri" w:hAnsi="Calibri" w:cs="Calibri"/>
          <w:color w:val="000000"/>
          <w:sz w:val="22"/>
          <w:szCs w:val="22"/>
        </w:rPr>
        <w:t>822</w:t>
      </w:r>
      <w:r w:rsidR="00415AC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80BB4" w:rsidRPr="00180BB4">
        <w:rPr>
          <w:rFonts w:ascii="Calibri" w:eastAsia="Calibri" w:hAnsi="Calibri" w:cs="Calibri"/>
          <w:color w:val="000000"/>
          <w:sz w:val="22"/>
          <w:szCs w:val="22"/>
        </w:rPr>
        <w:t xml:space="preserve">000 Kč </w:t>
      </w:r>
      <w:r w:rsidRPr="00180BB4">
        <w:rPr>
          <w:rFonts w:ascii="Calibri" w:eastAsia="Calibri" w:hAnsi="Calibri" w:cs="Calibri"/>
          <w:color w:val="000000"/>
          <w:sz w:val="22"/>
          <w:szCs w:val="22"/>
        </w:rPr>
        <w:t>a zajistit platnost pojištění v uvedené výši po celou dobu platnosti této smlouvy.</w:t>
      </w:r>
    </w:p>
    <w:p w14:paraId="61CF2241" w14:textId="77777777" w:rsidR="0013221C" w:rsidRDefault="004721A4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musí umožnit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provádět kontrolu předmětu výpůjčky, účinně s ním spolupracovat při jejím výkonu, umožnit mu přístup k celému předmětu výpůjčky a umožnit mu pořizování jeho obrazové a jiné dokumentace.  </w:t>
      </w:r>
    </w:p>
    <w:p w14:paraId="62620E00" w14:textId="77777777" w:rsidR="0013221C" w:rsidRDefault="004721A4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 porušení povinností uvedených v tomto článku, je vypůjčitel povinen zaplatit smluvní pokutu ve výši 10 000 Kč za každý takovýto případ.</w:t>
      </w:r>
    </w:p>
    <w:p w14:paraId="66BFEF8A" w14:textId="77777777" w:rsidR="0013221C" w:rsidRDefault="0013221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14:paraId="6C555D4B" w14:textId="77777777" w:rsidR="0013221C" w:rsidRDefault="0013221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14:paraId="21E8F01F" w14:textId="77777777" w:rsidR="0013221C" w:rsidRDefault="004721A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Doba výpůjčky a ukončení výpůjčky</w:t>
      </w:r>
    </w:p>
    <w:p w14:paraId="0050A211" w14:textId="019B8C53" w:rsidR="0013221C" w:rsidRPr="008E6D6F" w:rsidRDefault="004721A4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E6D6F">
        <w:rPr>
          <w:rFonts w:ascii="Calibri" w:eastAsia="Calibri" w:hAnsi="Calibri" w:cs="Calibri"/>
          <w:color w:val="000000"/>
          <w:sz w:val="22"/>
          <w:szCs w:val="22"/>
        </w:rPr>
        <w:t xml:space="preserve">Výpůjčka se sjednává na dobu určitou od </w:t>
      </w:r>
      <w:r w:rsidR="008E6D6F" w:rsidRPr="008E6D6F">
        <w:rPr>
          <w:rFonts w:ascii="Calibri" w:eastAsia="Calibri" w:hAnsi="Calibri" w:cs="Calibri"/>
          <w:color w:val="000000"/>
          <w:sz w:val="22"/>
          <w:szCs w:val="22"/>
        </w:rPr>
        <w:t>9</w:t>
      </w:r>
      <w:r w:rsidR="00BC6DA5" w:rsidRPr="008E6D6F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001F5F" w:rsidRPr="008E6D6F">
        <w:rPr>
          <w:rFonts w:ascii="Calibri" w:eastAsia="Calibri" w:hAnsi="Calibri" w:cs="Calibri"/>
          <w:color w:val="000000"/>
          <w:sz w:val="22"/>
          <w:szCs w:val="22"/>
        </w:rPr>
        <w:t>9</w:t>
      </w:r>
      <w:r w:rsidR="00BC6DA5" w:rsidRPr="008E6D6F">
        <w:rPr>
          <w:rFonts w:ascii="Calibri" w:eastAsia="Calibri" w:hAnsi="Calibri" w:cs="Calibri"/>
          <w:color w:val="000000"/>
          <w:sz w:val="22"/>
          <w:szCs w:val="22"/>
        </w:rPr>
        <w:t>. 2024</w:t>
      </w:r>
      <w:r w:rsidRPr="008E6D6F">
        <w:rPr>
          <w:rFonts w:ascii="Calibri" w:eastAsia="Calibri" w:hAnsi="Calibri" w:cs="Calibri"/>
          <w:color w:val="000000"/>
          <w:sz w:val="22"/>
          <w:szCs w:val="22"/>
        </w:rPr>
        <w:t xml:space="preserve"> do </w:t>
      </w:r>
      <w:r w:rsidR="008E6D6F" w:rsidRPr="008E6D6F">
        <w:rPr>
          <w:rFonts w:ascii="Calibri" w:eastAsia="Calibri" w:hAnsi="Calibri" w:cs="Calibri"/>
          <w:color w:val="000000"/>
          <w:sz w:val="22"/>
          <w:szCs w:val="22"/>
        </w:rPr>
        <w:t>9</w:t>
      </w:r>
      <w:r w:rsidR="00BC6DA5" w:rsidRPr="008E6D6F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001F5F" w:rsidRPr="008E6D6F">
        <w:rPr>
          <w:rFonts w:ascii="Calibri" w:eastAsia="Calibri" w:hAnsi="Calibri" w:cs="Calibri"/>
          <w:color w:val="000000"/>
          <w:sz w:val="22"/>
          <w:szCs w:val="22"/>
        </w:rPr>
        <w:t>9</w:t>
      </w:r>
      <w:r w:rsidR="00BC6DA5" w:rsidRPr="008E6D6F">
        <w:rPr>
          <w:rFonts w:ascii="Calibri" w:eastAsia="Calibri" w:hAnsi="Calibri" w:cs="Calibri"/>
          <w:color w:val="000000"/>
          <w:sz w:val="22"/>
          <w:szCs w:val="22"/>
        </w:rPr>
        <w:t>. 2027</w:t>
      </w:r>
      <w:r w:rsidRPr="008E6D6F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3066209F" w14:textId="1EDA40A7" w:rsidR="0013221C" w:rsidRPr="00BC6DA5" w:rsidRDefault="004721A4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C6DA5">
        <w:rPr>
          <w:rFonts w:ascii="Calibri" w:eastAsia="Calibri" w:hAnsi="Calibri" w:cs="Calibri"/>
          <w:color w:val="000000"/>
          <w:sz w:val="22"/>
          <w:szCs w:val="22"/>
        </w:rPr>
        <w:lastRenderedPageBreak/>
        <w:t>O předání předmětu výpůjčky bude mezi smluvními stranami sepsán protokol s podpisem obou smluvních stran. Dobu a místo předání předmětu výpůjčky si smluvní strany mezi sebou dohodnou.</w:t>
      </w:r>
    </w:p>
    <w:p w14:paraId="7E325B67" w14:textId="11EF1D3B" w:rsidR="006749F1" w:rsidRDefault="00BC6DA5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21E7">
        <w:rPr>
          <w:rFonts w:ascii="Calibri" w:eastAsia="Calibri" w:hAnsi="Calibri" w:cs="Calibri"/>
          <w:color w:val="000000"/>
          <w:sz w:val="22"/>
          <w:szCs w:val="22"/>
        </w:rPr>
        <w:t xml:space="preserve">S předmětem výpůjčky bude nakládáno odborně, vhodné zabalení dle pokynů </w:t>
      </w:r>
      <w:proofErr w:type="spellStart"/>
      <w:r w:rsidRPr="007621E7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7621E7">
        <w:rPr>
          <w:rFonts w:ascii="Calibri" w:eastAsia="Calibri" w:hAnsi="Calibri" w:cs="Calibri"/>
          <w:color w:val="000000"/>
          <w:sz w:val="22"/>
          <w:szCs w:val="22"/>
        </w:rPr>
        <w:t xml:space="preserve"> a odpovídající transport </w:t>
      </w:r>
      <w:r w:rsidR="00415ACA">
        <w:rPr>
          <w:rFonts w:ascii="Calibri" w:eastAsia="Calibri" w:hAnsi="Calibri" w:cs="Calibri"/>
          <w:color w:val="000000"/>
          <w:sz w:val="22"/>
          <w:szCs w:val="22"/>
        </w:rPr>
        <w:t xml:space="preserve">za podmínek schválených </w:t>
      </w:r>
      <w:proofErr w:type="spellStart"/>
      <w:r w:rsidR="00415ACA">
        <w:rPr>
          <w:rFonts w:ascii="Calibri" w:eastAsia="Calibri" w:hAnsi="Calibri" w:cs="Calibri"/>
          <w:color w:val="000000"/>
          <w:sz w:val="22"/>
          <w:szCs w:val="22"/>
        </w:rPr>
        <w:t>půjčitelem</w:t>
      </w:r>
      <w:proofErr w:type="spellEnd"/>
      <w:r w:rsidR="00415AC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621E7">
        <w:rPr>
          <w:rFonts w:ascii="Calibri" w:eastAsia="Calibri" w:hAnsi="Calibri" w:cs="Calibri"/>
          <w:color w:val="000000"/>
          <w:sz w:val="22"/>
          <w:szCs w:val="22"/>
        </w:rPr>
        <w:t xml:space="preserve">zajišťuje na své nebezpečí i náklady vypůjčitel, pokud nebude ujednáno jinak. </w:t>
      </w:r>
    </w:p>
    <w:p w14:paraId="766FDEBD" w14:textId="093B9477" w:rsidR="00BC6DA5" w:rsidRPr="007621E7" w:rsidRDefault="009C3427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21E7">
        <w:rPr>
          <w:rFonts w:ascii="Calibri" w:eastAsia="Calibri" w:hAnsi="Calibri" w:cs="Calibri"/>
          <w:color w:val="000000"/>
          <w:sz w:val="22"/>
          <w:szCs w:val="22"/>
        </w:rPr>
        <w:t>O navrácení předmětu výpůjčky bude mezi smluvními stranami sepsán protokol s podpisem obou smluvních stran</w:t>
      </w:r>
      <w:r w:rsidR="006749F1">
        <w:rPr>
          <w:rFonts w:ascii="Calibri" w:eastAsia="Calibri" w:hAnsi="Calibri" w:cs="Calibri"/>
          <w:color w:val="000000"/>
          <w:sz w:val="22"/>
          <w:szCs w:val="22"/>
        </w:rPr>
        <w:t>. Smluvní strany v protokolu o navrácení předmětu výpůjčky</w:t>
      </w:r>
      <w:r w:rsidR="006749F1" w:rsidRPr="006749F1">
        <w:rPr>
          <w:rFonts w:ascii="Calibri" w:eastAsia="Calibri" w:hAnsi="Calibri" w:cs="Calibri"/>
          <w:color w:val="000000"/>
          <w:sz w:val="22"/>
          <w:szCs w:val="22"/>
        </w:rPr>
        <w:t xml:space="preserve"> uvedou </w:t>
      </w:r>
      <w:r w:rsidR="006749F1">
        <w:rPr>
          <w:rFonts w:ascii="Calibri" w:eastAsia="Calibri" w:hAnsi="Calibri" w:cs="Calibri"/>
          <w:color w:val="000000"/>
          <w:sz w:val="22"/>
          <w:szCs w:val="22"/>
        </w:rPr>
        <w:t xml:space="preserve">jeho </w:t>
      </w:r>
      <w:r w:rsidR="006749F1" w:rsidRPr="006749F1">
        <w:rPr>
          <w:rFonts w:ascii="Calibri" w:eastAsia="Calibri" w:hAnsi="Calibri" w:cs="Calibri"/>
          <w:color w:val="000000"/>
          <w:sz w:val="22"/>
          <w:szCs w:val="22"/>
        </w:rPr>
        <w:t xml:space="preserve">stav ke dni předání </w:t>
      </w:r>
      <w:r w:rsidR="00415ACA">
        <w:rPr>
          <w:rFonts w:ascii="Calibri" w:eastAsia="Calibri" w:hAnsi="Calibri" w:cs="Calibri"/>
          <w:color w:val="000000"/>
          <w:sz w:val="22"/>
          <w:szCs w:val="22"/>
        </w:rPr>
        <w:t xml:space="preserve">zpět </w:t>
      </w:r>
      <w:proofErr w:type="spellStart"/>
      <w:r w:rsidR="006749F1" w:rsidRPr="006749F1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="006749F1" w:rsidRPr="006749F1">
        <w:rPr>
          <w:rFonts w:ascii="Calibri" w:eastAsia="Calibri" w:hAnsi="Calibri" w:cs="Calibri"/>
          <w:color w:val="000000"/>
          <w:sz w:val="22"/>
          <w:szCs w:val="22"/>
        </w:rPr>
        <w:t xml:space="preserve"> a další podstatné okolnosti související s předáním a stavem předmětu výpůjčky</w:t>
      </w:r>
      <w:r w:rsidR="006749F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35EF1C3D" w14:textId="18B4D6A5" w:rsidR="00BC6DA5" w:rsidRPr="007621E7" w:rsidRDefault="00BC6DA5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21E7">
        <w:rPr>
          <w:rFonts w:ascii="Calibri" w:eastAsia="Calibri" w:hAnsi="Calibri" w:cs="Calibri"/>
          <w:color w:val="000000"/>
          <w:sz w:val="22"/>
          <w:szCs w:val="22"/>
        </w:rPr>
        <w:t>Předmět výpůjčky bude vrácen ve stanoveném termínu a způsobem předem dohodnutým</w:t>
      </w:r>
      <w:r w:rsidR="009C3427" w:rsidRPr="007621E7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58FE4150" w14:textId="55C15451" w:rsidR="0013221C" w:rsidRPr="00BC6DA5" w:rsidRDefault="004721A4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C6DA5">
        <w:rPr>
          <w:rFonts w:ascii="Calibri" w:eastAsia="Calibri" w:hAnsi="Calibri" w:cs="Calibri"/>
          <w:color w:val="000000"/>
          <w:sz w:val="22"/>
          <w:szCs w:val="22"/>
        </w:rPr>
        <w:t xml:space="preserve">Každá ze smluvních stran může smlouvu písemně vypovědět i bez udání důvodů s výpovědní </w:t>
      </w:r>
      <w:r w:rsidR="00415ACA">
        <w:rPr>
          <w:rFonts w:ascii="Calibri" w:eastAsia="Calibri" w:hAnsi="Calibri" w:cs="Calibri"/>
          <w:color w:val="000000"/>
          <w:sz w:val="22"/>
          <w:szCs w:val="22"/>
        </w:rPr>
        <w:t>dobou</w:t>
      </w:r>
      <w:r w:rsidRPr="00BC6DA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BC6DA5" w:rsidRPr="00BC6DA5">
        <w:rPr>
          <w:rFonts w:ascii="Calibri" w:eastAsia="Calibri" w:hAnsi="Calibri" w:cs="Calibri"/>
          <w:color w:val="000000"/>
          <w:sz w:val="22"/>
          <w:szCs w:val="22"/>
        </w:rPr>
        <w:t>30</w:t>
      </w:r>
      <w:r w:rsidRPr="00BC6DA5">
        <w:rPr>
          <w:rFonts w:ascii="Calibri" w:eastAsia="Calibri" w:hAnsi="Calibri" w:cs="Calibri"/>
          <w:color w:val="000000"/>
          <w:sz w:val="22"/>
          <w:szCs w:val="22"/>
        </w:rPr>
        <w:t xml:space="preserve"> dní. Výpovědní doba běží od prvního dne kalendářního </w:t>
      </w:r>
      <w:r w:rsidR="00415ACA">
        <w:rPr>
          <w:rFonts w:ascii="Calibri" w:eastAsia="Calibri" w:hAnsi="Calibri" w:cs="Calibri"/>
          <w:color w:val="000000"/>
          <w:sz w:val="22"/>
          <w:szCs w:val="22"/>
        </w:rPr>
        <w:t>měsíce</w:t>
      </w:r>
      <w:r w:rsidR="00BC6DA5" w:rsidRPr="00BC6DA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BC6DA5">
        <w:rPr>
          <w:rFonts w:ascii="Calibri" w:eastAsia="Calibri" w:hAnsi="Calibri" w:cs="Calibri"/>
          <w:color w:val="000000"/>
          <w:sz w:val="22"/>
          <w:szCs w:val="22"/>
        </w:rPr>
        <w:t>následujícího po</w:t>
      </w:r>
      <w:r w:rsidR="001718CA">
        <w:rPr>
          <w:rFonts w:ascii="Calibri" w:eastAsia="Calibri" w:hAnsi="Calibri" w:cs="Calibri"/>
          <w:color w:val="000000"/>
          <w:sz w:val="22"/>
          <w:szCs w:val="22"/>
        </w:rPr>
        <w:t xml:space="preserve"> měsíci</w:t>
      </w:r>
      <w:r w:rsidRPr="00BC6DA5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1718CA">
        <w:rPr>
          <w:rFonts w:ascii="Calibri" w:eastAsia="Calibri" w:hAnsi="Calibri" w:cs="Calibri"/>
          <w:color w:val="000000"/>
          <w:sz w:val="22"/>
          <w:szCs w:val="22"/>
        </w:rPr>
        <w:t>kdy</w:t>
      </w:r>
      <w:r w:rsidRPr="00BC6DA5">
        <w:rPr>
          <w:rFonts w:ascii="Calibri" w:eastAsia="Calibri" w:hAnsi="Calibri" w:cs="Calibri"/>
          <w:color w:val="000000"/>
          <w:sz w:val="22"/>
          <w:szCs w:val="22"/>
        </w:rPr>
        <w:t xml:space="preserve"> byla výpověď doručena druhé straně.</w:t>
      </w:r>
    </w:p>
    <w:p w14:paraId="2D1C8237" w14:textId="77777777" w:rsidR="0013221C" w:rsidRDefault="004721A4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oprávněn písemně vypovědět smlouvu bez výpovědní doby v případech, kdy vypůjčitel porušuje své povinnosti zvlášť závažným způsobem. Za zvlášť závažné porušení povinností vypůjčitelem se považuje zejména:</w:t>
      </w:r>
    </w:p>
    <w:p w14:paraId="39BC3DE4" w14:textId="09E4CC35" w:rsidR="0013221C" w:rsidRPr="00180BB4" w:rsidRDefault="004721A4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1418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80BB4">
        <w:rPr>
          <w:rFonts w:ascii="Calibri" w:eastAsia="Calibri" w:hAnsi="Calibri" w:cs="Calibri"/>
          <w:color w:val="000000"/>
          <w:sz w:val="22"/>
          <w:szCs w:val="22"/>
        </w:rPr>
        <w:t xml:space="preserve">jestliže vypůjčitel užívá předmět výpůjčky jiným způsobem nebo k jinému než sjednanému účelu, nebo nedodržuje závazné podmínky stanovené pro užívání předmětu výpůjčky (např. </w:t>
      </w:r>
      <w:r w:rsidR="00BC6DA5" w:rsidRPr="00180BB4">
        <w:rPr>
          <w:rFonts w:ascii="Calibri" w:eastAsia="Calibri" w:hAnsi="Calibri" w:cs="Calibri"/>
          <w:color w:val="000000"/>
          <w:sz w:val="22"/>
          <w:szCs w:val="22"/>
        </w:rPr>
        <w:t>nedodržení bezpečnostních a klimatických opatření</w:t>
      </w:r>
      <w:r w:rsidRPr="00180BB4">
        <w:rPr>
          <w:rFonts w:ascii="Calibri" w:eastAsia="Calibri" w:hAnsi="Calibri" w:cs="Calibri"/>
          <w:color w:val="000000"/>
          <w:sz w:val="22"/>
          <w:szCs w:val="22"/>
        </w:rPr>
        <w:t>).</w:t>
      </w:r>
    </w:p>
    <w:p w14:paraId="059F195E" w14:textId="77777777" w:rsidR="0013221C" w:rsidRPr="00180BB4" w:rsidRDefault="004721A4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1418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80BB4">
        <w:rPr>
          <w:rFonts w:ascii="Calibri" w:eastAsia="Calibri" w:hAnsi="Calibri" w:cs="Calibri"/>
          <w:color w:val="000000"/>
          <w:sz w:val="22"/>
          <w:szCs w:val="22"/>
        </w:rPr>
        <w:t>jestliže vypůjčitel poškozuje předmět výpůjčky závažným nebo nenapravitelným způsobem nebo způsobí-li jinak závažnou škodu na předmětu výpůjčky.</w:t>
      </w:r>
    </w:p>
    <w:p w14:paraId="439CCDD7" w14:textId="77777777" w:rsidR="0013221C" w:rsidRPr="00180BB4" w:rsidRDefault="004721A4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1418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80BB4">
        <w:rPr>
          <w:rFonts w:ascii="Calibri" w:eastAsia="Calibri" w:hAnsi="Calibri" w:cs="Calibri"/>
          <w:color w:val="000000"/>
          <w:sz w:val="22"/>
          <w:szCs w:val="22"/>
        </w:rPr>
        <w:t>pokud přestanou být plněny podmínky podle článku I. odst. 2. smlouvy</w:t>
      </w:r>
    </w:p>
    <w:p w14:paraId="71918EC3" w14:textId="77777777" w:rsidR="0013221C" w:rsidRDefault="004721A4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Při výpovědi bez výpovědní doby skončí platnost smlouvy dnem následujícím po doručení výpovědi druhé smluvní straně.</w:t>
      </w:r>
    </w:p>
    <w:p w14:paraId="781ED0FD" w14:textId="77777777" w:rsidR="0013221C" w:rsidRDefault="004721A4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 případ prodlení s vrácením předmětu výpůjčky je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oprávněn požadovat po vypůjčiteli</w:t>
      </w:r>
      <w:bookmarkStart w:id="4" w:name="3dy6vkm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 xml:space="preserve"> smluvní pokutu ve </w:t>
      </w:r>
      <w:r w:rsidRPr="006749F1">
        <w:rPr>
          <w:rFonts w:ascii="Calibri" w:eastAsia="Calibri" w:hAnsi="Calibri" w:cs="Calibri"/>
          <w:color w:val="000000"/>
          <w:sz w:val="22"/>
          <w:szCs w:val="22"/>
        </w:rPr>
        <w:t>výši 3 000 Kč z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 každý den prodlení, a to bez ohledu na zavinění vypůjčitele. </w:t>
      </w:r>
    </w:p>
    <w:p w14:paraId="51446761" w14:textId="77777777" w:rsidR="0013221C" w:rsidRDefault="0013221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83EDC9D" w14:textId="77777777" w:rsidR="0013221C" w:rsidRDefault="004721A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5" w:name="_1t3h5sf" w:colFirst="0" w:colLast="0"/>
      <w:bookmarkEnd w:id="5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VII.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Závěrečná ustanovení</w:t>
      </w:r>
    </w:p>
    <w:p w14:paraId="579A97E6" w14:textId="77777777" w:rsidR="009B795E" w:rsidRDefault="004721A4" w:rsidP="00D671DA">
      <w:pPr>
        <w:keepNext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pokuty dle této smlouvy jsou splatné do 21 dnů od doručení písemné výzvy druhé smluvní straně. Uhrazením smluvní pokuty není dotčen nárok na náhradu škody</w:t>
      </w:r>
      <w:r w:rsidR="009B795E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3915D5E" w14:textId="35BE10E3" w:rsidR="0013221C" w:rsidRPr="009B795E" w:rsidRDefault="004721A4" w:rsidP="00D671DA">
      <w:pPr>
        <w:keepNext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9B795E">
        <w:rPr>
          <w:rFonts w:asciiTheme="majorHAnsi" w:eastAsia="Calibri" w:hAnsiTheme="majorHAnsi" w:cstheme="majorHAnsi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</w:t>
      </w:r>
      <w:r w:rsidR="00D671DA" w:rsidRPr="009B795E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9B795E">
        <w:rPr>
          <w:rFonts w:asciiTheme="majorHAnsi" w:eastAsia="Calibri" w:hAnsiTheme="majorHAnsi" w:cstheme="majorHAnsi"/>
          <w:sz w:val="22"/>
          <w:szCs w:val="22"/>
        </w:rPr>
        <w:lastRenderedPageBreak/>
        <w:t>předpisů.</w:t>
      </w:r>
    </w:p>
    <w:p w14:paraId="1AB7A954" w14:textId="77777777" w:rsidR="0013221C" w:rsidRDefault="004721A4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si ujednaly, že ustanovení § 2200 zákona č. 89/2012 Sb., občanský zákoník, v platném znění, se neužije.</w:t>
      </w:r>
    </w:p>
    <w:p w14:paraId="12E7CE9D" w14:textId="13FB37EF" w:rsidR="0013221C" w:rsidRDefault="00BC6DA5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 w:rsidR="004721A4">
        <w:rPr>
          <w:rFonts w:ascii="Calibri" w:eastAsia="Calibri" w:hAnsi="Calibri" w:cs="Calibri"/>
          <w:color w:val="000000"/>
          <w:sz w:val="22"/>
          <w:szCs w:val="22"/>
        </w:rPr>
        <w:t>ato smlouva se uzavírá elektronickou formou s kvalifikovanými elektronickými podpisy smluvních stran.</w:t>
      </w:r>
    </w:p>
    <w:p w14:paraId="61EE215E" w14:textId="14AB63AB" w:rsidR="0013221C" w:rsidRDefault="004721A4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6" w:name="_4d34og8" w:colFirst="0" w:colLast="0"/>
      <w:bookmarkEnd w:id="6"/>
      <w:r w:rsidRPr="007621E7">
        <w:rPr>
          <w:rFonts w:ascii="Calibri" w:eastAsia="Calibri" w:hAnsi="Calibri" w:cs="Calibri"/>
          <w:color w:val="000000"/>
          <w:sz w:val="22"/>
          <w:szCs w:val="22"/>
        </w:rPr>
        <w:t xml:space="preserve">Tato smlouva podléhá povinnosti uveřejnění dle zákona č. 340/2015 Sb., o zvláštních podmínkách účinnosti některých smluv, uveřejňování těchto smluv a o registru smluv (zákon o registru smluv), ve znění pozdějších předpisů a nabude účinnosti dnem uveřejnění v registru smluv; její uveřejnění zajistí </w:t>
      </w:r>
      <w:proofErr w:type="spellStart"/>
      <w:r w:rsidRPr="007621E7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621E7">
        <w:rPr>
          <w:rFonts w:ascii="Calibri" w:eastAsia="Calibri" w:hAnsi="Calibri" w:cs="Calibri"/>
          <w:color w:val="000000"/>
          <w:sz w:val="22"/>
          <w:szCs w:val="22"/>
        </w:rPr>
        <w:t>. Smluvní strany konstatují, že pro účely registru smluv není možné určit hodnotu plnění této smlouvy.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14:paraId="0783062B" w14:textId="77777777" w:rsidR="0013221C" w:rsidRDefault="004721A4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48904C21" w14:textId="77777777" w:rsidR="0013221C" w:rsidRPr="007621E7" w:rsidRDefault="004721A4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7" w:name="_2s8eyo1" w:colFirst="0" w:colLast="0"/>
      <w:bookmarkEnd w:id="7"/>
      <w:r w:rsidRPr="007621E7"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dodatky, které budou vyhotoveny v elektronické podobě a opatřeny kvalifikovanými elektronickými podpisy. </w:t>
      </w:r>
    </w:p>
    <w:p w14:paraId="62C563C8" w14:textId="77777777" w:rsidR="0013221C" w:rsidRDefault="004721A4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4991C8AC" w14:textId="77777777" w:rsidR="0013221C" w:rsidRPr="00BC6DA5" w:rsidRDefault="004721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C6DA5"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NPÚ uveřejněny na webových stránkách </w:t>
      </w:r>
      <w:hyperlink r:id="rId8">
        <w:r w:rsidRPr="00BC6DA5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www.npu.cz</w:t>
        </w:r>
      </w:hyperlink>
      <w:r w:rsidRPr="00BC6DA5"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78CC403A" w14:textId="77777777" w:rsidR="0013221C" w:rsidRDefault="0013221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EC8F7CA" w14:textId="77777777" w:rsidR="0013221C" w:rsidRDefault="004721A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Příloha: </w:t>
      </w:r>
    </w:p>
    <w:p w14:paraId="0ED6F101" w14:textId="28A35309" w:rsidR="0013221C" w:rsidRDefault="004721A4" w:rsidP="00BC6DA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Příloha č. 1 - Inventární seznam s popisem předmětu výpůjčky</w:t>
      </w:r>
      <w:r w:rsidR="00BC6DA5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CB53865" w14:textId="6F41300A" w:rsidR="00DB4BB5" w:rsidRDefault="00DB4BB5" w:rsidP="00BC6DA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2DCD610" w14:textId="5D0CE2FA" w:rsidR="00DB4BB5" w:rsidRDefault="00DB4BB5" w:rsidP="00BC6DA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26C6F61" w14:textId="77777777" w:rsidR="00DB4BB5" w:rsidRDefault="00DB4BB5" w:rsidP="00BC6DA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13221C" w14:paraId="51CED838" w14:textId="77777777">
        <w:tc>
          <w:tcPr>
            <w:tcW w:w="4606" w:type="dxa"/>
          </w:tcPr>
          <w:p w14:paraId="66E86710" w14:textId="77777777" w:rsidR="0013221C" w:rsidRDefault="004721A4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    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  ,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dne      </w:t>
            </w:r>
          </w:p>
          <w:p w14:paraId="7CC6B763" w14:textId="77777777" w:rsidR="0013221C" w:rsidRDefault="0013221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E76445A" w14:textId="77777777" w:rsidR="0013221C" w:rsidRDefault="0013221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A292668" w14:textId="77777777" w:rsidR="0013221C" w:rsidRDefault="004721A4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27B34B69" w14:textId="77777777" w:rsidR="0013221C" w:rsidRDefault="004721A4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(podpis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půjčitele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</w:t>
            </w:r>
          </w:p>
          <w:p w14:paraId="2460B6A4" w14:textId="77777777" w:rsidR="0013221C" w:rsidRDefault="004721A4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2D4B6D99" w14:textId="77777777" w:rsidR="0013221C" w:rsidRDefault="004721A4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      , dne      </w:t>
            </w:r>
          </w:p>
          <w:p w14:paraId="41B84D04" w14:textId="77777777" w:rsidR="0013221C" w:rsidRDefault="0013221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66F6267" w14:textId="77777777" w:rsidR="0013221C" w:rsidRDefault="0013221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A1EDBFE" w14:textId="77777777" w:rsidR="0013221C" w:rsidRDefault="004721A4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5CEA5931" w14:textId="77777777" w:rsidR="0013221C" w:rsidRDefault="004721A4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vypůjčitel)</w:t>
            </w:r>
          </w:p>
          <w:p w14:paraId="256C964D" w14:textId="77777777" w:rsidR="0013221C" w:rsidRDefault="004721A4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</w:tbl>
    <w:p w14:paraId="0749CACB" w14:textId="77777777" w:rsidR="0013221C" w:rsidRDefault="0013221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4F5772F" w14:textId="77777777" w:rsidR="0013221C" w:rsidRDefault="0013221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13221C" w:rsidSect="00C64B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993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16225" w14:textId="77777777" w:rsidR="00945947" w:rsidRDefault="00945947">
      <w:r>
        <w:separator/>
      </w:r>
    </w:p>
  </w:endnote>
  <w:endnote w:type="continuationSeparator" w:id="0">
    <w:p w14:paraId="329E4D80" w14:textId="77777777" w:rsidR="00945947" w:rsidRDefault="0094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12C4A" w14:textId="77777777" w:rsidR="00D117AA" w:rsidRDefault="00D117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F7D7A" w14:textId="327841C8" w:rsidR="006733AD" w:rsidRDefault="006733AD">
    <w:pPr>
      <w:keepNext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708"/>
      <w:jc w:val="both"/>
      <w:rPr>
        <w:rFonts w:ascii="Calibri" w:eastAsia="Calibri" w:hAnsi="Calibri" w:cs="Calibri"/>
        <w:color w:val="000000"/>
        <w:sz w:val="22"/>
        <w:szCs w:val="22"/>
      </w:rPr>
    </w:pPr>
    <w:proofErr w:type="spellStart"/>
    <w:r>
      <w:rPr>
        <w:rFonts w:ascii="Calibri" w:eastAsia="Calibri" w:hAnsi="Calibri" w:cs="Calibri"/>
        <w:color w:val="000000"/>
        <w:sz w:val="22"/>
        <w:szCs w:val="22"/>
      </w:rPr>
      <w:t>Sp</w:t>
    </w:r>
    <w:proofErr w:type="spellEnd"/>
    <w:r>
      <w:rPr>
        <w:rFonts w:ascii="Calibri" w:eastAsia="Calibri" w:hAnsi="Calibri" w:cs="Calibri"/>
        <w:color w:val="000000"/>
        <w:sz w:val="22"/>
        <w:szCs w:val="22"/>
      </w:rPr>
      <w:t>. zn. 11.4.3</w:t>
    </w:r>
    <w:r>
      <w:rPr>
        <w:rFonts w:ascii="Calibri" w:eastAsia="Calibri" w:hAnsi="Calibri" w:cs="Calibri"/>
        <w:color w:val="000000"/>
        <w:sz w:val="22"/>
        <w:szCs w:val="22"/>
      </w:rPr>
      <w:tab/>
      <w:t xml:space="preserve">strana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noProof/>
        <w:color w:val="000000"/>
        <w:sz w:val="22"/>
        <w:szCs w:val="22"/>
      </w:rPr>
      <w:t>3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(celkem 4)</w:t>
    </w:r>
    <w:r>
      <w:rPr>
        <w:rFonts w:ascii="Calibri" w:eastAsia="Calibri" w:hAnsi="Calibri" w:cs="Calibri"/>
        <w:color w:val="000000"/>
        <w:sz w:val="22"/>
        <w:szCs w:val="22"/>
      </w:rPr>
      <w:tab/>
      <w:t>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4D7C8" w14:textId="77777777" w:rsidR="00D117AA" w:rsidRDefault="00D117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B0612" w14:textId="77777777" w:rsidR="00945947" w:rsidRDefault="00945947">
      <w:r>
        <w:separator/>
      </w:r>
    </w:p>
  </w:footnote>
  <w:footnote w:type="continuationSeparator" w:id="0">
    <w:p w14:paraId="1912AA96" w14:textId="77777777" w:rsidR="00945947" w:rsidRDefault="0094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E27E1" w14:textId="77777777" w:rsidR="00D117AA" w:rsidRDefault="00D117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C8101" w14:textId="71ADBE8D" w:rsidR="0013221C" w:rsidRDefault="004721A4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 </w:t>
    </w:r>
    <w:r w:rsidR="006733AD"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2552EC0F" wp14:editId="6402E142">
          <wp:extent cx="1779905" cy="494030"/>
          <wp:effectExtent l="0" t="0" r="0" b="1270"/>
          <wp:docPr id="35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 w:rsidR="006733AD">
      <w:rPr>
        <w:rFonts w:ascii="Calibri" w:eastAsia="Calibri" w:hAnsi="Calibri" w:cs="Calibri"/>
        <w:color w:val="000000"/>
        <w:sz w:val="22"/>
        <w:szCs w:val="22"/>
      </w:rPr>
      <w:tab/>
    </w:r>
    <w:r w:rsidR="006733AD">
      <w:rPr>
        <w:rFonts w:ascii="Calibri" w:eastAsia="Calibri" w:hAnsi="Calibri" w:cs="Calibri"/>
        <w:color w:val="000000"/>
        <w:sz w:val="22"/>
        <w:szCs w:val="22"/>
      </w:rPr>
      <w:tab/>
    </w:r>
    <w:r w:rsidR="006733AD">
      <w:rPr>
        <w:rFonts w:ascii="Calibri" w:eastAsia="Calibri" w:hAnsi="Calibri" w:cs="Calibri"/>
        <w:color w:val="000000"/>
        <w:sz w:val="22"/>
        <w:szCs w:val="22"/>
      </w:rPr>
      <w:tab/>
    </w:r>
    <w:r w:rsidR="006733AD">
      <w:rPr>
        <w:rFonts w:ascii="Calibri" w:eastAsia="Calibri" w:hAnsi="Calibri" w:cs="Calibri"/>
        <w:color w:val="000000"/>
        <w:sz w:val="22"/>
        <w:szCs w:val="22"/>
      </w:rPr>
      <w:tab/>
    </w:r>
    <w:r w:rsidR="006733AD">
      <w:rPr>
        <w:rFonts w:ascii="Calibri" w:eastAsia="Calibri" w:hAnsi="Calibri" w:cs="Calibri"/>
        <w:color w:val="000000"/>
        <w:sz w:val="22"/>
        <w:szCs w:val="22"/>
      </w:rPr>
      <w:tab/>
    </w:r>
    <w:r w:rsidR="00D671DA">
      <w:rPr>
        <w:rFonts w:ascii="Calibri" w:eastAsia="Calibri" w:hAnsi="Calibri" w:cs="Calibri"/>
        <w:color w:val="000000"/>
        <w:sz w:val="22"/>
        <w:szCs w:val="22"/>
      </w:rPr>
      <w:t>NPU-</w:t>
    </w:r>
    <w:r w:rsidR="00D117AA" w:rsidRPr="00D117AA">
      <w:t xml:space="preserve"> </w:t>
    </w:r>
    <w:r w:rsidR="00D117AA" w:rsidRPr="00D117AA">
      <w:rPr>
        <w:rFonts w:ascii="Calibri" w:eastAsia="Calibri" w:hAnsi="Calibri" w:cs="Calibri"/>
        <w:color w:val="000000"/>
        <w:sz w:val="22"/>
        <w:szCs w:val="22"/>
      </w:rPr>
      <w:t>311/81249/2024</w:t>
    </w:r>
    <w:r w:rsidR="006733AD">
      <w:rPr>
        <w:rFonts w:ascii="Calibri" w:eastAsia="Calibri" w:hAnsi="Calibri" w:cs="Calibri"/>
        <w:color w:val="000000"/>
        <w:sz w:val="22"/>
        <w:szCs w:val="22"/>
      </w:rPr>
      <w:tab/>
    </w:r>
  </w:p>
  <w:p w14:paraId="0AADECCA" w14:textId="77777777" w:rsidR="0013221C" w:rsidRDefault="0013221C">
    <w:pPr>
      <w:keepNext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708"/>
      <w:jc w:val="both"/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4F6FE" w14:textId="77777777" w:rsidR="00D117AA" w:rsidRDefault="00D117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910C1"/>
    <w:multiLevelType w:val="multilevel"/>
    <w:tmpl w:val="D3DE826C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0FB256B"/>
    <w:multiLevelType w:val="multilevel"/>
    <w:tmpl w:val="58321238"/>
    <w:lvl w:ilvl="0">
      <w:start w:val="1"/>
      <w:numFmt w:val="decimal"/>
      <w:lvlText w:val="%1."/>
      <w:lvlJc w:val="left"/>
      <w:pPr>
        <w:ind w:left="2826" w:hanging="1409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2" w15:restartNumberingAfterBreak="0">
    <w:nsid w:val="28157A3A"/>
    <w:multiLevelType w:val="multilevel"/>
    <w:tmpl w:val="CDAA6786"/>
    <w:lvl w:ilvl="0">
      <w:start w:val="1"/>
      <w:numFmt w:val="decimal"/>
      <w:lvlText w:val="%1."/>
      <w:lvlJc w:val="left"/>
      <w:pPr>
        <w:ind w:left="5095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3" w15:restartNumberingAfterBreak="0">
    <w:nsid w:val="293F2176"/>
    <w:multiLevelType w:val="multilevel"/>
    <w:tmpl w:val="B8B44786"/>
    <w:lvl w:ilvl="0">
      <w:start w:val="1"/>
      <w:numFmt w:val="decimal"/>
      <w:lvlText w:val="%1."/>
      <w:lvlJc w:val="left"/>
      <w:pPr>
        <w:ind w:left="1410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A8F413B"/>
    <w:multiLevelType w:val="multilevel"/>
    <w:tmpl w:val="4B488AFC"/>
    <w:lvl w:ilvl="0">
      <w:start w:val="1"/>
      <w:numFmt w:val="bullet"/>
      <w:lvlText w:val="●"/>
      <w:lvlJc w:val="left"/>
      <w:pPr>
        <w:ind w:left="206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0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22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66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38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82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B6D7BF9"/>
    <w:multiLevelType w:val="multilevel"/>
    <w:tmpl w:val="CA28E864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Letter"/>
      <w:lvlText w:val="%3."/>
      <w:lvlJc w:val="lef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6" w15:restartNumberingAfterBreak="0">
    <w:nsid w:val="464219EB"/>
    <w:multiLevelType w:val="multilevel"/>
    <w:tmpl w:val="142C5848"/>
    <w:lvl w:ilvl="0">
      <w:start w:val="1"/>
      <w:numFmt w:val="decimal"/>
      <w:lvlText w:val="%1."/>
      <w:lvlJc w:val="left"/>
      <w:pPr>
        <w:ind w:left="1410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C8E2529"/>
    <w:multiLevelType w:val="multilevel"/>
    <w:tmpl w:val="A64AD8FE"/>
    <w:lvl w:ilvl="0">
      <w:start w:val="1"/>
      <w:numFmt w:val="decimal"/>
      <w:lvlText w:val="%1."/>
      <w:lvlJc w:val="left"/>
      <w:pPr>
        <w:ind w:left="1410" w:hanging="141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8D05255"/>
    <w:multiLevelType w:val="multilevel"/>
    <w:tmpl w:val="7A440824"/>
    <w:lvl w:ilvl="0">
      <w:start w:val="1"/>
      <w:numFmt w:val="decimal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9" w15:restartNumberingAfterBreak="0">
    <w:nsid w:val="69455418"/>
    <w:multiLevelType w:val="multilevel"/>
    <w:tmpl w:val="CD1C654C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vertAlign w:val="baseli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1C"/>
    <w:rsid w:val="00001F5F"/>
    <w:rsid w:val="00066A7B"/>
    <w:rsid w:val="0013221C"/>
    <w:rsid w:val="0013348F"/>
    <w:rsid w:val="001530E4"/>
    <w:rsid w:val="001718CA"/>
    <w:rsid w:val="00180BB4"/>
    <w:rsid w:val="001E0425"/>
    <w:rsid w:val="001F3319"/>
    <w:rsid w:val="00214954"/>
    <w:rsid w:val="00357E44"/>
    <w:rsid w:val="00415ACA"/>
    <w:rsid w:val="004721A4"/>
    <w:rsid w:val="005473BC"/>
    <w:rsid w:val="006733AD"/>
    <w:rsid w:val="006749F1"/>
    <w:rsid w:val="00681FA9"/>
    <w:rsid w:val="006973A8"/>
    <w:rsid w:val="007621E7"/>
    <w:rsid w:val="0085348E"/>
    <w:rsid w:val="00862F29"/>
    <w:rsid w:val="008A2383"/>
    <w:rsid w:val="008A6BFB"/>
    <w:rsid w:val="008E6D6F"/>
    <w:rsid w:val="008F5426"/>
    <w:rsid w:val="00933A8E"/>
    <w:rsid w:val="00937FB9"/>
    <w:rsid w:val="00945947"/>
    <w:rsid w:val="00951743"/>
    <w:rsid w:val="009B795E"/>
    <w:rsid w:val="009C3427"/>
    <w:rsid w:val="009E6B2F"/>
    <w:rsid w:val="00A8572C"/>
    <w:rsid w:val="00AC6EB0"/>
    <w:rsid w:val="00BC5055"/>
    <w:rsid w:val="00BC6DA5"/>
    <w:rsid w:val="00C036F5"/>
    <w:rsid w:val="00C64BC8"/>
    <w:rsid w:val="00CC16E5"/>
    <w:rsid w:val="00D117AA"/>
    <w:rsid w:val="00D671DA"/>
    <w:rsid w:val="00DA3985"/>
    <w:rsid w:val="00DB4BB5"/>
    <w:rsid w:val="00E86FED"/>
    <w:rsid w:val="00F5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11F1B"/>
  <w15:docId w15:val="{71CBDADF-2D7D-467E-874A-E8A8A30A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3985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4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48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21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21A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534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348E"/>
  </w:style>
  <w:style w:type="paragraph" w:styleId="Zpat">
    <w:name w:val="footer"/>
    <w:basedOn w:val="Normln"/>
    <w:link w:val="ZpatChar"/>
    <w:uiPriority w:val="99"/>
    <w:unhideWhenUsed/>
    <w:rsid w:val="008534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348E"/>
  </w:style>
  <w:style w:type="character" w:customStyle="1" w:styleId="zmsearchresult">
    <w:name w:val="zmsearchresult"/>
    <w:basedOn w:val="Standardnpsmoodstavce"/>
    <w:rsid w:val="00933A8E"/>
  </w:style>
  <w:style w:type="character" w:styleId="Hypertextovodkaz">
    <w:name w:val="Hyperlink"/>
    <w:basedOn w:val="Standardnpsmoodstavce"/>
    <w:uiPriority w:val="99"/>
    <w:unhideWhenUsed/>
    <w:rsid w:val="00933A8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3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38F5A-84C2-417B-9089-2F2C1BEA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Balašová Lenka</cp:lastModifiedBy>
  <cp:revision>2</cp:revision>
  <dcterms:created xsi:type="dcterms:W3CDTF">2024-09-09T08:15:00Z</dcterms:created>
  <dcterms:modified xsi:type="dcterms:W3CDTF">2024-09-09T08:15:00Z</dcterms:modified>
</cp:coreProperties>
</file>