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"/>
        <w:spacing w:before="0" w:after="0"/>
        <w:jc w:val="center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b/>
          <w:sz w:val="36"/>
          <w:szCs w:val="36"/>
          <w:shd w:fill="auto" w:val="clear"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b/>
          <w:sz w:val="36"/>
          <w:szCs w:val="36"/>
          <w:shd w:fill="auto" w:val="clear"/>
          <w:lang w:eastAsia="en-US"/>
        </w:rPr>
        <w:t>DODATEK Č. 2 KE SMLOUVĚ O DÍLO</w:t>
      </w:r>
    </w:p>
    <w:p>
      <w:pPr>
        <w:pStyle w:val="Normal"/>
        <w:jc w:val="center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b/>
          <w:kern w:val="2"/>
          <w:sz w:val="36"/>
          <w:szCs w:val="36"/>
          <w:shd w:fill="auto" w:val="clear"/>
          <w:lang w:eastAsia="en-US"/>
        </w:rPr>
        <w:t>(uzavřenou dne 17.1.2024)</w:t>
      </w:r>
    </w:p>
    <w:p>
      <w:pPr>
        <w:pStyle w:val="Normal"/>
        <w:jc w:val="center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shd w:fill="auto" w:val="clear"/>
          <w:lang w:eastAsia="en-US"/>
        </w:rPr>
        <w:t xml:space="preserve">dále jen „Dodatek č. 2“ </w:t>
      </w:r>
    </w:p>
    <w:p>
      <w:pPr>
        <w:pStyle w:val="Tlotextu"/>
        <w:spacing w:before="0" w:after="0"/>
        <w:ind w:left="0" w:hanging="0"/>
        <w:jc w:val="center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b/>
          <w:sz w:val="36"/>
          <w:szCs w:val="36"/>
          <w:shd w:fill="auto" w:val="clear"/>
          <w:lang w:eastAsia="en-US"/>
          <w14:shadow w14:blurRad="50800" w14:dist="50800" w14:dir="5400000" w14:sx="0" w14:sy="0" w14:kx="0" w14:ky="0" w14:algn="ctr">
            <w14:srgbClr w14:val="000000">
              <w14:alpha w14:val="15000"/>
            </w14:srgbClr>
          </w14:shadow>
        </w:rPr>
        <w:t xml:space="preserve">Stavba: Kladská stezka, úsek Jaroměř - Rychnovek </w:t>
      </w:r>
    </w:p>
    <w:p>
      <w:pPr>
        <w:pStyle w:val="Normal"/>
        <w:jc w:val="center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shd w:fill="auto" w:val="clear"/>
          <w:lang w:eastAsia="en-US"/>
        </w:rPr>
        <w:t>Ev. číslo objednatele: 2/2024</w:t>
      </w:r>
    </w:p>
    <w:p>
      <w:pPr>
        <w:pStyle w:val="Normal"/>
        <w:jc w:val="center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shd w:fill="auto" w:val="clear"/>
          <w:lang w:eastAsia="en-US"/>
        </w:rPr>
        <w:t>Ev. číslo zhotovitele: S24-044-0038</w:t>
      </w:r>
    </w:p>
    <w:p>
      <w:pPr>
        <w:pStyle w:val="Normal"/>
        <w:jc w:val="center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shd w:fill="auto" w:val="clear"/>
          <w:lang w:eastAsia="en-US"/>
        </w:rPr>
        <w:t>uzavřený podle § 2586 a násl. zákona č. 89/2012 Sb., občanský zákoník, ve znění pozdějších předpisů (dále jen občanský zákoník), mezi níže uvedenými smluvními stranami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b/>
          <w:b/>
          <w:color w:val="auto"/>
          <w:sz w:val="22"/>
          <w:szCs w:val="22"/>
          <w:shd w:fill="auto" w:val="clear"/>
          <w:lang w:eastAsia="en-US"/>
        </w:rPr>
      </w:pPr>
      <w:r>
        <w:rPr>
          <w:rFonts w:eastAsia="Calibri" w:cs="Calibri" w:cstheme="minorHAnsi" w:ascii="Calibri" w:hAnsi="Calibri"/>
          <w:b/>
          <w:color w:val="000000"/>
          <w:sz w:val="22"/>
          <w:szCs w:val="22"/>
          <w:shd w:fill="auto" w:val="clear"/>
          <w:lang w:eastAsia="en-US"/>
        </w:rPr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3686" w:hanging="3686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b/>
          <w:color w:val="000000"/>
          <w:sz w:val="22"/>
          <w:szCs w:val="22"/>
          <w:shd w:fill="auto" w:val="clear"/>
          <w:lang w:eastAsia="en-US"/>
        </w:rPr>
        <w:t>OBJEDNATEL:</w:t>
      </w:r>
      <w:r>
        <w:rPr>
          <w:rFonts w:eastAsia="Calibri" w:cs="Calibri" w:ascii="Calibri" w:hAnsi="Calibri" w:asciiTheme="minorHAnsi" w:cstheme="minorHAnsi" w:hAnsiTheme="minorHAnsi"/>
          <w:color w:val="000000"/>
          <w:sz w:val="22"/>
          <w:szCs w:val="22"/>
          <w:shd w:fill="auto" w:val="clear"/>
          <w:lang w:eastAsia="en-US"/>
        </w:rPr>
        <w:tab/>
      </w:r>
      <w:r>
        <w:rPr>
          <w:rFonts w:eastAsia="Calibri" w:cs="Calibri" w:ascii="Calibri" w:hAnsi="Calibri" w:asciiTheme="minorHAnsi" w:cstheme="minorHAnsi" w:hAnsiTheme="minorHAnsi"/>
          <w:b/>
          <w:bCs/>
          <w:color w:val="000000"/>
          <w:sz w:val="22"/>
          <w:szCs w:val="22"/>
          <w:shd w:fill="auto" w:val="clear"/>
          <w:lang w:eastAsia="en-US"/>
        </w:rPr>
        <w:t>Dobrovolný svazek obcí Kladská stezka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color w:val="000000"/>
          <w:sz w:val="22"/>
          <w:szCs w:val="22"/>
          <w:shd w:fill="auto" w:val="clear"/>
          <w:lang w:eastAsia="en-US"/>
        </w:rPr>
        <w:t xml:space="preserve">Se sídlem:                             </w:t>
        <w:tab/>
        <w:t>Třída T. G. Masaryka 80, 552 03  Česká Skalice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color w:val="000000"/>
          <w:sz w:val="22"/>
          <w:szCs w:val="22"/>
          <w:shd w:fill="auto" w:val="clear"/>
          <w:lang w:eastAsia="en-US"/>
        </w:rPr>
        <w:t>IČ:</w:t>
        <w:tab/>
        <w:t>04708733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color w:val="000000"/>
          <w:sz w:val="22"/>
          <w:szCs w:val="22"/>
          <w:shd w:fill="auto" w:val="clear"/>
          <w:lang w:eastAsia="en-US"/>
        </w:rPr>
        <w:t>DIČ:</w:t>
        <w:tab/>
        <w:t>---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color w:val="000000"/>
          <w:sz w:val="22"/>
          <w:szCs w:val="22"/>
          <w:shd w:fill="auto" w:val="clear"/>
          <w:lang w:eastAsia="en-US"/>
        </w:rPr>
        <w:t>Zastoupen:</w:t>
        <w:tab/>
        <w:t>Ing. Zuzanou Jungwirthovou, předsedkyní svazku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color w:val="000000"/>
          <w:sz w:val="22"/>
          <w:szCs w:val="22"/>
          <w:shd w:fill="auto" w:val="clear"/>
          <w:lang w:eastAsia="en-US"/>
        </w:rPr>
        <w:t>Ve věcech organizačních:</w:t>
        <w:tab/>
        <w:t>Ing. Lenkou Šmotkovou, manažerkou svazku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color w:val="000000"/>
          <w:sz w:val="22"/>
          <w:szCs w:val="22"/>
          <w:shd w:fill="auto" w:val="clear"/>
          <w:lang w:eastAsia="en-US"/>
        </w:rPr>
        <w:t>Technický dozor stavebníka:</w:t>
        <w:tab/>
      </w:r>
      <w:r>
        <w:rPr>
          <w:rFonts w:eastAsia="Calibri" w:cs="Calibri" w:ascii="Calibri" w:hAnsi="Calibri" w:asciiTheme="minorHAnsi" w:cstheme="minorHAnsi" w:hAnsiTheme="minorHAnsi"/>
          <w:b/>
          <w:bCs/>
          <w:color w:val="000000"/>
          <w:sz w:val="22"/>
          <w:szCs w:val="22"/>
          <w:shd w:fill="auto" w:val="clear"/>
          <w:lang w:eastAsia="en-US"/>
        </w:rPr>
        <w:t>Jiří Dvořák, DOSPOK s.r.o.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color w:val="000000"/>
          <w:sz w:val="22"/>
          <w:szCs w:val="22"/>
          <w:shd w:fill="auto" w:val="clear"/>
          <w:lang w:eastAsia="en-US"/>
        </w:rPr>
        <w:t>Koordinátor BOZP:</w:t>
        <w:tab/>
        <w:t>Mgr. Yveta Patzeltová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color w:val="000000"/>
          <w:sz w:val="22"/>
          <w:szCs w:val="22"/>
          <w:shd w:fill="auto" w:val="clear"/>
          <w:lang w:eastAsia="en-US"/>
        </w:rPr>
        <w:t>Bankovní spojení:</w:t>
        <w:tab/>
        <w:t>Komerční banka a.s.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color w:val="000000"/>
          <w:sz w:val="22"/>
          <w:szCs w:val="22"/>
          <w:shd w:fill="auto" w:val="clear"/>
          <w:lang w:eastAsia="en-US"/>
        </w:rPr>
        <w:t xml:space="preserve">Číslo účtu:  </w:t>
        <w:tab/>
        <w:t>115-1892090287/0100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color w:val="000000"/>
          <w:sz w:val="22"/>
          <w:szCs w:val="22"/>
          <w:shd w:fill="auto" w:val="clear"/>
          <w:lang w:eastAsia="en-US"/>
        </w:rPr>
        <w:t>(dále jen objednatel)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color w:val="000000"/>
          <w:sz w:val="22"/>
          <w:szCs w:val="22"/>
          <w:shd w:fill="auto" w:val="clear"/>
          <w:lang w:eastAsia="en-US"/>
        </w:rPr>
        <w:t>a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b/>
          <w:color w:val="000000"/>
          <w:sz w:val="22"/>
          <w:szCs w:val="22"/>
          <w:shd w:fill="auto" w:val="clear"/>
          <w:lang w:eastAsia="en-US"/>
        </w:rPr>
        <w:t xml:space="preserve">ZHOTOVITEL: </w:t>
      </w:r>
      <w:r>
        <w:rPr>
          <w:rFonts w:eastAsia="Calibri" w:cs="Calibri" w:ascii="Calibri" w:hAnsi="Calibri" w:asciiTheme="minorHAnsi" w:cstheme="minorHAnsi" w:hAnsiTheme="minorHAnsi"/>
          <w:color w:val="000000"/>
          <w:sz w:val="22"/>
          <w:szCs w:val="22"/>
          <w:shd w:fill="auto" w:val="clear"/>
          <w:lang w:eastAsia="en-US"/>
        </w:rPr>
        <w:tab/>
      </w:r>
      <w:r>
        <w:rPr>
          <w:rFonts w:eastAsia="Calibri" w:cs="Calibri" w:ascii="Calibri" w:hAnsi="Calibri" w:asciiTheme="minorHAnsi" w:cstheme="minorHAnsi" w:hAnsiTheme="minorHAnsi"/>
          <w:b/>
          <w:bCs/>
          <w:color w:val="000000"/>
          <w:sz w:val="22"/>
          <w:szCs w:val="22"/>
          <w:shd w:fill="auto" w:val="clear"/>
          <w:lang w:eastAsia="en-US"/>
        </w:rPr>
        <w:t xml:space="preserve">SWIETELSKY stavební s.r.o. závod Dopravní </w:t>
        <w:tab/>
        <w:t xml:space="preserve">stavby VÝCHOD </w:t>
      </w:r>
      <w:r>
        <w:rPr>
          <w:rFonts w:eastAsia="Calibri" w:cs="Calibri" w:ascii="Calibri" w:hAnsi="Calibri" w:asciiTheme="minorHAnsi" w:cstheme="minorHAnsi" w:hAnsiTheme="minorHAnsi"/>
          <w:color w:val="000000"/>
          <w:sz w:val="22"/>
          <w:szCs w:val="22"/>
          <w:shd w:fill="auto" w:val="clear"/>
          <w:lang w:eastAsia="en-US"/>
        </w:rPr>
        <w:tab/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color w:val="000000"/>
          <w:sz w:val="22"/>
          <w:szCs w:val="22"/>
          <w:shd w:fill="auto" w:val="clear"/>
          <w:lang w:eastAsia="en-US"/>
        </w:rPr>
        <w:t>Se sídlem:</w:t>
        <w:tab/>
        <w:t>Pražská tř. 495/58, 370 04 České Budějovice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color w:val="000000"/>
          <w:sz w:val="22"/>
          <w:szCs w:val="22"/>
          <w:shd w:fill="auto" w:val="clear"/>
          <w:lang w:eastAsia="en-US"/>
        </w:rPr>
        <w:t>IČ:</w:t>
        <w:tab/>
        <w:t xml:space="preserve">48035599 </w:t>
        <w:tab/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3686" w:hanging="3686"/>
        <w:jc w:val="left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color w:val="000000"/>
          <w:sz w:val="22"/>
          <w:szCs w:val="22"/>
          <w:shd w:fill="auto" w:val="clear"/>
          <w:lang w:eastAsia="en-US"/>
        </w:rPr>
        <w:t>DIČ:</w:t>
        <w:tab/>
        <w:t xml:space="preserve">CZ48035599 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3686" w:hanging="3686"/>
        <w:jc w:val="left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color w:val="000000"/>
          <w:sz w:val="22"/>
          <w:szCs w:val="22"/>
          <w:shd w:fill="auto" w:val="clear"/>
          <w:lang w:eastAsia="en-US"/>
        </w:rPr>
        <w:t xml:space="preserve">Statutární orgán: </w:t>
        <w:tab/>
        <w:t xml:space="preserve">Ing. Petr Seknička, vedoucí závodu 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3686" w:hanging="3686"/>
        <w:jc w:val="left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shd w:fill="auto" w:val="clear"/>
          <w:lang w:eastAsia="en-US"/>
        </w:rPr>
      </w:pPr>
      <w:r>
        <w:rPr>
          <w:rFonts w:eastAsia="Calibri" w:cs="Calibri" w:cstheme="minorHAnsi" w:ascii="Calibri" w:hAnsi="Calibri"/>
          <w:color w:val="000000"/>
          <w:sz w:val="22"/>
          <w:szCs w:val="22"/>
          <w:shd w:fill="auto" w:val="clear"/>
          <w:lang w:eastAsia="en-US"/>
        </w:rPr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color w:val="000000"/>
          <w:sz w:val="22"/>
          <w:szCs w:val="22"/>
          <w:shd w:fill="auto" w:val="clear"/>
          <w:lang w:eastAsia="en-US"/>
        </w:rPr>
        <w:t xml:space="preserve">Smluvní zástupce: </w:t>
        <w:tab/>
        <w:t xml:space="preserve">Ing. Petr Seknička, vedoucí závodu, </w:t>
        <w:tab/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color w:val="000000"/>
          <w:sz w:val="22"/>
          <w:szCs w:val="22"/>
          <w:shd w:fill="auto" w:val="clear"/>
          <w:lang w:eastAsia="en-US"/>
        </w:rPr>
        <w:tab/>
        <w:t>Ing. Pavel Vacek, ředitel oblasti Hradec Králové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color w:val="000000"/>
          <w:sz w:val="22"/>
          <w:szCs w:val="22"/>
          <w:shd w:fill="auto" w:val="clear"/>
          <w:lang w:eastAsia="en-US"/>
        </w:rPr>
        <w:t>Hlavní stavbyvedoucí:</w:t>
        <w:tab/>
        <w:t xml:space="preserve">Jan Štych, DiS. , 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jc w:val="left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color w:val="000000"/>
          <w:sz w:val="22"/>
          <w:szCs w:val="22"/>
          <w:shd w:fill="auto" w:val="clear"/>
          <w:lang w:eastAsia="en-US"/>
        </w:rPr>
        <w:t>Zástupce stavbyvedoucího:</w:t>
        <w:tab/>
        <w:t xml:space="preserve">Václav Šantora 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3686" w:hanging="3686"/>
        <w:jc w:val="left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color w:val="000000"/>
          <w:sz w:val="22"/>
          <w:szCs w:val="22"/>
          <w:shd w:fill="auto" w:val="clear"/>
          <w:lang w:eastAsia="en-US"/>
        </w:rPr>
        <w:tab/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color w:val="000000"/>
          <w:sz w:val="22"/>
          <w:szCs w:val="22"/>
          <w:shd w:fill="auto" w:val="clear"/>
          <w:lang w:eastAsia="en-US"/>
        </w:rPr>
        <w:t xml:space="preserve">Bankovní spojení: </w:t>
        <w:tab/>
        <w:t xml:space="preserve">UniCredit Bank 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color w:val="000000"/>
          <w:sz w:val="22"/>
          <w:szCs w:val="22"/>
          <w:shd w:fill="auto" w:val="clear"/>
          <w:lang w:eastAsia="en-US"/>
        </w:rPr>
        <w:t xml:space="preserve">Číslo účtu: </w:t>
        <w:tab/>
        <w:t xml:space="preserve">430201005/2700 </w:t>
        <w:tab/>
        <w:tab/>
        <w:tab/>
        <w:t xml:space="preserve">          </w:t>
        <w:tab/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color w:val="000000"/>
          <w:sz w:val="22"/>
          <w:szCs w:val="22"/>
          <w:shd w:fill="auto" w:val="clear"/>
          <w:lang w:eastAsia="en-US"/>
        </w:rPr>
        <w:t xml:space="preserve">Zápis v obchodním rejstříku: </w:t>
        <w:tab/>
        <w:t xml:space="preserve">vedeném u Krajského soudu v Českých Budějovicích, vložka </w:t>
        <w:tab/>
        <w:t xml:space="preserve">8032, oddíl C  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color w:val="000000"/>
          <w:sz w:val="22"/>
          <w:szCs w:val="22"/>
          <w:shd w:fill="auto" w:val="clear"/>
          <w:lang w:eastAsia="en-US"/>
        </w:rPr>
        <w:t>(dále jen zhotovitel či dodavatel)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shd w:fill="auto" w:val="clear"/>
          <w:lang w:eastAsia="en-US"/>
        </w:rPr>
      </w:pPr>
      <w:r>
        <w:rPr>
          <w:rFonts w:eastAsia="Calibri" w:cs="Calibri" w:cstheme="minorHAnsi" w:ascii="Calibri" w:hAnsi="Calibri"/>
          <w:color w:val="000000"/>
          <w:sz w:val="22"/>
          <w:szCs w:val="22"/>
          <w:shd w:fill="auto" w:val="clear"/>
          <w:lang w:eastAsia="en-US"/>
        </w:rPr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color w:val="000000"/>
          <w:sz w:val="22"/>
          <w:szCs w:val="22"/>
          <w:shd w:fill="auto" w:val="clear"/>
          <w:lang w:eastAsia="en-US"/>
        </w:rPr>
        <w:t>Společně objednatel a zhotovitel (dodavatel) též „smluvní strany“.</w:t>
      </w:r>
    </w:p>
    <w:p>
      <w:pPr>
        <w:pStyle w:val="Normal"/>
        <w:spacing w:before="240" w:after="0"/>
        <w:ind w:left="0" w:hanging="0"/>
        <w:rPr>
          <w:shd w:fill="auto" w:val="clear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shd w:fill="auto" w:val="clear"/>
          <w:lang w:eastAsia="en-US"/>
        </w:rPr>
        <w:t xml:space="preserve">Na základě vzájemné dohody sjednaly smluvní strany následující změny výše uvedené Smlouvy o dílo: </w:t>
      </w:r>
    </w:p>
    <w:p>
      <w:pPr>
        <w:pStyle w:val="Normal"/>
        <w:tabs>
          <w:tab w:val="clear" w:pos="720"/>
          <w:tab w:val="left" w:pos="0" w:leader="none"/>
        </w:tabs>
        <w:ind w:left="0" w:right="-92" w:hanging="0"/>
        <w:rPr>
          <w:rFonts w:ascii="Calibri" w:hAnsi="Calibri" w:cs="Calibri" w:asciiTheme="minorHAnsi" w:cstheme="minorHAnsi" w:hAnsiTheme="minorHAnsi"/>
          <w:bCs/>
          <w:sz w:val="22"/>
          <w:szCs w:val="22"/>
          <w:shd w:fill="auto" w:val="clear"/>
        </w:rPr>
      </w:pPr>
      <w:r>
        <w:rPr>
          <w:rFonts w:cs="Calibri" w:cstheme="minorHAnsi" w:ascii="Calibri" w:hAnsi="Calibri"/>
          <w:bCs/>
          <w:sz w:val="22"/>
          <w:szCs w:val="22"/>
          <w:shd w:fill="auto" w:val="clear"/>
        </w:rPr>
      </w:r>
    </w:p>
    <w:p>
      <w:pPr>
        <w:pStyle w:val="Nadpis1"/>
        <w:shd w:val="clear" w:color="auto" w:fill="FFFFFF"/>
        <w:ind w:left="284" w:hanging="432"/>
        <w:rPr>
          <w:shd w:fill="auto" w:val="clear"/>
        </w:rPr>
      </w:pPr>
      <w:r>
        <w:rPr>
          <w:shd w:fill="auto" w:val="clear"/>
        </w:rPr>
        <w:t xml:space="preserve">   </w:t>
      </w:r>
      <w:r>
        <w:rPr>
          <w:shd w:fill="auto" w:val="clear"/>
        </w:rPr>
        <w:t>PŘEDMĚT DODATKU Č. 2:</w:t>
      </w:r>
    </w:p>
    <w:p>
      <w:pPr>
        <w:pStyle w:val="Nadpis2"/>
        <w:tabs>
          <w:tab w:val="clear" w:pos="720"/>
          <w:tab w:val="left" w:pos="284" w:leader="none"/>
        </w:tabs>
        <w:ind w:left="284" w:hanging="576"/>
        <w:rPr>
          <w:shd w:fill="auto" w:val="clear"/>
        </w:rPr>
      </w:pPr>
      <w:r>
        <w:rPr>
          <w:shd w:fill="auto" w:val="clear"/>
        </w:rPr>
        <w:t xml:space="preserve"> </w:t>
      </w:r>
      <w:r>
        <w:rPr>
          <w:shd w:fill="auto" w:val="clear"/>
        </w:rPr>
        <w:t xml:space="preserve">Smluvní strany se dohodly na změně technologie založení lávky „SO 201 Lávka přes Úpu“       </w:t>
      </w:r>
    </w:p>
    <w:p>
      <w:pPr>
        <w:pStyle w:val="Nadpis2"/>
        <w:numPr>
          <w:ilvl w:val="0"/>
          <w:numId w:val="0"/>
        </w:numPr>
        <w:tabs>
          <w:tab w:val="clear" w:pos="720"/>
          <w:tab w:val="left" w:pos="284" w:leader="none"/>
        </w:tabs>
        <w:ind w:left="284" w:hanging="0"/>
        <w:rPr>
          <w:shd w:fill="auto" w:val="clear"/>
        </w:rPr>
      </w:pPr>
      <w:r>
        <w:rPr>
          <w:shd w:fill="auto" w:val="clear"/>
        </w:rPr>
        <w:t xml:space="preserve">Dle změnového listu č. 1, který jse přílohou tohoto Dodatku č. 2          </w:t>
      </w:r>
    </w:p>
    <w:p>
      <w:pPr>
        <w:pStyle w:val="Nadpis2"/>
        <w:numPr>
          <w:ilvl w:val="0"/>
          <w:numId w:val="0"/>
        </w:numPr>
        <w:tabs>
          <w:tab w:val="clear" w:pos="720"/>
          <w:tab w:val="left" w:pos="284" w:leader="none"/>
        </w:tabs>
        <w:ind w:left="284" w:hanging="0"/>
        <w:rPr>
          <w:shd w:fill="auto" w:val="clear"/>
        </w:rPr>
      </w:pPr>
      <w:r>
        <w:rPr>
          <w:shd w:fill="auto" w:val="clear"/>
        </w:rPr>
        <w:t xml:space="preserve">S ohledem na výše uvedené, se smluvní strany rovněž dohodly na změně ceny díla.                                        </w:t>
      </w:r>
    </w:p>
    <w:p>
      <w:pPr>
        <w:pStyle w:val="Nadpis1"/>
        <w:shd w:val="clear" w:color="auto" w:fill="FFFFFF"/>
        <w:ind w:left="284" w:hanging="432"/>
        <w:rPr>
          <w:shd w:fill="auto" w:val="clear"/>
        </w:rPr>
      </w:pPr>
      <w:r>
        <w:rPr>
          <w:shd w:fill="auto" w:val="clear"/>
        </w:rPr>
        <w:t xml:space="preserve">   </w:t>
      </w:r>
      <w:r>
        <w:rPr>
          <w:shd w:fill="auto" w:val="clear"/>
        </w:rPr>
        <w:t>CENA DÍLA DLE DODATKU Č. 2:</w:t>
      </w:r>
    </w:p>
    <w:p>
      <w:pPr>
        <w:pStyle w:val="Nadpis2"/>
        <w:tabs>
          <w:tab w:val="clear" w:pos="720"/>
          <w:tab w:val="left" w:pos="284" w:leader="none"/>
        </w:tabs>
        <w:ind w:left="284" w:hanging="576"/>
        <w:rPr>
          <w:shd w:fill="auto" w:val="clear"/>
        </w:rPr>
      </w:pPr>
      <w:r>
        <w:rPr>
          <w:shd w:fill="auto" w:val="clear"/>
        </w:rPr>
        <w:t xml:space="preserve"> </w:t>
      </w:r>
      <w:r>
        <w:rPr>
          <w:shd w:fill="auto" w:val="clear"/>
        </w:rPr>
        <w:t>Cena díla se upravuje následovně:</w:t>
      </w:r>
    </w:p>
    <w:p>
      <w:pPr>
        <w:pStyle w:val="Nadpis3"/>
        <w:numPr>
          <w:ilvl w:val="0"/>
          <w:numId w:val="0"/>
        </w:numPr>
        <w:ind w:left="720" w:hanging="0"/>
        <w:rPr>
          <w:shd w:fill="auto" w:val="clear"/>
        </w:rPr>
      </w:pPr>
      <w:r>
        <w:rPr>
          <w:b/>
          <w:bCs/>
          <w:shd w:fill="auto" w:val="clear"/>
        </w:rPr>
        <w:t>Cena dle smlouvy o dílo bez DPH</w:t>
        <w:tab/>
        <w:tab/>
        <w:t>19 792 000,00</w:t>
      </w:r>
    </w:p>
    <w:p>
      <w:pPr>
        <w:pStyle w:val="Nadpis3"/>
        <w:numPr>
          <w:ilvl w:val="0"/>
          <w:numId w:val="0"/>
        </w:numPr>
        <w:ind w:left="720" w:hanging="0"/>
        <w:rPr>
          <w:shd w:fill="auto" w:val="clear"/>
        </w:rPr>
      </w:pPr>
      <w:r>
        <w:rPr>
          <w:b/>
          <w:bCs/>
          <w:u w:val="single"/>
          <w:shd w:fill="auto" w:val="clear"/>
        </w:rPr>
        <w:t>Dodatek č. 2 bez DPH</w:t>
        <w:tab/>
        <w:tab/>
        <w:tab/>
        <w:tab/>
        <w:t xml:space="preserve">        77 062,21</w:t>
      </w:r>
    </w:p>
    <w:p>
      <w:pPr>
        <w:pStyle w:val="Nadpis3"/>
        <w:numPr>
          <w:ilvl w:val="0"/>
          <w:numId w:val="0"/>
        </w:numPr>
        <w:ind w:left="720" w:hanging="0"/>
        <w:rPr>
          <w:shd w:fill="auto" w:val="clear"/>
        </w:rPr>
      </w:pPr>
      <w:r>
        <w:rPr>
          <w:b/>
          <w:bCs/>
          <w:shd w:fill="auto" w:val="clear"/>
        </w:rPr>
        <w:t>Cena celkem bez DPH</w:t>
        <w:tab/>
        <w:tab/>
        <w:tab/>
        <w:tab/>
        <w:t>19 869 062,21</w:t>
      </w:r>
    </w:p>
    <w:p>
      <w:pPr>
        <w:pStyle w:val="Nadpis3"/>
        <w:numPr>
          <w:ilvl w:val="0"/>
          <w:numId w:val="0"/>
        </w:numPr>
        <w:ind w:left="720" w:hanging="0"/>
        <w:rPr>
          <w:shd w:fill="auto" w:val="clear"/>
        </w:rPr>
      </w:pPr>
      <w:r>
        <w:rPr>
          <w:b/>
          <w:bCs/>
          <w:u w:val="single"/>
          <w:shd w:fill="auto" w:val="clear"/>
        </w:rPr>
        <w:t>DPH 21 %</w:t>
        <w:tab/>
        <w:tab/>
        <w:tab/>
        <w:tab/>
        <w:t xml:space="preserve">  </w:t>
        <w:tab/>
        <w:t xml:space="preserve">  4 172 503,06</w:t>
      </w:r>
    </w:p>
    <w:p>
      <w:pPr>
        <w:pStyle w:val="Nadpis3"/>
        <w:numPr>
          <w:ilvl w:val="0"/>
          <w:numId w:val="0"/>
        </w:numPr>
        <w:ind w:left="720" w:hanging="0"/>
        <w:rPr>
          <w:shd w:fill="auto" w:val="clear"/>
        </w:rPr>
      </w:pPr>
      <w:r>
        <w:rPr>
          <w:b/>
          <w:bCs/>
          <w:shd w:fill="auto" w:val="clear"/>
        </w:rPr>
        <w:t>Cena celkem včetně DPH</w:t>
        <w:tab/>
        <w:tab/>
        <w:tab/>
        <w:t>24 041 565,27</w:t>
      </w:r>
    </w:p>
    <w:p>
      <w:pPr>
        <w:pStyle w:val="Nadpis2"/>
        <w:numPr>
          <w:ilvl w:val="0"/>
          <w:numId w:val="0"/>
        </w:numPr>
        <w:ind w:left="720" w:hanging="0"/>
        <w:rPr>
          <w:shd w:fill="auto" w:val="clear"/>
        </w:rPr>
      </w:pPr>
      <w:r>
        <w:rPr>
          <w:shd w:fill="auto" w:val="clear"/>
        </w:rPr>
      </w:r>
    </w:p>
    <w:p>
      <w:pPr>
        <w:pStyle w:val="Nadpis3"/>
        <w:numPr>
          <w:ilvl w:val="0"/>
          <w:numId w:val="0"/>
        </w:numPr>
        <w:ind w:left="720" w:hanging="720"/>
        <w:rPr>
          <w:shd w:fill="auto" w:val="clear"/>
        </w:rPr>
      </w:pPr>
      <w:r>
        <w:rPr>
          <w:shd w:fill="auto" w:val="clear"/>
        </w:rPr>
      </w:r>
    </w:p>
    <w:p>
      <w:pPr>
        <w:pStyle w:val="Nadpis1"/>
        <w:shd w:val="clear" w:color="auto" w:fill="FFFFFF"/>
        <w:ind w:left="284" w:hanging="432"/>
        <w:rPr>
          <w:shd w:fill="auto" w:val="clear"/>
        </w:rPr>
      </w:pPr>
      <w:r>
        <w:rPr>
          <w:shd w:fill="auto" w:val="clear"/>
        </w:rPr>
        <w:t xml:space="preserve">   </w:t>
      </w:r>
      <w:r>
        <w:rPr>
          <w:shd w:fill="auto" w:val="clear"/>
        </w:rPr>
        <w:t>ZÁVĚREČNÁ USTANOVENÍ DODATKU Č. 2:</w:t>
      </w:r>
    </w:p>
    <w:p>
      <w:pPr>
        <w:pStyle w:val="Normal"/>
        <w:rPr>
          <w:rFonts w:ascii="Calibri" w:hAnsi="Calibri" w:asciiTheme="minorHAnsi" w:hAnsiTheme="minorHAnsi"/>
          <w:szCs w:val="24"/>
          <w:shd w:fill="auto" w:val="clear"/>
        </w:rPr>
      </w:pPr>
      <w:r>
        <w:rPr>
          <w:rFonts w:asciiTheme="minorHAnsi" w:hAnsiTheme="minorHAnsi" w:ascii="Calibri" w:hAnsi="Calibri"/>
          <w:szCs w:val="24"/>
          <w:shd w:fill="auto" w:val="clear"/>
        </w:rPr>
      </w:r>
    </w:p>
    <w:p>
      <w:pPr>
        <w:pStyle w:val="Nadpis2"/>
        <w:tabs>
          <w:tab w:val="clear" w:pos="720"/>
          <w:tab w:val="left" w:pos="284" w:leader="none"/>
        </w:tabs>
        <w:ind w:left="284" w:hanging="576"/>
        <w:rPr>
          <w:shd w:fill="auto" w:val="clear"/>
        </w:rPr>
      </w:pPr>
      <w:r>
        <w:rPr>
          <w:shd w:fill="auto" w:val="clear"/>
        </w:rPr>
        <w:t xml:space="preserve"> </w:t>
      </w:r>
      <w:r>
        <w:rPr>
          <w:shd w:fill="auto" w:val="clear"/>
        </w:rPr>
        <w:t>Ostatní body Smlouvy o dílo nedotčené tímto Dodatkem č. 2 zůstávají v platnosti.</w:t>
      </w:r>
    </w:p>
    <w:p>
      <w:pPr>
        <w:pStyle w:val="Nadpis2"/>
        <w:tabs>
          <w:tab w:val="clear" w:pos="720"/>
          <w:tab w:val="left" w:pos="284" w:leader="none"/>
        </w:tabs>
        <w:ind w:left="284" w:hanging="576"/>
        <w:rPr>
          <w:shd w:fill="auto" w:val="clear"/>
        </w:rPr>
      </w:pPr>
      <w:r>
        <w:rPr>
          <w:shd w:fill="auto" w:val="clear"/>
        </w:rPr>
        <w:t xml:space="preserve"> </w:t>
      </w:r>
      <w:r>
        <w:rPr>
          <w:shd w:fill="auto" w:val="clear"/>
        </w:rPr>
        <w:t>Dodatek č. 2 je platný dnem připojení platného uznávaného elektronického podpisu dle zákona                  č. 297/2016 Sb., o službách vytvářejících důvěru pro elektronické transakce, ve znění pozdějších předpisů, oběma smluvními stranami do tohoto Dodatku č. 2.</w:t>
      </w:r>
    </w:p>
    <w:p>
      <w:pPr>
        <w:pStyle w:val="Nadpis2"/>
        <w:tabs>
          <w:tab w:val="clear" w:pos="720"/>
          <w:tab w:val="left" w:pos="284" w:leader="none"/>
        </w:tabs>
        <w:ind w:left="284" w:hanging="576"/>
        <w:rPr>
          <w:shd w:fill="auto" w:val="clear"/>
        </w:rPr>
      </w:pPr>
      <w:r>
        <w:rPr>
          <w:shd w:fill="auto" w:val="clear"/>
        </w:rPr>
        <w:t xml:space="preserve"> </w:t>
      </w:r>
      <w:r>
        <w:rPr>
          <w:shd w:fill="auto" w:val="clear"/>
        </w:rPr>
        <w:t xml:space="preserve">Dodatek č. 2 nabývá účinnosti dnem jeho uveřejnění v registru smluv. </w:t>
      </w:r>
      <w:bookmarkStart w:id="0" w:name="_Ref269202708"/>
      <w:bookmarkEnd w:id="0"/>
    </w:p>
    <w:p>
      <w:pPr>
        <w:pStyle w:val="Nadpis2"/>
        <w:tabs>
          <w:tab w:val="clear" w:pos="720"/>
          <w:tab w:val="left" w:pos="284" w:leader="none"/>
        </w:tabs>
        <w:ind w:left="284" w:hanging="576"/>
        <w:rPr>
          <w:shd w:fill="auto" w:val="clear"/>
        </w:rPr>
      </w:pPr>
      <w:r>
        <w:rPr>
          <w:shd w:fill="auto" w:val="clear"/>
        </w:rPr>
        <w:t xml:space="preserve"> </w:t>
      </w:r>
      <w:r>
        <w:rPr>
          <w:shd w:fill="auto" w:val="clear"/>
        </w:rPr>
        <w:t>Tento Dodatek č. 2 se vyhotovuje v elektronické podobě, přičemž obě smluvní strany obdrží její elektronický originál.</w:t>
      </w:r>
    </w:p>
    <w:p>
      <w:pPr>
        <w:pStyle w:val="Nadpis2"/>
        <w:tabs>
          <w:tab w:val="clear" w:pos="720"/>
          <w:tab w:val="left" w:pos="284" w:leader="none"/>
        </w:tabs>
        <w:ind w:left="284" w:hanging="576"/>
        <w:rPr>
          <w:shd w:fill="auto" w:val="clear"/>
        </w:rPr>
      </w:pPr>
      <w:r>
        <w:rPr>
          <w:shd w:fill="auto" w:val="clear"/>
        </w:rPr>
        <w:t xml:space="preserve">  </w:t>
      </w:r>
      <w:r>
        <w:rPr>
          <w:shd w:fill="auto" w:val="clear"/>
        </w:rPr>
        <w:t xml:space="preserve">Tento Dodatek č. 2 byl schválen Valnou hromadou Dobrovolného svazku obcí Kladská stezka pod usnesením č. </w:t>
      </w:r>
      <w:r>
        <w:rPr>
          <w:shd w:fill="auto" w:val="clear"/>
        </w:rPr>
        <w:t>40/2024</w:t>
      </w:r>
      <w:r>
        <w:rPr>
          <w:shd w:fill="auto" w:val="clear"/>
        </w:rPr>
        <w:t>.</w:t>
      </w:r>
    </w:p>
    <w:p>
      <w:pPr>
        <w:pStyle w:val="Nadpis2"/>
        <w:tabs>
          <w:tab w:val="clear" w:pos="720"/>
          <w:tab w:val="left" w:pos="284" w:leader="none"/>
        </w:tabs>
        <w:ind w:left="284" w:hanging="576"/>
        <w:rPr>
          <w:shd w:fill="auto" w:val="clear"/>
        </w:rPr>
      </w:pPr>
      <w:r>
        <w:rPr>
          <w:shd w:fill="auto" w:val="clear"/>
        </w:rPr>
        <w:t xml:space="preserve">  </w:t>
      </w:r>
      <w:r>
        <w:rPr>
          <w:shd w:fill="auto" w:val="clear"/>
        </w:rPr>
        <w:t>Smluvní strany prohlašují tímto, že si tento Dodatek č. 2 před jeho podpisem přečetly, že je projevem jejich pravé, svobodné a vážně míněné vůle, učiněné nikoliv v tísni a za nápadně nevýhodných podmínek a na důkaz toho připojují své podpisy.</w:t>
      </w:r>
    </w:p>
    <w:p>
      <w:pPr>
        <w:pStyle w:val="Normal"/>
        <w:spacing w:lineRule="auto" w:line="276" w:before="0" w:after="120"/>
        <w:rPr>
          <w:shd w:fill="auto" w:val="clear"/>
        </w:rPr>
      </w:pPr>
      <w:r>
        <w:rPr>
          <w:rFonts w:ascii="Calibri" w:hAnsi="Calibri" w:asciiTheme="minorHAnsi" w:hAnsiTheme="minorHAnsi"/>
          <w:sz w:val="22"/>
          <w:szCs w:val="24"/>
          <w:shd w:fill="auto" w:val="clear"/>
        </w:rPr>
        <w:t>NA DŮKAZ SVÉHO SOUHLASU S OBSAHEM TOHOTO DODATKU Č. 2 K NĚMU SMLUVNÍ STRANY PŘIPOJILY SVÉ UZNÁVANÉ ELEKTRONICKÉ PODPISY DLE ZÁKONA Č. 297/2016 SB., O SLUŽBÁCH VYTVÁŘEJÍCÍCH DŮVĚRU PRO ELEKTRONICKÉ TRANSAKCE, VE ZNĚNÍ POZDĚJŠÍCH PŘEDPISŮ:</w:t>
      </w:r>
    </w:p>
    <w:p>
      <w:pPr>
        <w:pStyle w:val="Normal"/>
        <w:spacing w:lineRule="auto" w:line="276" w:before="0" w:after="120"/>
        <w:rPr>
          <w:rFonts w:ascii="Calibri" w:hAnsi="Calibri" w:asciiTheme="minorHAnsi" w:hAnsiTheme="minorHAnsi"/>
          <w:sz w:val="22"/>
          <w:szCs w:val="24"/>
          <w:shd w:fill="auto" w:val="clear"/>
        </w:rPr>
      </w:pPr>
      <w:r>
        <w:rPr>
          <w:rFonts w:asciiTheme="minorHAnsi" w:hAnsiTheme="minorHAnsi" w:ascii="Calibri" w:hAnsi="Calibri"/>
          <w:sz w:val="22"/>
          <w:szCs w:val="24"/>
          <w:shd w:fill="auto" w:val="clear"/>
        </w:rPr>
      </w:r>
    </w:p>
    <w:p>
      <w:pPr>
        <w:pStyle w:val="Normal"/>
        <w:spacing w:lineRule="auto" w:line="276" w:before="0" w:after="120"/>
        <w:rPr>
          <w:shd w:fill="auto" w:val="clear"/>
        </w:rPr>
      </w:pPr>
      <w:r>
        <w:rPr>
          <w:rFonts w:ascii="Calibri" w:hAnsi="Calibri" w:asciiTheme="minorHAnsi" w:hAnsiTheme="minorHAnsi"/>
          <w:sz w:val="22"/>
          <w:szCs w:val="24"/>
          <w:shd w:fill="auto" w:val="clear"/>
        </w:rPr>
        <w:t>Přílohy:</w:t>
      </w:r>
    </w:p>
    <w:p>
      <w:pPr>
        <w:pStyle w:val="Normal"/>
        <w:spacing w:lineRule="auto" w:line="276" w:before="0" w:after="120"/>
        <w:rPr>
          <w:shd w:fill="auto" w:val="clear"/>
        </w:rPr>
      </w:pPr>
      <w:r>
        <w:rPr>
          <w:rFonts w:ascii="Calibri" w:hAnsi="Calibri" w:asciiTheme="minorHAnsi" w:hAnsiTheme="minorHAnsi"/>
          <w:sz w:val="22"/>
          <w:szCs w:val="24"/>
          <w:shd w:fill="auto" w:val="clear"/>
        </w:rPr>
        <w:t>Změnový list č. 1 ( včetně příloh )</w:t>
      </w:r>
    </w:p>
    <w:p>
      <w:pPr>
        <w:pStyle w:val="Nadpis3"/>
        <w:numPr>
          <w:ilvl w:val="0"/>
          <w:numId w:val="0"/>
        </w:numPr>
        <w:ind w:left="720" w:hanging="0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rFonts w:ascii="Calibri" w:hAnsi="Calibri" w:asciiTheme="minorHAnsi" w:hAnsiTheme="minorHAnsi"/>
          <w:sz w:val="22"/>
          <w:szCs w:val="22"/>
          <w:shd w:fill="auto" w:val="clear"/>
        </w:rPr>
        <w:t xml:space="preserve">V Hradci Králové                               </w:t>
        <w:tab/>
        <w:tab/>
        <w:tab/>
        <w:t>V České Skalici</w:t>
      </w:r>
    </w:p>
    <w:p>
      <w:pPr>
        <w:pStyle w:val="Normal"/>
        <w:rPr>
          <w:rFonts w:ascii="Calibri" w:hAnsi="Calibri" w:asciiTheme="minorHAnsi" w:hAnsiTheme="minorHAnsi"/>
          <w:sz w:val="22"/>
          <w:szCs w:val="22"/>
          <w:shd w:fill="auto" w:val="clear"/>
        </w:rPr>
      </w:pPr>
      <w:r>
        <w:rPr>
          <w:rFonts w:asciiTheme="minorHAnsi" w:hAnsiTheme="minorHAnsi" w:ascii="Calibri" w:hAnsi="Calibri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 w:asciiTheme="minorHAnsi" w:hAnsiTheme="minorHAnsi"/>
          <w:sz w:val="22"/>
          <w:szCs w:val="22"/>
          <w:shd w:fill="auto" w:val="clear"/>
        </w:rPr>
      </w:pPr>
      <w:r>
        <w:rPr>
          <w:rFonts w:asciiTheme="minorHAnsi" w:hAnsiTheme="minorHAnsi" w:ascii="Calibri" w:hAnsi="Calibri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 w:asciiTheme="minorHAnsi" w:hAnsiTheme="minorHAnsi"/>
          <w:sz w:val="22"/>
          <w:szCs w:val="22"/>
          <w:shd w:fill="auto" w:val="clear"/>
        </w:rPr>
      </w:pPr>
      <w:r>
        <w:rPr>
          <w:rFonts w:asciiTheme="minorHAnsi" w:hAnsiTheme="minorHAnsi" w:ascii="Calibri" w:hAnsi="Calibri"/>
          <w:sz w:val="22"/>
          <w:szCs w:val="22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rFonts w:ascii="Calibri" w:hAnsi="Calibri" w:asciiTheme="minorHAnsi" w:hAnsiTheme="minorHAnsi"/>
          <w:i/>
          <w:iCs/>
          <w:sz w:val="22"/>
          <w:szCs w:val="22"/>
          <w:shd w:fill="auto" w:val="clear"/>
        </w:rPr>
        <w:t>…………………………………</w:t>
      </w:r>
      <w:r>
        <w:rPr>
          <w:rFonts w:ascii="Calibri" w:hAnsi="Calibri" w:asciiTheme="minorHAnsi" w:hAnsiTheme="minorHAnsi"/>
          <w:i/>
          <w:iCs/>
          <w:sz w:val="22"/>
          <w:szCs w:val="22"/>
          <w:shd w:fill="auto" w:val="clear"/>
        </w:rPr>
        <w:t xml:space="preserve">. </w:t>
        <w:tab/>
        <w:tab/>
        <w:tab/>
        <w:tab/>
        <w:t xml:space="preserve">……………………………………………. </w:t>
      </w:r>
    </w:p>
    <w:p>
      <w:pPr>
        <w:pStyle w:val="Normal"/>
        <w:rPr>
          <w:shd w:fill="auto" w:val="clear"/>
        </w:rPr>
      </w:pPr>
      <w:r>
        <w:rPr>
          <w:rFonts w:ascii="Calibri" w:hAnsi="Calibri" w:asciiTheme="minorHAnsi" w:hAnsiTheme="minorHAnsi"/>
          <w:i/>
          <w:iCs/>
          <w:sz w:val="22"/>
          <w:szCs w:val="22"/>
          <w:shd w:fill="auto" w:val="clear"/>
        </w:rPr>
        <w:t xml:space="preserve">za zhotovitele </w:t>
        <w:tab/>
        <w:tab/>
        <w:tab/>
        <w:tab/>
        <w:tab/>
        <w:t xml:space="preserve">za objednatele </w:t>
      </w:r>
    </w:p>
    <w:p>
      <w:pPr>
        <w:pStyle w:val="Normal"/>
        <w:rPr>
          <w:shd w:fill="auto" w:val="clear"/>
        </w:rPr>
      </w:pPr>
      <w:r>
        <w:rPr>
          <w:rFonts w:ascii="Calibri" w:hAnsi="Calibri" w:asciiTheme="minorHAnsi" w:hAnsiTheme="minorHAnsi"/>
          <w:i/>
          <w:iCs/>
          <w:sz w:val="22"/>
          <w:szCs w:val="22"/>
          <w:shd w:fill="auto" w:val="clear"/>
        </w:rPr>
        <w:t>Ing. Petr Seknička, vedoucí  závodu</w:t>
        <w:tab/>
        <w:tab/>
        <w:tab/>
        <w:t xml:space="preserve">Ing. Zuzana Jungwirthová, předsedkyně </w:t>
        <w:tab/>
        <w:tab/>
        <w:tab/>
        <w:tab/>
        <w:tab/>
        <w:tab/>
        <w:tab/>
        <w:tab/>
        <w:t xml:space="preserve">svazku </w:t>
      </w:r>
    </w:p>
    <w:p>
      <w:pPr>
        <w:pStyle w:val="Normal"/>
        <w:rPr>
          <w:rFonts w:ascii="Calibri" w:hAnsi="Calibri" w:asciiTheme="minorHAnsi" w:hAnsiTheme="minorHAnsi"/>
          <w:sz w:val="22"/>
          <w:szCs w:val="22"/>
          <w:shd w:fill="auto" w:val="clear"/>
        </w:rPr>
      </w:pPr>
      <w:r>
        <w:rPr>
          <w:rFonts w:asciiTheme="minorHAnsi" w:hAnsiTheme="minorHAnsi" w:ascii="Calibri" w:hAnsi="Calibri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 w:asciiTheme="minorHAnsi" w:hAnsiTheme="minorHAnsi"/>
          <w:sz w:val="22"/>
          <w:szCs w:val="22"/>
          <w:shd w:fill="auto" w:val="clear"/>
        </w:rPr>
      </w:pPr>
      <w:r>
        <w:rPr>
          <w:rFonts w:asciiTheme="minorHAnsi" w:hAnsiTheme="minorHAnsi" w:ascii="Calibri" w:hAnsi="Calibri"/>
          <w:sz w:val="22"/>
          <w:szCs w:val="22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rFonts w:ascii="Calibri" w:hAnsi="Calibri" w:asciiTheme="minorHAnsi" w:hAnsiTheme="minorHAnsi"/>
          <w:i/>
          <w:iCs/>
          <w:sz w:val="22"/>
          <w:szCs w:val="22"/>
          <w:shd w:fill="auto" w:val="clear"/>
        </w:rPr>
        <w:t xml:space="preserve"> …………………………………</w:t>
      </w:r>
      <w:r>
        <w:rPr>
          <w:rFonts w:ascii="Calibri" w:hAnsi="Calibri" w:asciiTheme="minorHAnsi" w:hAnsiTheme="minorHAnsi"/>
          <w:i/>
          <w:iCs/>
          <w:sz w:val="22"/>
          <w:szCs w:val="22"/>
          <w:shd w:fill="auto" w:val="clear"/>
        </w:rPr>
        <w:t xml:space="preserve">. </w:t>
      </w:r>
    </w:p>
    <w:p>
      <w:pPr>
        <w:pStyle w:val="Normal"/>
        <w:rPr>
          <w:shd w:fill="auto" w:val="clear"/>
        </w:rPr>
      </w:pPr>
      <w:r>
        <w:rPr>
          <w:rFonts w:ascii="Calibri" w:hAnsi="Calibri" w:asciiTheme="minorHAnsi" w:hAnsiTheme="minorHAnsi"/>
          <w:i/>
          <w:iCs/>
          <w:sz w:val="22"/>
          <w:szCs w:val="22"/>
          <w:shd w:fill="auto" w:val="clear"/>
        </w:rPr>
        <w:t xml:space="preserve">za zhotovitele Ing. Pavel Vacek, ředitel oblast </w:t>
      </w:r>
    </w:p>
    <w:sectPr>
      <w:headerReference w:type="first" r:id="rId2"/>
      <w:footerReference w:type="default" r:id="rId3"/>
      <w:type w:val="nextPage"/>
      <w:pgSz w:w="11906" w:h="16838"/>
      <w:pgMar w:left="1417" w:right="1417" w:header="420" w:top="851" w:footer="708" w:bottom="89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 Bold">
    <w:charset w:val="ee"/>
    <w:family w:val="roman"/>
    <w:pitch w:val="variable"/>
  </w:font>
  <w:font w:name="Courier New">
    <w:charset w:val="ee"/>
    <w:family w:val="roman"/>
    <w:pitch w:val="variable"/>
  </w:font>
  <w:font w:name="Verdana">
    <w:charset w:val="ee"/>
    <w:family w:val="roman"/>
    <w:pitch w:val="variable"/>
  </w:font>
  <w:font w:name="Tahoma">
    <w:charset w:val="ee"/>
    <w:family w:val="roman"/>
    <w:pitch w:val="variable"/>
  </w:font>
  <w:font w:name="JohnSans Text Pro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</w:r>
  </w:p>
  <w:p>
    <w:pPr>
      <w:pStyle w:val="Zpat"/>
      <w:jc w:val="center"/>
      <w:rPr>
        <w:rFonts w:ascii="Arial" w:hAnsi="Arial" w:cs="Arial"/>
        <w:sz w:val="20"/>
      </w:rPr>
    </w:pPr>
    <w:r>
      <w:rPr>
        <w:rFonts w:cs="Arial" w:ascii="Arial" w:hAnsi="Arial"/>
        <w:sz w:val="20"/>
      </w:rPr>
      <w:fldChar w:fldCharType="begin"/>
    </w:r>
    <w:r>
      <w:rPr>
        <w:sz w:val="20"/>
        <w:rFonts w:cs="Arial" w:ascii="Arial" w:hAnsi="Arial"/>
      </w:rPr>
      <w:instrText> PAGE </w:instrText>
    </w:r>
    <w:r>
      <w:rPr>
        <w:sz w:val="20"/>
        <w:rFonts w:cs="Arial" w:ascii="Arial" w:hAnsi="Arial"/>
      </w:rPr>
      <w:fldChar w:fldCharType="separate"/>
    </w:r>
    <w:r>
      <w:rPr>
        <w:sz w:val="20"/>
        <w:rFonts w:cs="Arial" w:ascii="Arial" w:hAnsi="Arial"/>
      </w:rPr>
      <w:t>2</w:t>
    </w:r>
    <w:r>
      <w:rPr>
        <w:sz w:val="20"/>
        <w:rFonts w:cs="Arial" w:ascii="Arial" w:hAnsi="Arial"/>
      </w:rPr>
      <w:fldChar w:fldCharType="end"/>
    </w:r>
  </w:p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0" w:hanging="0"/>
      <w:jc w:val="right"/>
      <w:rPr>
        <w:rFonts w:ascii="Segoe UI" w:hAnsi="Segoe UI" w:cs="Segoe UI"/>
        <w:b/>
        <w:b/>
        <w:sz w:val="20"/>
      </w:rPr>
    </w:pPr>
    <w:r>
      <w:rPr/>
      <w:drawing>
        <wp:inline distT="0" distB="0" distL="0" distR="0">
          <wp:extent cx="5760720" cy="695325"/>
          <wp:effectExtent l="0" t="0" r="0" b="0"/>
          <wp:docPr id="1" name="Obrázek 22224859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2224859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decimal"/>
      <w:lvlText w:val="%1"/>
      <w:lvlJc w:val="left"/>
      <w:pPr>
        <w:tabs>
          <w:tab w:val="num" w:pos="0"/>
        </w:tabs>
        <w:ind w:left="3551" w:hanging="432"/>
      </w:pPr>
    </w:lvl>
    <w:lvl w:ilvl="1">
      <w:start w:val="1"/>
      <w:pStyle w:val="Nadpis2"/>
      <w:numFmt w:val="decimal"/>
      <w:lvlText w:val="%1.%2"/>
      <w:lvlJc w:val="left"/>
      <w:pPr>
        <w:tabs>
          <w:tab w:val="num" w:pos="0"/>
        </w:tabs>
        <w:ind w:left="2703" w:hanging="576"/>
      </w:pPr>
      <w:rPr>
        <w:sz w:val="22"/>
        <w:b w:val="false"/>
        <w:szCs w:val="22"/>
      </w:rPr>
    </w:lvl>
    <w:lvl w:ilvl="2">
      <w:start w:val="1"/>
      <w:pStyle w:val="Nadpis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false"/>
      </w:rPr>
    </w:lvl>
    <w:lvl w:ilvl="3">
      <w:start w:val="1"/>
      <w:pStyle w:val="Nadpis4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pStyle w:val="Nadpis5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pStyle w:val="Nadpis6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pStyle w:val="Nadpis7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pStyle w:val="Nadpis8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pStyle w:val="Nadpis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decimal"/>
      <w:lvlText w:val="7.%1."/>
      <w:lvlJc w:val="left"/>
      <w:pPr>
        <w:tabs>
          <w:tab w:val="num" w:pos="927"/>
        </w:tabs>
        <w:ind w:left="927" w:hanging="567"/>
      </w:pPr>
      <w:rPr>
        <w:b w:val="false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Arial" w:hAnsi="Arial" w:cs="Arial" w:hint="default"/>
      </w:rPr>
    </w:lvl>
    <w:lvl w:ilvl="2">
      <w:start w:val="2"/>
      <w:numFmt w:val="upperLetter"/>
      <w:lvlText w:val="%3."/>
      <w:lvlJc w:val="left"/>
      <w:pPr>
        <w:tabs>
          <w:tab w:val="num" w:pos="2343"/>
        </w:tabs>
        <w:ind w:left="2343" w:hanging="360"/>
      </w:pPr>
      <w:rPr>
        <w:b/>
        <w:rFonts w:eastAsia="MS Mincho"/>
      </w:rPr>
    </w:lvl>
    <w:lvl w:ilvl="3">
      <w:start w:val="1"/>
      <w:numFmt w:val="lowerLetter"/>
      <w:lvlText w:val="%4)"/>
      <w:lvlJc w:val="left"/>
      <w:pPr>
        <w:tabs>
          <w:tab w:val="num" w:pos="2883"/>
        </w:tabs>
        <w:ind w:left="2883" w:hanging="360"/>
      </w:pPr>
      <w:rPr>
        <w:b w:val="false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3658"/>
        </w:tabs>
        <w:ind w:left="3410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sz w:val="28"/>
        <w:i w:val="false"/>
        <w:b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4634c"/>
    <w:pPr>
      <w:widowControl/>
      <w:suppressAutoHyphens w:val="true"/>
      <w:bidi w:val="0"/>
      <w:spacing w:before="0" w:after="0"/>
      <w:ind w:left="357" w:hanging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cs-CZ" w:eastAsia="cs-CZ" w:bidi="ar-SA"/>
    </w:rPr>
  </w:style>
  <w:style w:type="paragraph" w:styleId="Nadpis1">
    <w:name w:val="Heading 1"/>
    <w:basedOn w:val="Normal"/>
    <w:next w:val="Nadpis2"/>
    <w:link w:val="Nadpis1Char"/>
    <w:qFormat/>
    <w:rsid w:val="00ca7091"/>
    <w:pPr>
      <w:numPr>
        <w:ilvl w:val="0"/>
        <w:numId w:val="1"/>
      </w:numPr>
      <w:shd w:val="clear" w:color="auto" w:fill="FFFFFF" w:themeFill="background1"/>
      <w:spacing w:before="240" w:after="0"/>
      <w:ind w:left="432" w:hanging="0"/>
      <w:jc w:val="center"/>
      <w:outlineLvl w:val="0"/>
    </w:pPr>
    <w:rPr>
      <w:rFonts w:ascii="Calibri" w:hAnsi="Calibri"/>
      <w:b/>
      <w:caps/>
      <w:sz w:val="28"/>
      <w:szCs w:val="24"/>
    </w:rPr>
  </w:style>
  <w:style w:type="paragraph" w:styleId="Nadpis2">
    <w:name w:val="Heading 2"/>
    <w:basedOn w:val="Normal"/>
    <w:next w:val="Nadpis3"/>
    <w:link w:val="Nadpis2Char"/>
    <w:qFormat/>
    <w:rsid w:val="0008426c"/>
    <w:pPr>
      <w:numPr>
        <w:ilvl w:val="1"/>
        <w:numId w:val="1"/>
      </w:numPr>
      <w:spacing w:before="120" w:after="120"/>
      <w:outlineLvl w:val="1"/>
    </w:pPr>
    <w:rPr>
      <w:rFonts w:ascii="Calibri" w:hAnsi="Calibri" w:asciiTheme="minorHAnsi" w:hAnsiTheme="minorHAnsi"/>
      <w:sz w:val="22"/>
      <w:szCs w:val="24"/>
    </w:rPr>
  </w:style>
  <w:style w:type="paragraph" w:styleId="Nadpis3">
    <w:name w:val="Heading 3"/>
    <w:basedOn w:val="Normal"/>
    <w:link w:val="Nadpis3Char"/>
    <w:qFormat/>
    <w:rsid w:val="004f7ec0"/>
    <w:pPr>
      <w:numPr>
        <w:ilvl w:val="2"/>
        <w:numId w:val="1"/>
      </w:numPr>
      <w:spacing w:before="60" w:after="60"/>
      <w:outlineLvl w:val="2"/>
    </w:pPr>
    <w:rPr>
      <w:rFonts w:ascii="Calibri" w:hAnsi="Calibri" w:asciiTheme="minorHAnsi" w:hAnsiTheme="minorHAnsi"/>
      <w:sz w:val="22"/>
    </w:rPr>
  </w:style>
  <w:style w:type="paragraph" w:styleId="Nadpis4">
    <w:name w:val="Heading 4"/>
    <w:basedOn w:val="Normal"/>
    <w:qFormat/>
    <w:rsid w:val="005d0257"/>
    <w:pPr>
      <w:numPr>
        <w:ilvl w:val="3"/>
        <w:numId w:val="1"/>
      </w:numPr>
      <w:outlineLvl w:val="3"/>
    </w:pPr>
    <w:rPr>
      <w:rFonts w:ascii="Arial" w:hAnsi="Arial"/>
      <w:sz w:val="20"/>
    </w:rPr>
  </w:style>
  <w:style w:type="paragraph" w:styleId="Nadpis5">
    <w:name w:val="Heading 5"/>
    <w:basedOn w:val="Normal"/>
    <w:next w:val="Normal"/>
    <w:qFormat/>
    <w:rsid w:val="0099587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al"/>
    <w:next w:val="Normal"/>
    <w:qFormat/>
    <w:rsid w:val="0099587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al"/>
    <w:next w:val="Normal"/>
    <w:qFormat/>
    <w:rsid w:val="0099587d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al"/>
    <w:next w:val="Normal"/>
    <w:qFormat/>
    <w:rsid w:val="0099587d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al"/>
    <w:next w:val="Normal"/>
    <w:qFormat/>
    <w:rsid w:val="0099587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2CharChar" w:customStyle="1">
    <w:name w:val="Styl2 Char Char"/>
    <w:link w:val="Styl2"/>
    <w:qFormat/>
    <w:rsid w:val="0099587d"/>
    <w:rPr>
      <w:rFonts w:ascii="Times New Roman Bold" w:hAnsi="Times New Roman Bold" w:cs="Courier New"/>
      <w:sz w:val="24"/>
      <w:szCs w:val="24"/>
      <w:lang w:val="cs-CZ" w:eastAsia="cs-CZ" w:bidi="ar-SA"/>
    </w:rPr>
  </w:style>
  <w:style w:type="character" w:styleId="Annotationreference">
    <w:name w:val="annotation reference"/>
    <w:qFormat/>
    <w:rsid w:val="00fb1724"/>
    <w:rPr>
      <w:rFonts w:ascii="Times New Roman Bold" w:hAnsi="Times New Roman Bold"/>
      <w:sz w:val="16"/>
      <w:szCs w:val="16"/>
      <w:lang w:val="sk-SK" w:eastAsia="en-US" w:bidi="ar-SA"/>
    </w:rPr>
  </w:style>
  <w:style w:type="character" w:styleId="Internetovodkaz" w:customStyle="1">
    <w:name w:val="Internetový odkaz"/>
    <w:basedOn w:val="DefaultParagraphFont"/>
    <w:unhideWhenUsed/>
    <w:rsid w:val="00d86415"/>
    <w:rPr>
      <w:color w:val="0000FF" w:themeColor="hyperlink"/>
      <w:u w:val="single"/>
    </w:rPr>
  </w:style>
  <w:style w:type="character" w:styleId="Zkladntextodsazen2Char" w:customStyle="1">
    <w:name w:val="Základní text odsazený 2 Char"/>
    <w:link w:val="Zkladntextodsazen2"/>
    <w:qFormat/>
    <w:rsid w:val="007044ad"/>
    <w:rPr>
      <w:rFonts w:ascii="Times New Roman Bold" w:hAnsi="Times New Roman Bold"/>
      <w:sz w:val="24"/>
      <w:szCs w:val="26"/>
      <w:lang w:val="sk-SK" w:eastAsia="en-US" w:bidi="ar-SA"/>
    </w:rPr>
  </w:style>
  <w:style w:type="character" w:styleId="ZpatChar" w:customStyle="1">
    <w:name w:val="Zápatí Char"/>
    <w:link w:val="Zpat"/>
    <w:uiPriority w:val="99"/>
    <w:qFormat/>
    <w:rsid w:val="006e3b98"/>
    <w:rPr>
      <w:sz w:val="24"/>
    </w:rPr>
  </w:style>
  <w:style w:type="character" w:styleId="Strong">
    <w:name w:val="Strong"/>
    <w:uiPriority w:val="22"/>
    <w:qFormat/>
    <w:rsid w:val="00706a6f"/>
    <w:rPr>
      <w:rFonts w:ascii="Times New Roman Bold" w:hAnsi="Times New Roman Bold"/>
      <w:b/>
      <w:bCs/>
      <w:sz w:val="22"/>
      <w:szCs w:val="26"/>
      <w:lang w:val="sk-SK" w:eastAsia="en-US" w:bidi="ar-SA"/>
    </w:rPr>
  </w:style>
  <w:style w:type="character" w:styleId="TextkomenteChar" w:customStyle="1">
    <w:name w:val="Text komentáře Char"/>
    <w:basedOn w:val="DefaultParagraphFont"/>
    <w:link w:val="Textkomente"/>
    <w:qFormat/>
    <w:rsid w:val="00701041"/>
    <w:rPr/>
  </w:style>
  <w:style w:type="character" w:styleId="StylNadpisChar" w:customStyle="1">
    <w:name w:val="StylNadpis Char"/>
    <w:link w:val="StylNadpis"/>
    <w:qFormat/>
    <w:rsid w:val="00022c2c"/>
    <w:rPr>
      <w:rFonts w:ascii="Arial" w:hAnsi="Arial"/>
      <w:b/>
      <w:caps/>
      <w:sz w:val="24"/>
      <w:szCs w:val="24"/>
      <w:shd w:fill="CCFFFF" w:val="clear"/>
      <w:lang w:val="sk-SK" w:eastAsia="en-US"/>
    </w:rPr>
  </w:style>
  <w:style w:type="character" w:styleId="Nadpis2Char" w:customStyle="1">
    <w:name w:val="Nadpis 2 Char"/>
    <w:basedOn w:val="DefaultParagraphFont"/>
    <w:link w:val="Nadpis2"/>
    <w:qFormat/>
    <w:rsid w:val="0008426c"/>
    <w:rPr>
      <w:rFonts w:ascii="Calibri" w:hAnsi="Calibri" w:asciiTheme="minorHAnsi" w:hAnsiTheme="minorHAnsi"/>
      <w:sz w:val="22"/>
      <w:szCs w:val="24"/>
    </w:rPr>
  </w:style>
  <w:style w:type="character" w:styleId="OdstavecseseznamemChar" w:customStyle="1">
    <w:name w:val="Odstavec se seznamem Char"/>
    <w:link w:val="Odstavecseseznamem"/>
    <w:uiPriority w:val="34"/>
    <w:qFormat/>
    <w:locked/>
    <w:rsid w:val="00e5302c"/>
    <w:rPr>
      <w:sz w:val="24"/>
    </w:rPr>
  </w:style>
  <w:style w:type="character" w:styleId="Nadpis3Char" w:customStyle="1">
    <w:name w:val="Nadpis 3 Char"/>
    <w:basedOn w:val="DefaultParagraphFont"/>
    <w:link w:val="Nadpis3"/>
    <w:qFormat/>
    <w:rsid w:val="00ed27fd"/>
    <w:rPr>
      <w:rFonts w:ascii="Calibri" w:hAnsi="Calibri" w:asciiTheme="minorHAnsi" w:hAnsiTheme="minorHAnsi"/>
      <w:sz w:val="22"/>
    </w:rPr>
  </w:style>
  <w:style w:type="character" w:styleId="Nadpis1Char" w:customStyle="1">
    <w:name w:val="Nadpis 1 Char"/>
    <w:basedOn w:val="DefaultParagraphFont"/>
    <w:link w:val="Nadpis1"/>
    <w:qFormat/>
    <w:rsid w:val="009f5a41"/>
    <w:rPr>
      <w:rFonts w:ascii="Calibri" w:hAnsi="Calibri"/>
      <w:b/>
      <w:caps/>
      <w:sz w:val="28"/>
      <w:szCs w:val="24"/>
      <w:shd w:fill="FFFFFF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86415"/>
    <w:rPr>
      <w:color w:val="605E5C"/>
      <w:shd w:fill="E1DFDD" w:val="clear"/>
    </w:rPr>
  </w:style>
  <w:style w:type="paragraph" w:styleId="Nadpis" w:customStyle="1">
    <w:name w:val="Nadpis"/>
    <w:basedOn w:val="Normal"/>
    <w:next w:val="Tlotextu"/>
    <w:qFormat/>
    <w:rsid w:val="001255d9"/>
    <w:pPr>
      <w:keepNext w:val="true"/>
      <w:widowControl w:val="false"/>
      <w:spacing w:before="240" w:after="120"/>
      <w:ind w:left="0" w:hanging="0"/>
      <w:jc w:val="left"/>
    </w:pPr>
    <w:rPr>
      <w:rFonts w:ascii="Arial" w:hAnsi="Arial" w:eastAsia="Microsoft YaHei" w:cs="Mangal"/>
      <w:kern w:val="2"/>
      <w:sz w:val="28"/>
      <w:szCs w:val="28"/>
      <w:lang w:eastAsia="ar-SA"/>
    </w:rPr>
  </w:style>
  <w:style w:type="paragraph" w:styleId="Tlotextu">
    <w:name w:val="Body Text"/>
    <w:basedOn w:val="Normal"/>
    <w:rsid w:val="00ba414b"/>
    <w:pPr>
      <w:spacing w:before="0" w:after="120"/>
    </w:pPr>
    <w:rPr/>
  </w:style>
  <w:style w:type="paragraph" w:styleId="Seznam">
    <w:name w:val="List"/>
    <w:basedOn w:val="Normal"/>
    <w:rsid w:val="001a11f3"/>
    <w:pPr>
      <w:ind w:left="283" w:hanging="283"/>
      <w:jc w:val="left"/>
    </w:pPr>
    <w:rPr>
      <w:rFonts w:ascii="Arial" w:hAnsi="Arial"/>
      <w:sz w:val="22"/>
      <w:szCs w:val="24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Normal"/>
    <w:rsid w:val="004f7cdd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rsid w:val="002d5fae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Odsazentlatextu">
    <w:name w:val="Body Text Indent"/>
    <w:basedOn w:val="Normal"/>
    <w:rsid w:val="00fd42ea"/>
    <w:pPr>
      <w:ind w:left="360" w:hanging="360"/>
    </w:pPr>
    <w:rPr>
      <w:sz w:val="22"/>
    </w:rPr>
  </w:style>
  <w:style w:type="paragraph" w:styleId="BodyText3">
    <w:name w:val="Body Text 3"/>
    <w:basedOn w:val="Normal"/>
    <w:qFormat/>
    <w:rsid w:val="00247054"/>
    <w:pPr>
      <w:spacing w:before="0" w:after="120"/>
    </w:pPr>
    <w:rPr>
      <w:sz w:val="16"/>
      <w:szCs w:val="16"/>
    </w:rPr>
  </w:style>
  <w:style w:type="paragraph" w:styleId="PlainText">
    <w:name w:val="Plain Text"/>
    <w:basedOn w:val="Normal"/>
    <w:qFormat/>
    <w:rsid w:val="00912299"/>
    <w:pPr/>
    <w:rPr>
      <w:rFonts w:ascii="Courier New" w:hAnsi="Courier New" w:cs="Courier New"/>
    </w:rPr>
  </w:style>
  <w:style w:type="paragraph" w:styleId="NormlnOdsazen" w:customStyle="1">
    <w:name w:val="Normální  + Odsazení"/>
    <w:basedOn w:val="Normal"/>
    <w:qFormat/>
    <w:rsid w:val="00912299"/>
    <w:pPr>
      <w:numPr>
        <w:ilvl w:val="0"/>
        <w:numId w:val="2"/>
      </w:numPr>
      <w:spacing w:before="0" w:after="120"/>
    </w:pPr>
    <w:rPr>
      <w:rFonts w:ascii="Verdana" w:hAnsi="Verdana"/>
      <w:szCs w:val="24"/>
    </w:rPr>
  </w:style>
  <w:style w:type="paragraph" w:styleId="Styl1" w:customStyle="1">
    <w:name w:val="Styl1"/>
    <w:basedOn w:val="Normal"/>
    <w:qFormat/>
    <w:rsid w:val="007472bb"/>
    <w:pPr>
      <w:numPr>
        <w:ilvl w:val="0"/>
        <w:numId w:val="3"/>
      </w:numPr>
      <w:jc w:val="center"/>
    </w:pPr>
    <w:rPr>
      <w:b/>
      <w:sz w:val="28"/>
      <w:szCs w:val="24"/>
    </w:rPr>
  </w:style>
  <w:style w:type="paragraph" w:styleId="BodyText2">
    <w:name w:val="Body Text 2"/>
    <w:basedOn w:val="Normal"/>
    <w:qFormat/>
    <w:rsid w:val="00ba414b"/>
    <w:pPr>
      <w:spacing w:lineRule="auto" w:line="480" w:before="0" w:after="120"/>
    </w:pPr>
    <w:rPr/>
  </w:style>
  <w:style w:type="paragraph" w:styleId="Styl2" w:customStyle="1">
    <w:name w:val="Styl2"/>
    <w:basedOn w:val="Normal"/>
    <w:link w:val="Styl2CharChar"/>
    <w:qFormat/>
    <w:rsid w:val="0099587d"/>
    <w:pPr>
      <w:spacing w:before="240" w:after="120"/>
      <w:ind w:left="0" w:hanging="0"/>
    </w:pPr>
    <w:rPr>
      <w:rFonts w:ascii="Times New Roman Bold" w:hAnsi="Times New Roman Bold" w:cs="Courier New"/>
      <w:szCs w:val="24"/>
    </w:rPr>
  </w:style>
  <w:style w:type="paragraph" w:styleId="Obsah9">
    <w:name w:val="TOC 9"/>
    <w:basedOn w:val="Normal"/>
    <w:next w:val="Normal"/>
    <w:autoRedefine/>
    <w:semiHidden/>
    <w:rsid w:val="00294f7d"/>
    <w:pPr>
      <w:ind w:left="1600" w:hanging="0"/>
    </w:pPr>
    <w:rPr>
      <w:sz w:val="18"/>
      <w:szCs w:val="18"/>
    </w:rPr>
  </w:style>
  <w:style w:type="paragraph" w:styleId="BodyTextIndent3">
    <w:name w:val="Body Text Indent 3"/>
    <w:basedOn w:val="Normal"/>
    <w:qFormat/>
    <w:rsid w:val="00124d64"/>
    <w:pPr>
      <w:spacing w:before="0" w:after="120"/>
      <w:ind w:left="283" w:hanging="0"/>
    </w:pPr>
    <w:rPr>
      <w:sz w:val="16"/>
      <w:szCs w:val="16"/>
    </w:rPr>
  </w:style>
  <w:style w:type="paragraph" w:styleId="DocumentMap">
    <w:name w:val="Document Map"/>
    <w:basedOn w:val="Normal"/>
    <w:semiHidden/>
    <w:qFormat/>
    <w:rsid w:val="00cd2918"/>
    <w:pPr>
      <w:shd w:val="clear" w:color="auto" w:fill="000080"/>
    </w:pPr>
    <w:rPr>
      <w:rFonts w:ascii="Tahoma" w:hAnsi="Tahoma" w:cs="Tahoma"/>
      <w:sz w:val="20"/>
    </w:rPr>
  </w:style>
  <w:style w:type="paragraph" w:styleId="Annotationtext">
    <w:name w:val="annotation text"/>
    <w:basedOn w:val="Normal"/>
    <w:link w:val="TextkomenteChar"/>
    <w:qFormat/>
    <w:rsid w:val="00fb1724"/>
    <w:pPr/>
    <w:rPr>
      <w:sz w:val="20"/>
    </w:rPr>
  </w:style>
  <w:style w:type="paragraph" w:styleId="Annotationsubject">
    <w:name w:val="annotation subject"/>
    <w:basedOn w:val="Annotationtext"/>
    <w:next w:val="Annotationtext"/>
    <w:semiHidden/>
    <w:qFormat/>
    <w:rsid w:val="00fb1724"/>
    <w:pPr/>
    <w:rPr>
      <w:b/>
      <w:bCs/>
    </w:rPr>
  </w:style>
  <w:style w:type="paragraph" w:styleId="BalloonText">
    <w:name w:val="Balloon Text"/>
    <w:basedOn w:val="Normal"/>
    <w:semiHidden/>
    <w:qFormat/>
    <w:rsid w:val="00fb1724"/>
    <w:pPr/>
    <w:rPr>
      <w:rFonts w:ascii="Tahoma" w:hAnsi="Tahoma" w:cs="Tahoma"/>
      <w:sz w:val="16"/>
      <w:szCs w:val="16"/>
    </w:rPr>
  </w:style>
  <w:style w:type="paragraph" w:styleId="Char1CharCharChar" w:customStyle="1">
    <w:name w:val="Char1 Char Char Char"/>
    <w:basedOn w:val="Normal"/>
    <w:qFormat/>
    <w:rsid w:val="000e66aa"/>
    <w:pPr>
      <w:spacing w:lineRule="exact" w:line="240" w:before="0" w:after="160"/>
    </w:pPr>
    <w:rPr>
      <w:rFonts w:ascii="Times New Roman Bold" w:hAnsi="Times New Roman Bold"/>
      <w:sz w:val="22"/>
      <w:szCs w:val="26"/>
      <w:lang w:val="sk-SK" w:eastAsia="en-US"/>
    </w:rPr>
  </w:style>
  <w:style w:type="paragraph" w:styleId="Default" w:customStyle="1">
    <w:name w:val="Default"/>
    <w:qFormat/>
    <w:rsid w:val="00395440"/>
    <w:pPr>
      <w:widowControl/>
      <w:suppressAutoHyphens w:val="true"/>
      <w:bidi w:val="0"/>
      <w:spacing w:before="0" w:after="0"/>
      <w:ind w:left="357" w:hanging="0"/>
      <w:jc w:val="both"/>
    </w:pPr>
    <w:rPr>
      <w:rFonts w:ascii="JohnSans Text Pro" w:hAnsi="JohnSans Text Pro" w:cs="JohnSans Text Pro" w:eastAsia="Times New Roman"/>
      <w:color w:val="000000"/>
      <w:kern w:val="0"/>
      <w:sz w:val="24"/>
      <w:szCs w:val="24"/>
      <w:lang w:val="cs-CZ" w:eastAsia="cs-CZ" w:bidi="ar-SA"/>
    </w:rPr>
  </w:style>
  <w:style w:type="paragraph" w:styleId="ZnakZnak" w:customStyle="1">
    <w:name w:val="Znak Znak"/>
    <w:basedOn w:val="Normal"/>
    <w:qFormat/>
    <w:rsid w:val="00fc2b61"/>
    <w:pPr>
      <w:spacing w:lineRule="exact" w:line="240" w:before="0" w:after="160"/>
      <w:jc w:val="left"/>
    </w:pPr>
    <w:rPr>
      <w:rFonts w:ascii="Times New Roman Bold" w:hAnsi="Times New Roman Bold"/>
      <w:sz w:val="22"/>
      <w:szCs w:val="26"/>
      <w:lang w:val="sk-SK" w:eastAsia="en-US"/>
    </w:rPr>
  </w:style>
  <w:style w:type="paragraph" w:styleId="Styl21" w:customStyle="1">
    <w:name w:val="styl2"/>
    <w:basedOn w:val="Normal"/>
    <w:qFormat/>
    <w:rsid w:val="00ea7234"/>
    <w:pPr>
      <w:tabs>
        <w:tab w:val="clear" w:pos="720"/>
        <w:tab w:val="left" w:pos="612" w:leader="none"/>
      </w:tabs>
      <w:spacing w:before="240" w:after="120"/>
      <w:ind w:left="612" w:hanging="432"/>
    </w:pPr>
    <w:rPr>
      <w:szCs w:val="24"/>
    </w:rPr>
  </w:style>
  <w:style w:type="paragraph" w:styleId="Bodsmlouvy21" w:customStyle="1">
    <w:name w:val="Bod smlouvy - 2.1"/>
    <w:qFormat/>
    <w:rsid w:val="00746175"/>
    <w:pPr>
      <w:widowControl/>
      <w:suppressAutoHyphens w:val="true"/>
      <w:bidi w:val="0"/>
      <w:spacing w:before="0" w:after="0"/>
      <w:jc w:val="both"/>
      <w:outlineLvl w:val="1"/>
    </w:pPr>
    <w:rPr>
      <w:rFonts w:ascii="Times New Roman" w:hAnsi="Times New Roman" w:eastAsia="Times New Roman" w:cs="Times New Roman"/>
      <w:color w:val="000000"/>
      <w:kern w:val="0"/>
      <w:sz w:val="22"/>
      <w:szCs w:val="20"/>
      <w:lang w:val="cs-CZ" w:eastAsia="cs-CZ" w:bidi="ar-SA"/>
    </w:rPr>
  </w:style>
  <w:style w:type="paragraph" w:styleId="Lnek" w:customStyle="1">
    <w:name w:val="Článek"/>
    <w:basedOn w:val="Normal"/>
    <w:next w:val="Bodsmlouvy21"/>
    <w:qFormat/>
    <w:rsid w:val="00746175"/>
    <w:pPr>
      <w:numPr>
        <w:ilvl w:val="0"/>
        <w:numId w:val="4"/>
      </w:numPr>
      <w:spacing w:before="360" w:after="360"/>
      <w:jc w:val="center"/>
    </w:pPr>
    <w:rPr>
      <w:b/>
      <w:color w:val="0000FF"/>
      <w:sz w:val="28"/>
    </w:rPr>
  </w:style>
  <w:style w:type="paragraph" w:styleId="Bodsmlouvy211" w:customStyle="1">
    <w:name w:val="Bod smlouvy - 2.1.1"/>
    <w:basedOn w:val="Bodsmlouvy21"/>
    <w:qFormat/>
    <w:rsid w:val="00746175"/>
    <w:pPr>
      <w:tabs>
        <w:tab w:val="clear" w:pos="720"/>
        <w:tab w:val="left" w:pos="360" w:leader="none"/>
        <w:tab w:val="left" w:pos="1134" w:leader="none"/>
        <w:tab w:val="left" w:pos="3576" w:leader="none"/>
        <w:tab w:val="right" w:pos="9356" w:leader="none"/>
      </w:tabs>
      <w:spacing w:before="0" w:after="60"/>
      <w:ind w:left="360" w:hanging="360"/>
      <w:outlineLvl w:val="2"/>
    </w:pPr>
    <w:rPr/>
  </w:style>
  <w:style w:type="paragraph" w:styleId="StyllnekPed30b" w:customStyle="1">
    <w:name w:val="Styl Článek + Před:  30 b."/>
    <w:basedOn w:val="Lnek"/>
    <w:qFormat/>
    <w:rsid w:val="00746175"/>
    <w:pPr>
      <w:spacing w:before="600" w:after="360"/>
    </w:pPr>
    <w:rPr>
      <w:bCs/>
    </w:rPr>
  </w:style>
  <w:style w:type="paragraph" w:styleId="Zkladntext21" w:customStyle="1">
    <w:name w:val="Základní text 21"/>
    <w:basedOn w:val="Normal"/>
    <w:qFormat/>
    <w:rsid w:val="00714740"/>
    <w:pPr>
      <w:spacing w:before="120" w:after="0"/>
      <w:ind w:left="0" w:hanging="0"/>
      <w:textAlignment w:val="baseline"/>
    </w:pPr>
    <w:rPr>
      <w:rFonts w:ascii="Arial" w:hAnsi="Arial"/>
      <w:sz w:val="22"/>
    </w:rPr>
  </w:style>
  <w:style w:type="paragraph" w:styleId="BodyTextIndent2">
    <w:name w:val="Body Text Indent 2"/>
    <w:basedOn w:val="Normal"/>
    <w:link w:val="Zkladntextodsazen2Char"/>
    <w:qFormat/>
    <w:rsid w:val="007044ad"/>
    <w:pPr>
      <w:spacing w:lineRule="auto" w:line="480" w:before="0" w:after="120"/>
      <w:ind w:left="283" w:hanging="0"/>
    </w:pPr>
    <w:rPr>
      <w:rFonts w:ascii="Times New Roman Bold" w:hAnsi="Times New Roman Bold"/>
      <w:szCs w:val="26"/>
      <w:lang w:val="sk-SK" w:eastAsia="en-US"/>
    </w:rPr>
  </w:style>
  <w:style w:type="paragraph" w:styleId="BlockText">
    <w:name w:val="Block Text"/>
    <w:basedOn w:val="Normal"/>
    <w:qFormat/>
    <w:rsid w:val="007044ad"/>
    <w:pPr>
      <w:ind w:left="0" w:right="-92" w:hanging="0"/>
    </w:pPr>
    <w:rPr>
      <w:szCs w:val="24"/>
    </w:rPr>
  </w:style>
  <w:style w:type="paragraph" w:styleId="StylNadpis" w:customStyle="1">
    <w:name w:val="StylNadpis"/>
    <w:basedOn w:val="Normal"/>
    <w:link w:val="StylNadpisChar"/>
    <w:qFormat/>
    <w:rsid w:val="00022c2c"/>
    <w:pPr>
      <w:pBdr>
        <w:top w:val="single" w:sz="4" w:space="1" w:color="000000"/>
        <w:left w:val="single" w:sz="4" w:space="16" w:color="000000"/>
        <w:bottom w:val="single" w:sz="4" w:space="1" w:color="000000"/>
        <w:right w:val="single" w:sz="4" w:space="4" w:color="000000"/>
      </w:pBdr>
      <w:shd w:val="clear" w:color="auto" w:fill="CCFFFF"/>
      <w:tabs>
        <w:tab w:val="left" w:pos="720" w:leader="none"/>
      </w:tabs>
      <w:ind w:left="720" w:hanging="360"/>
      <w:jc w:val="left"/>
    </w:pPr>
    <w:rPr>
      <w:rFonts w:ascii="Arial" w:hAnsi="Arial"/>
      <w:b/>
      <w:caps/>
      <w:szCs w:val="24"/>
      <w:lang w:val="sk-SK" w:eastAsia="en-US"/>
    </w:rPr>
  </w:style>
  <w:style w:type="paragraph" w:styleId="Revision">
    <w:name w:val="Revision"/>
    <w:uiPriority w:val="99"/>
    <w:semiHidden/>
    <w:qFormat/>
    <w:rsid w:val="00637ed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cs-CZ" w:eastAsia="cs-CZ" w:bidi="ar-SA"/>
    </w:rPr>
  </w:style>
  <w:style w:type="paragraph" w:styleId="ListParagraph">
    <w:name w:val="List Paragraph"/>
    <w:basedOn w:val="Normal"/>
    <w:link w:val="OdstavecseseznamemChar"/>
    <w:uiPriority w:val="34"/>
    <w:qFormat/>
    <w:rsid w:val="00314781"/>
    <w:pPr>
      <w:spacing w:before="0" w:after="0"/>
      <w:ind w:left="720" w:hanging="0"/>
      <w:contextualSpacing/>
    </w:pPr>
    <w:rPr/>
  </w:style>
  <w:style w:type="paragraph" w:styleId="Odkraje" w:customStyle="1">
    <w:name w:val="Od kraje"/>
    <w:basedOn w:val="Tlotextu"/>
    <w:qFormat/>
    <w:rsid w:val="001255d9"/>
    <w:pPr>
      <w:spacing w:before="120" w:after="0"/>
      <w:ind w:left="453" w:hanging="0"/>
      <w:textAlignment w:val="baseline"/>
    </w:pPr>
    <w:rPr>
      <w:color w:val="000000"/>
    </w:rPr>
  </w:style>
  <w:style w:type="paragraph" w:styleId="NoSpacing">
    <w:name w:val="No Spacing"/>
    <w:uiPriority w:val="99"/>
    <w:qFormat/>
    <w:rsid w:val="00aa5ca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cs-CZ" w:bidi="ar-SA"/>
    </w:rPr>
  </w:style>
  <w:style w:type="paragraph" w:styleId="Normodsaz" w:customStyle="1">
    <w:name w:val="Norm.odsaz."/>
    <w:basedOn w:val="Normal"/>
    <w:qFormat/>
    <w:rsid w:val="001c4eec"/>
    <w:pPr>
      <w:ind w:left="0" w:hanging="0"/>
    </w:pPr>
    <w:rPr/>
  </w:style>
  <w:style w:type="paragraph" w:styleId="Zkladntextodsazen21" w:customStyle="1">
    <w:name w:val="Základní text odsazený 21"/>
    <w:basedOn w:val="Normal"/>
    <w:qFormat/>
    <w:rsid w:val="007f54fe"/>
    <w:pPr>
      <w:tabs>
        <w:tab w:val="clear" w:pos="720"/>
        <w:tab w:val="left" w:pos="0" w:leader="none"/>
        <w:tab w:val="left" w:pos="360" w:leader="none"/>
        <w:tab w:val="left" w:pos="708" w:leader="none"/>
        <w:tab w:val="left" w:pos="1416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left" w:pos="8496" w:leader="none"/>
        <w:tab w:val="left" w:pos="9204" w:leader="none"/>
        <w:tab w:val="left" w:pos="9912" w:leader="none"/>
        <w:tab w:val="left" w:pos="10620" w:leader="none"/>
        <w:tab w:val="left" w:pos="11328" w:leader="none"/>
        <w:tab w:val="left" w:pos="12036" w:leader="none"/>
        <w:tab w:val="left" w:pos="12744" w:leader="none"/>
      </w:tabs>
      <w:ind w:left="0" w:hanging="540"/>
    </w:pPr>
    <w:rPr>
      <w:sz w:val="22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902368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D5A8A-0844-46B7-9733-278C5C9B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Application>LibreOffice/7.1.8.1$Windows_X86_64 LibreOffice_project/e1f30c802c3269a1d052614453f260e49458c82c</Application>
  <AppVersion>15.0000</AppVersion>
  <Pages>2</Pages>
  <Words>531</Words>
  <Characters>2980</Characters>
  <CharactersWithSpaces>3690</CharactersWithSpaces>
  <Paragraphs>64</Paragraphs>
  <Company>Swietelsky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2024-01-09T20:19:00Z</dcterms:created>
  <dc:creator>Dvořáková</dc:creator>
  <dc:description/>
  <dc:language>cs-CZ</dc:language>
  <cp:lastModifiedBy/>
  <cp:lastPrinted>2024-01-08T19:38:00Z</cp:lastPrinted>
  <dcterms:modified xsi:type="dcterms:W3CDTF">2024-09-07T13:09:36Z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