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2" w:name="bookmark2"/>
      <w:r>
        <w:rPr>
          <w:rStyle w:val="CharStyle14"/>
        </w:rPr>
        <w:t>I■HIIIIIIIII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60" w:firstLine="0"/>
        <w:jc w:val="right"/>
      </w:pPr>
      <w:r>
        <w:rPr>
          <w:rStyle w:val="CharStyle5"/>
        </w:rPr>
        <w:t>2024007167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" w:name="bookmark4"/>
      <w:r>
        <w:rPr>
          <w:rStyle w:val="CharStyle19"/>
          <w:b/>
          <w:bCs/>
          <w:u w:val="single"/>
        </w:rPr>
        <w:t>RÁMCOVÁ KUPNÍ SMLOUVA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40" w:right="0" w:hanging="1920"/>
        <w:jc w:val="left"/>
      </w:pPr>
      <w:r>
        <w:rPr>
          <w:rStyle w:val="CharStyle3"/>
        </w:rPr>
        <w:t>uzavřená v souladu s ustanovením § 2079 a násl. zákona č. 89/2012 Sb., občanský zákoník, mezí níže uvedenými smluvními stranami</w:t>
      </w:r>
    </w:p>
    <w:tbl>
      <w:tblPr>
        <w:tblOverlap w:val="never"/>
        <w:jc w:val="left"/>
        <w:tblLayout w:type="fixed"/>
      </w:tblPr>
      <w:tblGrid>
        <w:gridCol w:w="2664"/>
        <w:gridCol w:w="6192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Zdravotnická záchranná služba Jihomoravského kraje, příspěvková organizace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Sídlo: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Kamenice 798/1 d, 625 00 Brno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MUDr. Hana Albrechtová, ředitelka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Kontaktní osoba: 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spacing w:val="3"/>
                <w:shd w:val="clear" w:color="auto" w:fill="000000"/>
              </w:rPr>
              <w:t>...</w:t>
            </w:r>
            <w:r>
              <w:rPr>
                <w:rStyle w:val="CharStyle26"/>
                <w:spacing w:val="4"/>
                <w:shd w:val="clear" w:color="auto" w:fill="000000"/>
              </w:rPr>
              <w:t>........</w:t>
            </w:r>
            <w:r>
              <w:rPr>
                <w:rStyle w:val="CharStyle26"/>
                <w:shd w:val="clear" w:color="auto" w:fill="000000"/>
              </w:rPr>
              <w:t>​</w:t>
            </w:r>
            <w:r>
              <w:rPr>
                <w:rStyle w:val="CharStyle26"/>
                <w:spacing w:val="1"/>
                <w:shd w:val="clear" w:color="auto" w:fill="000000"/>
              </w:rPr>
              <w:t>.........</w:t>
            </w:r>
            <w:r>
              <w:rPr>
                <w:rStyle w:val="CharStyle26"/>
                <w:spacing w:val="2"/>
                <w:shd w:val="clear" w:color="auto" w:fill="000000"/>
              </w:rPr>
              <w:t>.....</w:t>
            </w:r>
            <w:r>
              <w:rPr>
                <w:rStyle w:val="CharStyle26"/>
                <w:u w:val="single"/>
                <w:shd w:val="clear" w:color="auto" w:fill="000000"/>
                <w:lang w:val="en-US" w:eastAsia="en-US" w:bidi="en-US"/>
              </w:rPr>
              <w:t>​...........................</w:t>
            </w:r>
            <w:r>
              <w:rPr>
                <w:rStyle w:val="CharStyle26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26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6"/>
                <w:shd w:val="clear" w:color="auto" w:fill="000000"/>
              </w:rPr>
              <w:t>​</w:t>
            </w:r>
            <w:r>
              <w:rPr>
                <w:rStyle w:val="CharStyle26"/>
                <w:spacing w:val="7"/>
                <w:shd w:val="clear" w:color="auto" w:fill="000000"/>
              </w:rPr>
              <w:t>......</w:t>
            </w:r>
            <w:r>
              <w:rPr>
                <w:rStyle w:val="CharStyle26"/>
                <w:shd w:val="clear" w:color="auto" w:fill="000000"/>
              </w:rPr>
              <w:t>​....</w:t>
            </w:r>
            <w:r>
              <w:rPr>
                <w:rStyle w:val="CharStyle26"/>
                <w:spacing w:val="1"/>
                <w:shd w:val="clear" w:color="auto" w:fill="000000"/>
              </w:rPr>
              <w:t>.....</w:t>
            </w:r>
            <w:r>
              <w:rPr>
                <w:rStyle w:val="CharStyle26"/>
                <w:shd w:val="clear" w:color="auto" w:fill="000000"/>
              </w:rPr>
              <w:t>​.......​</w:t>
            </w:r>
            <w:r>
              <w:rPr>
                <w:rStyle w:val="CharStyle26"/>
                <w:spacing w:val="6"/>
                <w:shd w:val="clear" w:color="auto" w:fill="000000"/>
              </w:rPr>
              <w:t>...</w:t>
            </w:r>
            <w:r>
              <w:rPr>
                <w:rStyle w:val="CharStyle26"/>
                <w:spacing w:val="7"/>
                <w:shd w:val="clear" w:color="auto" w:fill="000000"/>
              </w:rPr>
              <w:t>...</w:t>
            </w:r>
            <w:r>
              <w:rPr>
                <w:rStyle w:val="CharStyle26"/>
                <w:shd w:val="clear" w:color="auto" w:fill="000000"/>
              </w:rPr>
              <w:t>​......</w:t>
            </w:r>
            <w:r>
              <w:rPr>
                <w:rStyle w:val="CharStyle26"/>
              </w:rPr>
              <w:t xml:space="preserve"> 00346292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Krajský soud v Brně sp. zn. Pr 1245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MONETA Money Bank, a.s., č. ú. 117203514/0600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9"/>
          <w:szCs w:val="19"/>
        </w:rPr>
      </w:pPr>
      <w:r>
        <w:rPr>
          <w:rStyle w:val="CharStyle22"/>
          <w:sz w:val="19"/>
          <w:szCs w:val="19"/>
        </w:rPr>
        <w:t xml:space="preserve">(dále jen </w:t>
      </w:r>
      <w:r>
        <w:rPr>
          <w:rStyle w:val="CharStyle22"/>
          <w:i/>
          <w:iCs/>
          <w:sz w:val="19"/>
          <w:szCs w:val="19"/>
        </w:rPr>
        <w:t>„kupující“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64"/>
        <w:gridCol w:w="6187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Zarys International Group s.r.o.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Starobělská 4/1937, 700 30 Ostrava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Wojciech Boryczko, prokura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spacing w:val="2"/>
                <w:shd w:val="clear" w:color="auto" w:fill="000000"/>
              </w:rPr>
              <w:t>.......</w:t>
            </w:r>
            <w:r>
              <w:rPr>
                <w:rStyle w:val="CharStyle26"/>
                <w:spacing w:val="3"/>
                <w:shd w:val="clear" w:color="auto" w:fill="000000"/>
              </w:rPr>
              <w:t>.....</w:t>
            </w:r>
            <w:r>
              <w:rPr>
                <w:rStyle w:val="CharStyle26"/>
                <w:shd w:val="clear" w:color="auto" w:fill="000000"/>
              </w:rPr>
              <w:t>​</w:t>
            </w:r>
            <w:r>
              <w:rPr>
                <w:rStyle w:val="CharStyle26"/>
                <w:spacing w:val="2"/>
                <w:shd w:val="clear" w:color="auto" w:fill="000000"/>
              </w:rPr>
              <w:t>.............</w:t>
            </w:r>
            <w:r>
              <w:rPr>
                <w:rStyle w:val="CharStyle26"/>
                <w:spacing w:val="3"/>
                <w:shd w:val="clear" w:color="auto" w:fill="000000"/>
              </w:rPr>
              <w:t>.....</w:t>
            </w:r>
            <w:r>
              <w:rPr>
                <w:rStyle w:val="CharStyle26"/>
                <w:shd w:val="clear" w:color="auto" w:fill="000000"/>
              </w:rPr>
              <w:t>​.........​</w:t>
            </w:r>
            <w:r>
              <w:rPr>
                <w:rStyle w:val="CharStyle26"/>
                <w:spacing w:val="2"/>
                <w:shd w:val="clear" w:color="auto" w:fill="000000"/>
              </w:rPr>
              <w:t>..........</w:t>
            </w:r>
            <w:r>
              <w:rPr>
                <w:rStyle w:val="CharStyle26"/>
                <w:shd w:val="clear" w:color="auto" w:fill="000000"/>
              </w:rPr>
              <w:t>​.............</w:t>
            </w:r>
            <w:r>
              <w:rPr>
                <w:rStyle w:val="CharStyle26"/>
                <w:spacing w:val="1"/>
                <w:shd w:val="clear" w:color="auto" w:fill="000000"/>
              </w:rPr>
              <w:t>........</w:t>
            </w:r>
            <w:r>
              <w:rPr>
                <w:rStyle w:val="CharStyle26"/>
                <w:shd w:val="clear" w:color="auto" w:fill="000000"/>
              </w:rPr>
              <w:t>​.....</w:t>
            </w:r>
            <w:r>
              <w:rPr>
                <w:rStyle w:val="CharStyle26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09637737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CZ09637737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u KS v Ostravě, oddíl C, vložka 83680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ČSOB, a.s., č.ú. 295540732/0300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9"/>
          <w:szCs w:val="19"/>
        </w:rPr>
      </w:pPr>
      <w:r>
        <w:rPr>
          <w:rStyle w:val="CharStyle22"/>
          <w:sz w:val="19"/>
          <w:szCs w:val="19"/>
        </w:rPr>
        <w:t xml:space="preserve">(dále jen </w:t>
      </w:r>
      <w:r>
        <w:rPr>
          <w:rStyle w:val="CharStyle22"/>
          <w:i/>
          <w:iCs/>
          <w:sz w:val="19"/>
          <w:szCs w:val="19"/>
        </w:rPr>
        <w:t>„prodávající"</w:t>
      </w:r>
    </w:p>
    <w:p>
      <w:pPr>
        <w:widowControl w:val="0"/>
        <w:spacing w:after="131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3"/>
        </w:rPr>
        <w:t>Prodávající je oprávněn na základě svého vlastnického práva nakládat se zbožím v podobě jednorázových nitrilových vyšetřovacích rukavic, jejichž specifikace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20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něho vlastnické právo k tomuto zboží, a to ve specifikaci a rozsahu dle jednotlivých dílčích kupních smluv. Jednotlivá dílčí kupní smlouva se přitom považuje za uzavřenou doručením jednotlivé písemné výzvy (objednávky) kupujícího,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20" w:line="286" w:lineRule="auto"/>
        <w:ind w:left="400" w:right="0" w:hanging="400"/>
        <w:jc w:val="both"/>
      </w:pPr>
      <w:r>
        <w:rPr>
          <w:rStyle w:val="CharStyle3"/>
        </w:rPr>
        <w:t>Součástí dodávky zboží podle čl. 2 této smlouvy je vždy předání veškerých písemných dokladů, které jsou potřebné k používání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3"/>
        </w:rPr>
        <w:t>Prodávající se zavazuje plnit svůj závazek k dodání zboží podle čl. 1 této smlouvy vždy nejpozději do 5-ti pracovních dní ode dne účinnosti příslušné dílčí kupní smlouvy. Tento závazek se bude považovat za splněný po předání a převzetí příslušného zboží formou písemného předávacího protokolu, podepsaného oběma smluvními stranami. Místem plnění závazku prodávajícího k dodání příslušného zboží je centrální sklad v sídle zadavatele v Brně, Kamenice 798/1 d.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380" w:right="0" w:hanging="38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Kupující se zavazuje zaplatit prodávajícímu za předmět koupě a prodeje podle čl. 1 této smlouvy kupní cenu ve výši součinu počtu dodaných kusů zboží podle čl. 1 této smlouvy a jednotkových cen tohoto zboží dle přílohy č. 2 této smlouvy. Součástí těchto cen jsou veškeré náklady prodávajícího na splnění jeho závazku k dodání zboží podle této smlouvy. Výše uvedené ceny se prodávající zavazuje garantovat po dobu podle čl. 19 této smlouvy. Změna ceny je možná v souvislosti se změnou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rovněž elektronicky na e-mail: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2"/>
          <w:u w:val="single"/>
          <w:shd w:val="clear" w:color="auto" w:fill="000000"/>
        </w:rPr>
        <w:t>...</w:t>
      </w:r>
      <w:r>
        <w:rPr>
          <w:rStyle w:val="CharStyle3"/>
          <w:spacing w:val="3"/>
          <w:u w:val="single"/>
          <w:shd w:val="clear" w:color="auto" w:fill="000000"/>
        </w:rPr>
        <w:t>............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4"/>
          <w:u w:val="single"/>
          <w:shd w:val="clear" w:color="auto" w:fill="000000"/>
        </w:rPr>
        <w:t>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3"/>
          <w:color w:val="7492C8"/>
          <w:lang w:val="en-US" w:eastAsia="en-US" w:bidi="en-US"/>
        </w:rPr>
        <w:t xml:space="preserve">. </w:t>
      </w:r>
      <w:r>
        <w:rPr>
          <w:rStyle w:val="CharStyle3"/>
        </w:rPr>
        <w:t>Na daňovém dokladu/faktuře musí být mimo jiné vždy uvedeno toto číslo veřejné zakázky, ke které se faktura vztahuje: P24V00002335. Součástí faktury bude rovněž kopie podepsaného předávacího protokolu dle čl. 4 této smlouvy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S převodem zboží je podle čl. 1 této smlouvy spojena záruka za jeho jakost v trvání minimálně 12 měsíců ode dne předání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5 pracovních dnů od doručení příslušné písemné nebo e-mailové reklamace kupujícího.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2 týdny nebo pro případ výskytu neodstranitelné vady, resp. výskytu 3 a více vad na jednom kusu zboží, a to i postupně, je kupující oprávněn odstoupit od příslušné dílčí kupní smlouvy podle čl. 2 této smlouvy i od této smlouvy s účinky ex tunc.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 w:line="290" w:lineRule="auto"/>
        <w:ind w:left="980" w:right="0" w:hanging="380"/>
        <w:jc w:val="both"/>
      </w:pPr>
      <w:r>
        <w:rPr>
          <w:rStyle w:val="CharStyle3"/>
        </w:rPr>
        <w:t>Pro případ prodlení kupujícího se zaplacením kupní ceny nebo její části ve Ihútě podle čl. 8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Tato smlouva se uzavírá na základě návrhu na její uzavření ze strany prodávajícího. Předpokladem uzavření této smlouvy je její písemná forma a dohoda o celém jejím obsahu, jak je obsažen v jejích článcích 1 až 20.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Tuto smlouvu lze změnit nebo zrušit pouze jinou písemnou dohodou obou smluvních stran. Kupující je oprávněn vypovědět smluvní vztah s 3měsíční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Tato smlouva nabývá účinnosti po jejím podpisu oběma smluvními stranami dnem jejího uveřejnění v Registru smluv, nejdříve však 1.10. 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3" w:val="left"/>
        </w:tabs>
        <w:bidi w:val="0"/>
        <w:spacing w:before="0"/>
        <w:ind w:left="0" w:right="0" w:firstLine="580"/>
        <w:jc w:val="left"/>
      </w:pPr>
      <w:r>
        <w:rPr>
          <w:rStyle w:val="CharStyle3"/>
        </w:rPr>
        <w:t>Tato smlouva se uzavírá na dobu určitou, a to do 31. 12. 2025.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3" w:val="left"/>
        </w:tabs>
        <w:bidi w:val="0"/>
        <w:spacing w:before="0"/>
        <w:ind w:left="980" w:right="0" w:hanging="38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55600" distB="8890" distL="0" distR="0" simplePos="0" relativeHeight="125829378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355600</wp:posOffset>
                </wp:positionV>
                <wp:extent cx="2395855" cy="14846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148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830" w:val="left"/>
                              </w:tabs>
                              <w:bidi w:val="0"/>
                              <w:spacing w:before="0" w:after="200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^/|| IDr Hana </w:t>
                            </w:r>
                            <w:r>
                              <w:rPr>
                                <w:rStyle w:val="CharStyle5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IVIL7I . I lana </w:t>
                            </w:r>
                            <w:r>
                              <w:rPr>
                                <w:rStyle w:val="CharStyle5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AlhrprhtnvÁ </w:t>
                            </w:r>
                            <w:r>
                              <w:rPr>
                                <w:rStyle w:val="CharStyle5"/>
                              </w:rPr>
                              <w:t>D</w:t>
                            </w:r>
                            <w:r>
                              <w:rPr>
                                <w:rStyle w:val="CharStyle5"/>
                                <w:vertAlign w:val="superscript"/>
                              </w:rPr>
                              <w:t>at:um</w:t>
                            </w:r>
                            <w:r>
                              <w:rPr>
                                <w:rStyle w:val="CharStyle5"/>
                              </w:rPr>
                              <w:t>-</w:t>
                            </w:r>
                            <w:r>
                              <w:rPr>
                                <w:rStyle w:val="CharStyle5"/>
                                <w:vertAlign w:val="superscript"/>
                              </w:rPr>
                              <w:t>20240905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z w:val="19"/>
                                <w:szCs w:val="19"/>
                              </w:rPr>
                              <w:t xml:space="preserve">MlUlcLlIlUVd </w:t>
                            </w:r>
                            <w:r>
                              <w:rPr>
                                <w:rStyle w:val="CharStyle5"/>
                              </w:rPr>
                              <w:t>09:00:06 +02'00'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40" w:right="0" w:firstLine="2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200000000000003pt;margin-top:28.pt;width:188.65000000000001pt;height:116.90000000000001pt;z-index:-125829375;mso-wrap-distance-left:0;mso-wrap-distance-top:28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830" w:val="left"/>
                        </w:tabs>
                        <w:bidi w:val="0"/>
                        <w:spacing w:before="0" w:after="200"/>
                        <w:ind w:left="0" w:right="0" w:firstLine="14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sz w:val="26"/>
                          <w:szCs w:val="26"/>
                        </w:rPr>
                        <w:t xml:space="preserve">^/|| IDr Hana </w:t>
                      </w:r>
                      <w:r>
                        <w:rPr>
                          <w:rStyle w:val="CharStyle5"/>
                        </w:rPr>
                        <w:t>Digitálně podepsal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sz w:val="26"/>
                          <w:szCs w:val="26"/>
                        </w:rPr>
                        <w:t xml:space="preserve">IVIL7I . I lana </w:t>
                      </w:r>
                      <w:r>
                        <w:rPr>
                          <w:rStyle w:val="CharStyle5"/>
                        </w:rPr>
                        <w:t>MUDr. Hana Albrechtová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sz w:val="26"/>
                          <w:szCs w:val="26"/>
                        </w:rPr>
                        <w:t xml:space="preserve">AlhrprhtnvÁ </w:t>
                      </w:r>
                      <w:r>
                        <w:rPr>
                          <w:rStyle w:val="CharStyle5"/>
                        </w:rPr>
                        <w:t>D</w:t>
                      </w:r>
                      <w:r>
                        <w:rPr>
                          <w:rStyle w:val="CharStyle5"/>
                          <w:vertAlign w:val="superscript"/>
                        </w:rPr>
                        <w:t>at:um</w:t>
                      </w:r>
                      <w:r>
                        <w:rPr>
                          <w:rStyle w:val="CharStyle5"/>
                        </w:rPr>
                        <w:t>-</w:t>
                      </w:r>
                      <w:r>
                        <w:rPr>
                          <w:rStyle w:val="CharStyle5"/>
                          <w:vertAlign w:val="superscript"/>
                        </w:rPr>
                        <w:t>20240905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z w:val="19"/>
                          <w:szCs w:val="19"/>
                        </w:rPr>
                        <w:t xml:space="preserve">MlUlcLlIlUVd </w:t>
                      </w:r>
                      <w:r>
                        <w:rPr>
                          <w:rStyle w:val="CharStyle5"/>
                        </w:rPr>
                        <w:t>09:00:06 +02'00'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40" w:right="0" w:firstLine="2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140"/>
                        <w:jc w:val="left"/>
                      </w:pPr>
                      <w:r>
                        <w:rPr>
                          <w:rStyle w:val="CharStyle3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1950" distB="0" distL="0" distR="0" simplePos="0" relativeHeight="125829380" behindDoc="0" locked="0" layoutInCell="1" allowOverlap="1">
                <wp:simplePos x="0" y="0"/>
                <wp:positionH relativeFrom="page">
                  <wp:posOffset>4161155</wp:posOffset>
                </wp:positionH>
                <wp:positionV relativeFrom="paragraph">
                  <wp:posOffset>361950</wp:posOffset>
                </wp:positionV>
                <wp:extent cx="2115185" cy="14871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5185" cy="148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Ostravě dne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48" w:val="left"/>
                                <w:tab w:pos="1498" w:val="left"/>
                              </w:tabs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 . .</w:t>
                              <w:tab/>
                              <w:t>. .</w:t>
                              <w:tab/>
                              <w:t>■ Elektronicznie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780" w:right="0" w:hanging="1780"/>
                              <w:jc w:val="left"/>
                            </w:pPr>
                            <w:r>
                              <w:rPr>
                                <w:rStyle w:val="CharStyle9"/>
                                <w:sz w:val="28"/>
                                <w:szCs w:val="28"/>
                              </w:rPr>
                              <w:t xml:space="preserve">W OJ CIG C li </w:t>
                            </w:r>
                            <w:r>
                              <w:rPr>
                                <w:rStyle w:val="CharStyle9"/>
                              </w:rPr>
                              <w:t>podpisany przez Wojciech Boryczko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1766" w:val="left"/>
                              </w:tabs>
                              <w:bidi w:val="0"/>
                              <w:spacing w:before="0" w:after="0" w:line="0" w:lineRule="atLeast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2"/>
                              </w:rPr>
                              <w:t>Borvczko</w:t>
                            </w:r>
                            <w:r>
                              <w:rPr>
                                <w:rStyle w:val="CharStyle12"/>
                                <w:vertAlign w:val="superscript"/>
                              </w:rPr>
                              <w:t>Data 20240731</w:t>
                            </w:r>
                            <w:bookmarkEnd w:id="0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06" w:val="left"/>
                              </w:tabs>
                              <w:bidi w:val="0"/>
                              <w:spacing w:before="0" w:after="160" w:line="144" w:lineRule="exact"/>
                              <w:ind w:left="0" w:right="0" w:firstLine="6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/</w:t>
                              <w:tab/>
                              <w:t>11:26:54+02'00'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Wojciech Boryczko prokura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7.65000000000003pt;margin-top:28.5pt;width:166.55000000000001pt;height:117.10000000000001pt;z-index:-125829373;mso-wrap-distance-left:0;mso-wrap-distance-top:28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Ostravě dne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48" w:val="left"/>
                          <w:tab w:pos="1498" w:val="left"/>
                        </w:tabs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. . .</w:t>
                        <w:tab/>
                        <w:t>. .</w:t>
                        <w:tab/>
                        <w:t>■ Elektronicznie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780" w:right="0" w:hanging="1780"/>
                        <w:jc w:val="left"/>
                      </w:pPr>
                      <w:r>
                        <w:rPr>
                          <w:rStyle w:val="CharStyle9"/>
                          <w:sz w:val="28"/>
                          <w:szCs w:val="28"/>
                        </w:rPr>
                        <w:t xml:space="preserve">W OJ CIG C li </w:t>
                      </w:r>
                      <w:r>
                        <w:rPr>
                          <w:rStyle w:val="CharStyle9"/>
                        </w:rPr>
                        <w:t>podpisany przez Wojciech Boryczko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766" w:val="left"/>
                        </w:tabs>
                        <w:bidi w:val="0"/>
                        <w:spacing w:before="0" w:after="0" w:line="0" w:lineRule="atLeast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2"/>
                        </w:rPr>
                        <w:t>Borvczko</w:t>
                      </w:r>
                      <w:r>
                        <w:rPr>
                          <w:rStyle w:val="CharStyle12"/>
                          <w:vertAlign w:val="superscript"/>
                        </w:rPr>
                        <w:t>Data 20240731</w:t>
                      </w:r>
                      <w:bookmarkEnd w:id="0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06" w:val="left"/>
                        </w:tabs>
                        <w:bidi w:val="0"/>
                        <w:spacing w:before="0" w:after="160" w:line="144" w:lineRule="exact"/>
                        <w:ind w:left="0" w:right="0" w:firstLine="640"/>
                        <w:jc w:val="left"/>
                      </w:pPr>
                      <w:r>
                        <w:rPr>
                          <w:rStyle w:val="CharStyle9"/>
                        </w:rPr>
                        <w:t>/</w:t>
                        <w:tab/>
                        <w:t>11:26:54+02'00'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Wojciech Boryczko prokura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6" w:name="bookmark6"/>
      <w:r>
        <w:rPr>
          <w:rStyle w:val="CharStyle19"/>
          <w:b/>
          <w:bCs/>
        </w:rPr>
        <w:t>Příloha č. 1 Technická specifikace zboží</w:t>
      </w:r>
      <w:bookmarkEnd w:id="6"/>
    </w:p>
    <w:tbl>
      <w:tblPr>
        <w:tblOverlap w:val="never"/>
        <w:jc w:val="center"/>
        <w:tblLayout w:type="fixed"/>
      </w:tblPr>
      <w:tblGrid>
        <w:gridCol w:w="4118"/>
        <w:gridCol w:w="4310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Typové/výrobní označení: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rStyle w:val="CharStyle26"/>
                <w:b/>
                <w:bCs/>
                <w:i/>
                <w:iCs/>
              </w:rPr>
              <w:t>easyCARE LONG - nitrílové rukavice, prodloužené, bezpudr.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Výrobce: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80" w:right="0" w:firstLine="0"/>
              <w:jc w:val="both"/>
            </w:pPr>
            <w:r>
              <w:rPr>
                <w:rStyle w:val="CharStyle26"/>
                <w:b/>
                <w:bCs/>
                <w:i/>
                <w:iCs/>
              </w:rPr>
              <w:t>ZARYS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90"/>
        <w:gridCol w:w="5717"/>
        <w:gridCol w:w="2698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  <w:b/>
                <w:bCs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Splnění parametru, dodavatelem nabízená hodnota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Rukavice vyšetřovací, nitriíové, nesterilní, jednorázové.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Materiál - nitril, bez latexu, bez pudru.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Velikost rukavic S, M, L, XL.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Pravolevé, barva libovolná.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pravolevé, modrá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V souladu s nařízení (EU) 2017/745; třída 1 - EN 455-1.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V souladu s nařízení (EU) 2016/425; kategorie 3 - EN 420+A1, EN 374-1.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AQL&lt;1,5.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AQL 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Prodloužená délka rukavice pro ochranu zápěstí,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Nedochází ke shrnutí manžety v oblasti zápěstí.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Požadovaná síla při přetržení ž 9 N (určující pevnost materiálu),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min. 10N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Bez zápachu.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Min. skladovatelnost 12 měsíců.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5 let od data výroby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Vysoce pružné, dobrá manipulovatelnost při navlékání - nasazení celistvé rukavice, dobře viditelný palec, neslepené prsty, daná velikost zcela těsně přiléhající na ruku dle této velikosti.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>Provedení špiček prstů neomezující citlivost prstů při práci (bez nálitků, deformit, zesílení), provedení špiček umožňující spolehlivé ovládání dotykového displeje.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</w:rPr>
              <w:t xml:space="preserve">Baleno v krabicích - </w:t>
            </w:r>
            <w:r>
              <w:rPr>
                <w:rStyle w:val="CharStyle26"/>
                <w:u w:val="single"/>
              </w:rPr>
              <w:t>maximální</w:t>
            </w:r>
            <w:r>
              <w:rPr>
                <w:rStyle w:val="CharStyle26"/>
              </w:rPr>
              <w:t xml:space="preserve"> rozměr krabice (specifické uložení ve vozidlech): délka 28 cm, šířka 13 cm, výška 8 cm.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i/>
                <w:iCs/>
              </w:rPr>
              <w:t>d 28cm, š 12,5cm, hl. 7,5cm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rStyle w:val="CharStyle26"/>
              </w:rPr>
              <w:t>Na balení musí být řádně označená velikost, šarže, doba exspirace, požadované normy.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6"/>
                <w:i/>
                <w:iCs/>
              </w:rPr>
              <w:t>ano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22"/>
          <w:b/>
          <w:bCs/>
        </w:rPr>
        <w:t>Příloha č. 2 Seznam zboží a ceník</w:t>
      </w:r>
    </w:p>
    <w:tbl>
      <w:tblPr>
        <w:tblOverlap w:val="never"/>
        <w:jc w:val="center"/>
        <w:tblLayout w:type="fixed"/>
      </w:tblPr>
      <w:tblGrid>
        <w:gridCol w:w="1090"/>
        <w:gridCol w:w="2606"/>
        <w:gridCol w:w="1565"/>
        <w:gridCol w:w="1896"/>
        <w:gridCol w:w="1819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rStyle w:val="CharStyle26"/>
                <w:b/>
                <w:bCs/>
              </w:rPr>
              <w:t>Název - nitrílové rukavice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Obchodní 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Počet ks v 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Cena v Kč bez DPH za 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Cena v Kč vč. DPH za balení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vel.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sz w:val="15"/>
                <w:szCs w:val="15"/>
              </w:rPr>
              <w:t>RNBPS10001 -easyCARE LONG Nitrílové rukavice, prodloužené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26"/>
              </w:rPr>
              <w:t>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106,40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vel.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sz w:val="15"/>
                <w:szCs w:val="15"/>
              </w:rPr>
              <w:t>RNBPM10001 - easyCARE LONG Nitrílové rukavice, prodloužené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26"/>
              </w:rPr>
              <w:t>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106,40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vel. 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sz w:val="15"/>
                <w:szCs w:val="15"/>
              </w:rPr>
              <w:t>RNBPL10001 - easyCARE LONG Nitrílové rukavice, prodloužené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26"/>
              </w:rPr>
              <w:t>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106,40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vel. XL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sz w:val="15"/>
                <w:szCs w:val="15"/>
              </w:rPr>
              <w:t>RNBPXL10001 - easyCARE LONG Nitrílové rukavice, prodloužené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26"/>
              </w:rPr>
              <w:t>95,00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6"/>
              </w:rPr>
              <w:t>106,40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303" w:right="873" w:bottom="1672" w:left="117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10013315</wp:posOffset>
              </wp:positionV>
              <wp:extent cx="360299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26-24: Vyšetřovací nitrilové rukavice 2024 - 2025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0.300000000000004pt;margin-top:788.45000000000005pt;width:283.6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26-24: Vyšetřovací nitrilové rukavice 2024 - 2025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Nadpis #2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3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Titulek tabulky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Jiné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auto"/>
      <w:spacing w:line="202" w:lineRule="auto"/>
      <w:ind w:left="890" w:hanging="8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auto"/>
      <w:spacing w:line="144" w:lineRule="exac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auto"/>
      <w:spacing w:after="80"/>
      <w:ind w:right="116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auto"/>
      <w:spacing w:after="25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Titulek tabulky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