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25500" w14:textId="77777777" w:rsidR="00C615B6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7819073E" w:rsidR="00C615B6" w:rsidRPr="00B31A31" w:rsidRDefault="00B31A3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31A31">
        <w:rPr>
          <w:rFonts w:ascii="Calibri" w:hAnsi="Calibri" w:cs="Calibri"/>
          <w:b/>
          <w:bCs/>
          <w:sz w:val="24"/>
          <w:szCs w:val="24"/>
        </w:rPr>
        <w:t>Č. 241037</w:t>
      </w:r>
    </w:p>
    <w:p w14:paraId="0CE1745A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6A061936" w:rsidR="00C615B6" w:rsidRDefault="00C615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sídlem Praha 1, </w:t>
      </w:r>
      <w:r w:rsidR="007C6A10">
        <w:rPr>
          <w:rFonts w:ascii="Calibri" w:hAnsi="Calibri" w:cs="Calibri"/>
          <w:sz w:val="24"/>
          <w:szCs w:val="24"/>
        </w:rPr>
        <w:t xml:space="preserve">Nové Město, </w:t>
      </w:r>
      <w:r>
        <w:rPr>
          <w:rFonts w:ascii="Calibri" w:hAnsi="Calibri" w:cs="Calibri"/>
          <w:sz w:val="24"/>
          <w:szCs w:val="24"/>
        </w:rPr>
        <w:t>Václavské náměstí 1700/68, PSČ: 115 79</w:t>
      </w:r>
    </w:p>
    <w:p w14:paraId="68817041" w14:textId="680B8E2B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00023272, DIČ: CZ 00023272</w:t>
      </w:r>
    </w:p>
    <w:p w14:paraId="7A312DEF" w14:textId="2C760468" w:rsidR="00C615B6" w:rsidRPr="007C6A10" w:rsidRDefault="00E526E5" w:rsidP="007C6A10">
      <w:pPr>
        <w:pStyle w:val="Bezmezer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jeho jménem jedná </w:t>
      </w:r>
      <w:r w:rsidR="310F45CC" w:rsidRPr="007C6A10">
        <w:rPr>
          <w:rFonts w:ascii="Calibri" w:hAnsi="Calibri" w:cs="Calibri"/>
          <w:sz w:val="24"/>
          <w:szCs w:val="24"/>
        </w:rPr>
        <w:t>PhDr. Zuzan</w:t>
      </w:r>
      <w:r>
        <w:rPr>
          <w:rFonts w:ascii="Calibri" w:hAnsi="Calibri" w:cs="Calibri"/>
          <w:sz w:val="24"/>
          <w:szCs w:val="24"/>
        </w:rPr>
        <w:t>a</w:t>
      </w:r>
      <w:r w:rsidR="310F45CC" w:rsidRPr="007C6A10">
        <w:rPr>
          <w:rFonts w:ascii="Calibri" w:hAnsi="Calibri" w:cs="Calibri"/>
          <w:sz w:val="24"/>
          <w:szCs w:val="24"/>
        </w:rPr>
        <w:t xml:space="preserve"> Strnadov</w:t>
      </w:r>
      <w:r>
        <w:rPr>
          <w:rFonts w:ascii="Calibri" w:hAnsi="Calibri" w:cs="Calibri"/>
          <w:sz w:val="24"/>
          <w:szCs w:val="24"/>
        </w:rPr>
        <w:t>á</w:t>
      </w:r>
      <w:r w:rsidR="310F45CC" w:rsidRPr="007C6A10">
        <w:rPr>
          <w:rFonts w:ascii="Calibri" w:hAnsi="Calibri" w:cs="Calibri"/>
          <w:sz w:val="24"/>
          <w:szCs w:val="24"/>
        </w:rPr>
        <w:t>, ředitelk</w:t>
      </w:r>
      <w:r>
        <w:rPr>
          <w:rFonts w:ascii="Calibri" w:hAnsi="Calibri" w:cs="Calibri"/>
          <w:sz w:val="24"/>
          <w:szCs w:val="24"/>
        </w:rPr>
        <w:t>a</w:t>
      </w:r>
      <w:r w:rsidR="310F45CC" w:rsidRPr="007C6A10">
        <w:rPr>
          <w:rFonts w:ascii="Calibri" w:hAnsi="Calibri" w:cs="Calibri"/>
          <w:sz w:val="24"/>
          <w:szCs w:val="24"/>
        </w:rPr>
        <w:t xml:space="preserve"> Historického muzea </w:t>
      </w:r>
    </w:p>
    <w:p w14:paraId="7ADCF57F" w14:textId="03D89FAA" w:rsidR="00C615B6" w:rsidRPr="007C6A10" w:rsidRDefault="00C615B6" w:rsidP="007C6A10">
      <w:pPr>
        <w:pStyle w:val="Bezmezer"/>
        <w:jc w:val="both"/>
        <w:rPr>
          <w:rFonts w:ascii="Calibri" w:hAnsi="Calibri" w:cs="Calibri"/>
          <w:color w:val="000000"/>
          <w:sz w:val="24"/>
          <w:szCs w:val="24"/>
        </w:rPr>
      </w:pPr>
      <w:r w:rsidRPr="007C6A10">
        <w:rPr>
          <w:rFonts w:ascii="Calibri" w:hAnsi="Calibri" w:cs="Calibri"/>
          <w:sz w:val="24"/>
          <w:szCs w:val="24"/>
        </w:rPr>
        <w:t>(dále jen „</w:t>
      </w:r>
      <w:r w:rsidRPr="007C6A10">
        <w:rPr>
          <w:rFonts w:ascii="Calibri" w:hAnsi="Calibri" w:cs="Calibri"/>
          <w:b/>
          <w:bCs/>
          <w:sz w:val="24"/>
          <w:szCs w:val="24"/>
        </w:rPr>
        <w:t>kupující</w:t>
      </w:r>
      <w:r w:rsidRPr="007C6A10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3CF7E88B" w14:textId="77216F27" w:rsidR="5A44D419" w:rsidRPr="007C6A10" w:rsidRDefault="5A44D419" w:rsidP="5E2AAD80">
      <w:pPr>
        <w:pStyle w:val="smluvnistrana-ostatniidentifikacniudaje"/>
        <w:spacing w:before="0" w:after="0" w:line="259" w:lineRule="auto"/>
        <w:ind w:left="0"/>
        <w:rPr>
          <w:b/>
          <w:bCs/>
        </w:rPr>
      </w:pPr>
      <w:r w:rsidRPr="007C6A10">
        <w:rPr>
          <w:rFonts w:ascii="Calibri" w:hAnsi="Calibri" w:cs="Calibri"/>
          <w:b/>
          <w:bCs/>
        </w:rPr>
        <w:t>ABBAS, a.s.</w:t>
      </w:r>
    </w:p>
    <w:p w14:paraId="19EF3EF7" w14:textId="77777777" w:rsidR="00E526E5" w:rsidRDefault="00E526E5" w:rsidP="00E526E5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zapsaná v obchodním rejstříku vedeném krajským </w:t>
      </w:r>
      <w:r>
        <w:rPr>
          <w:rFonts w:ascii="Calibri" w:hAnsi="Calibri" w:cs="Calibri"/>
          <w:shd w:val="clear" w:color="auto" w:fill="FFFFFF"/>
        </w:rPr>
        <w:t>soudem v Brně, oddíl B, vložka 3691</w:t>
      </w:r>
    </w:p>
    <w:p w14:paraId="70AA9DE5" w14:textId="1CDEF03C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E2AAD80">
        <w:rPr>
          <w:rFonts w:ascii="Calibri" w:hAnsi="Calibri" w:cs="Calibri"/>
        </w:rPr>
        <w:t xml:space="preserve">se sídlem </w:t>
      </w:r>
      <w:r w:rsidR="588E6C20" w:rsidRPr="5E2AAD80">
        <w:rPr>
          <w:rFonts w:ascii="Calibri" w:hAnsi="Calibri" w:cs="Calibri"/>
        </w:rPr>
        <w:t>Edisonova 5, 612 00 Brno</w:t>
      </w:r>
      <w:r w:rsidR="007C6A10">
        <w:rPr>
          <w:rFonts w:ascii="Calibri" w:hAnsi="Calibri" w:cs="Calibri"/>
        </w:rPr>
        <w:t>, Královo Pole</w:t>
      </w:r>
    </w:p>
    <w:p w14:paraId="5C784FC1" w14:textId="01FC4890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E2AAD80">
        <w:rPr>
          <w:rFonts w:ascii="Calibri" w:hAnsi="Calibri" w:cs="Calibri"/>
        </w:rPr>
        <w:t xml:space="preserve">IČ: </w:t>
      </w:r>
      <w:r w:rsidR="53CC7154" w:rsidRPr="5E2AAD80">
        <w:rPr>
          <w:rFonts w:ascii="Calibri" w:hAnsi="Calibri" w:cs="Calibri"/>
        </w:rPr>
        <w:t>63478269</w:t>
      </w:r>
      <w:r w:rsidR="0043544D">
        <w:rPr>
          <w:rFonts w:ascii="Calibri" w:hAnsi="Calibri" w:cs="Calibri"/>
        </w:rPr>
        <w:t>, DIČ: CZ63478269</w:t>
      </w:r>
    </w:p>
    <w:p w14:paraId="0A5F3A93" w14:textId="3E363467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E2AAD80">
        <w:rPr>
          <w:rFonts w:ascii="Calibri" w:hAnsi="Calibri" w:cs="Calibri"/>
        </w:rPr>
        <w:t xml:space="preserve">zastoupená </w:t>
      </w:r>
      <w:r w:rsidR="5D501C2C" w:rsidRPr="5E2AAD80">
        <w:rPr>
          <w:rFonts w:ascii="Calibri" w:hAnsi="Calibri" w:cs="Calibri"/>
        </w:rPr>
        <w:t xml:space="preserve">Petr Kellner, </w:t>
      </w:r>
      <w:r w:rsidR="0069101D">
        <w:rPr>
          <w:rFonts w:ascii="Calibri" w:hAnsi="Calibri" w:cs="Calibri"/>
        </w:rPr>
        <w:t xml:space="preserve">člen představenstva a </w:t>
      </w:r>
      <w:r w:rsidR="5D501C2C" w:rsidRPr="5E2AAD80">
        <w:rPr>
          <w:rFonts w:ascii="Calibri" w:hAnsi="Calibri" w:cs="Calibri"/>
        </w:rPr>
        <w:t>Radim Žák</w:t>
      </w:r>
      <w:r w:rsidR="0069101D">
        <w:rPr>
          <w:rFonts w:ascii="Calibri" w:hAnsi="Calibri" w:cs="Calibri"/>
        </w:rPr>
        <w:t>, předseda představenstva</w:t>
      </w:r>
    </w:p>
    <w:p w14:paraId="0256D4AD" w14:textId="244ABBE5" w:rsidR="00C615B6" w:rsidRDefault="00C615B6" w:rsidP="5E2AAD80">
      <w:pPr>
        <w:pStyle w:val="smluvnistrana-ostatniidentifikacniudaje"/>
        <w:suppressAutoHyphens/>
        <w:spacing w:before="0" w:after="0"/>
        <w:ind w:left="0"/>
      </w:pPr>
      <w:r w:rsidRPr="5E2AAD80">
        <w:rPr>
          <w:rFonts w:ascii="Calibri" w:hAnsi="Calibri" w:cs="Calibri"/>
        </w:rPr>
        <w:t>číslo účtu:</w:t>
      </w:r>
      <w:r w:rsidR="00FC5C42">
        <w:rPr>
          <w:rFonts w:ascii="Calibri" w:hAnsi="Calibri" w:cs="Calibri"/>
        </w:rPr>
        <w:t xml:space="preserve"> XXXXXXXXXXXXXX</w:t>
      </w:r>
    </w:p>
    <w:p w14:paraId="582997F6" w14:textId="43D1648B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29E990C8">
        <w:rPr>
          <w:rFonts w:ascii="Calibri" w:hAnsi="Calibri" w:cs="Calibri"/>
        </w:rPr>
        <w:t>kontaktní osoba:</w:t>
      </w:r>
      <w:r w:rsidR="195934C9" w:rsidRPr="29E990C8">
        <w:rPr>
          <w:rFonts w:ascii="Calibri" w:hAnsi="Calibri" w:cs="Calibri"/>
        </w:rPr>
        <w:t xml:space="preserve"> </w:t>
      </w:r>
      <w:r w:rsidR="00FC5C42">
        <w:rPr>
          <w:rFonts w:ascii="Calibri" w:hAnsi="Calibri" w:cs="Calibri"/>
        </w:rPr>
        <w:t>XXXXXXXXXXXXX</w:t>
      </w:r>
    </w:p>
    <w:p w14:paraId="4EB78B2A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prodávající</w:t>
      </w:r>
      <w:r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Preambule</w:t>
      </w:r>
    </w:p>
    <w:p w14:paraId="1EA0D846" w14:textId="1C63E284" w:rsidR="00C615B6" w:rsidRDefault="00C615B6" w:rsidP="5E2AAD80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29E990C8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29E990C8">
        <w:rPr>
          <w:rFonts w:ascii="Calibri" w:hAnsi="Calibri" w:cs="Calibri"/>
          <w:sz w:val="24"/>
          <w:szCs w:val="24"/>
        </w:rPr>
        <w:t xml:space="preserve">nadlimitní </w:t>
      </w:r>
      <w:r w:rsidRPr="29E990C8">
        <w:rPr>
          <w:rFonts w:ascii="Calibri" w:hAnsi="Calibri" w:cs="Calibri"/>
          <w:sz w:val="24"/>
          <w:szCs w:val="24"/>
        </w:rPr>
        <w:t>veřejné zakázky</w:t>
      </w:r>
      <w:r w:rsidR="0F6E427B" w:rsidRPr="29E990C8">
        <w:rPr>
          <w:rFonts w:ascii="Calibri" w:hAnsi="Calibri" w:cs="Calibri"/>
          <w:sz w:val="24"/>
          <w:szCs w:val="24"/>
        </w:rPr>
        <w:t xml:space="preserve"> </w:t>
      </w:r>
      <w:r w:rsidR="03A5A2EF" w:rsidRPr="29E990C8">
        <w:rPr>
          <w:rFonts w:ascii="Calibri" w:eastAsia="Calibri" w:hAnsi="Calibri" w:cs="Calibri"/>
          <w:color w:val="000000" w:themeColor="text1"/>
          <w:sz w:val="24"/>
          <w:szCs w:val="24"/>
        </w:rPr>
        <w:t>N006/24/V00022591</w:t>
      </w:r>
      <w:r w:rsidR="170CD41C" w:rsidRPr="29E990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“Nákup 3D skeneru včetně software”</w:t>
      </w:r>
      <w:r w:rsidRPr="29E990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tuto kupní smlouvu. </w:t>
      </w:r>
      <w:r w:rsidR="69C6EEE5" w:rsidRPr="29E990C8">
        <w:rPr>
          <w:rFonts w:ascii="Calibri" w:hAnsi="Calibri" w:cs="Calibri"/>
          <w:sz w:val="24"/>
          <w:szCs w:val="24"/>
        </w:rPr>
        <w:t xml:space="preserve">3D skener </w:t>
      </w:r>
      <w:r w:rsidRPr="29E990C8">
        <w:rPr>
          <w:rFonts w:ascii="Calibri" w:hAnsi="Calibri" w:cs="Calibri"/>
          <w:sz w:val="24"/>
          <w:szCs w:val="24"/>
        </w:rPr>
        <w:t>je nezbytný pro modernizaci specializovaného digitalizačního vědeckého pracoviště oddělení</w:t>
      </w:r>
      <w:r w:rsidR="58761C5F" w:rsidRPr="29E990C8">
        <w:rPr>
          <w:rFonts w:ascii="Calibri" w:hAnsi="Calibri" w:cs="Calibri"/>
          <w:sz w:val="24"/>
          <w:szCs w:val="24"/>
        </w:rPr>
        <w:t xml:space="preserve"> pravěku a antického starověku</w:t>
      </w:r>
      <w:r w:rsidRPr="29E990C8">
        <w:rPr>
          <w:rFonts w:ascii="Calibri" w:hAnsi="Calibri" w:cs="Calibri"/>
          <w:sz w:val="24"/>
          <w:szCs w:val="24"/>
        </w:rPr>
        <w:t xml:space="preserve"> Národního muzea zaměřeného na </w:t>
      </w:r>
      <w:r w:rsidR="2709556A" w:rsidRPr="29E990C8">
        <w:rPr>
          <w:rFonts w:ascii="Calibri" w:hAnsi="Calibri" w:cs="Calibri"/>
          <w:sz w:val="24"/>
          <w:szCs w:val="24"/>
        </w:rPr>
        <w:t>digitální dokumentaci archeologických artefaktů</w:t>
      </w:r>
      <w:r w:rsidRPr="29E990C8">
        <w:rPr>
          <w:rFonts w:ascii="Calibri" w:hAnsi="Calibri" w:cs="Calibri"/>
          <w:sz w:val="24"/>
          <w:szCs w:val="24"/>
        </w:rPr>
        <w:t xml:space="preserve">. </w:t>
      </w:r>
    </w:p>
    <w:p w14:paraId="1B95C4EE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0738B7B8" w14:textId="791B0788" w:rsidR="00C615B6" w:rsidRPr="00A332CC" w:rsidRDefault="00C615B6" w:rsidP="20BD511F">
      <w:pPr>
        <w:spacing w:line="276" w:lineRule="auto"/>
        <w:ind w:right="-6"/>
        <w:jc w:val="both"/>
        <w:rPr>
          <w:rFonts w:asciiTheme="minorHAnsi" w:hAnsiTheme="minorHAnsi"/>
          <w:sz w:val="24"/>
          <w:szCs w:val="24"/>
        </w:rPr>
      </w:pPr>
      <w:r w:rsidRPr="51ABEEE5">
        <w:rPr>
          <w:rFonts w:asciiTheme="minorHAnsi" w:hAnsiTheme="minorHAnsi"/>
          <w:sz w:val="24"/>
          <w:szCs w:val="24"/>
        </w:rPr>
        <w:t>Předmět smlouvy je spolufinancován v rámci Národního plánu obnovy, projektu</w:t>
      </w:r>
      <w:r w:rsidR="64AE20C4" w:rsidRPr="51ABEEE5">
        <w:rPr>
          <w:rFonts w:asciiTheme="minorHAnsi" w:hAnsiTheme="minorHAnsi"/>
          <w:sz w:val="24"/>
          <w:szCs w:val="24"/>
        </w:rPr>
        <w:t xml:space="preserve"> “</w:t>
      </w:r>
      <w:r w:rsidR="64AE20C4" w:rsidRPr="5E2AAD80">
        <w:rPr>
          <w:rFonts w:ascii="Calibri" w:eastAsia="Calibri" w:hAnsi="Calibri" w:cs="Calibri"/>
          <w:color w:val="000000" w:themeColor="text1"/>
          <w:sz w:val="24"/>
          <w:szCs w:val="24"/>
        </w:rPr>
        <w:t>Modernizace a rozšíření specializovaného digitalizačního pracoviště Oddělení pravěku a antického starověku, Historického muzea, Národního muzea za účelem zefektivnění a rozšíření digitalizace archeologické podsbírky”</w:t>
      </w:r>
      <w:r w:rsidR="35DF8567" w:rsidRPr="5E2AAD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216A1E3" w:rsidRPr="5E2AAD80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35DF8567" w:rsidRPr="5E2AAD80">
        <w:rPr>
          <w:rFonts w:ascii="Calibri" w:eastAsia="Calibri" w:hAnsi="Calibri" w:cs="Calibri"/>
          <w:color w:val="000000" w:themeColor="text1"/>
          <w:sz w:val="22"/>
          <w:szCs w:val="22"/>
        </w:rPr>
        <w:t>134V731000028</w:t>
      </w:r>
      <w:r w:rsidR="3DF79AA9" w:rsidRPr="5E2AAD80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2381AF87" w:rsidRPr="20BD511F">
        <w:rPr>
          <w:rFonts w:ascii="Calibri" w:eastAsia="Calibri" w:hAnsi="Calibri" w:cs="Calibri"/>
          <w:sz w:val="24"/>
          <w:szCs w:val="24"/>
        </w:rPr>
        <w:t>.</w:t>
      </w:r>
    </w:p>
    <w:p w14:paraId="24002624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4C3F3F8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165ACFB9" w:rsidR="00C615B6" w:rsidRDefault="00C615B6" w:rsidP="20BD511F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20BD511F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3F39A410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článku, které je předmětem koupě, a umožní mu nabýt vlastnické právo k němu, a kupující se zavazuje, že zboží převezme a zaplatí prodávajícímu sjednanou kupní cenu.</w:t>
      </w:r>
    </w:p>
    <w:p w14:paraId="760D76B7" w14:textId="61C9EFFD" w:rsidR="00C615B6" w:rsidRDefault="00C615B6" w:rsidP="5E2AAD80">
      <w:pPr>
        <w:numPr>
          <w:ilvl w:val="1"/>
          <w:numId w:val="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lastRenderedPageBreak/>
        <w:t xml:space="preserve">Předmětem této smlouvy je </w:t>
      </w:r>
      <w:r w:rsidR="6C5A67AB" w:rsidRPr="5E2AAD80">
        <w:rPr>
          <w:rFonts w:ascii="Calibri" w:hAnsi="Calibri" w:cs="Calibri"/>
          <w:sz w:val="24"/>
          <w:szCs w:val="24"/>
        </w:rPr>
        <w:t>3D skener Artec Space Spider s prodlouženou zárukou a dvěma doživotními licencemi softwaru Artec Studio Pro.</w:t>
      </w:r>
      <w:r w:rsidRPr="5E2AAD80">
        <w:rPr>
          <w:rFonts w:ascii="Calibri" w:hAnsi="Calibri" w:cs="Calibri"/>
          <w:sz w:val="24"/>
          <w:szCs w:val="24"/>
        </w:rPr>
        <w:t xml:space="preserve"> Technická specifikace je obsažena v příloze č. 1 této smlouvy (dále jako „předmět koupě“). Zboží musí být nové, nepoužité, v originálním balení výrobce. Předmětem smlouvy je také doprava a montáž.</w:t>
      </w:r>
    </w:p>
    <w:p w14:paraId="7D9047C2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Prodávající se zavazuje dodat předmět koupě včetně dokladů nutných k užívání předmětu koupě kupujícímu v dohodnutém termínu, jakosti a provedení. </w:t>
      </w:r>
    </w:p>
    <w:p w14:paraId="231DD24B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Součástí plnění podle této smlouvy je zaškolení obsluhy předmětu koupě. </w:t>
      </w:r>
    </w:p>
    <w:p w14:paraId="45F710FB" w14:textId="0F66040B" w:rsidR="00C615B6" w:rsidRDefault="00C615B6" w:rsidP="17E592A3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>Kupující se zavazuje za předmět koupě zaplatit kupní cenu ve výši a lhůtě sjednané touto smlouvou.</w:t>
      </w:r>
    </w:p>
    <w:p w14:paraId="32534B12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4EB3D1E" w14:textId="77777777" w:rsidR="001E4F27" w:rsidRDefault="001E4F2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výlučným vlastníkem předmětu koupě a je oprávněn s předmětem koupě disponovat ve smyslu této smlouvy; na předmětu koupě neváznou žádná práva třetích osob </w:t>
      </w:r>
    </w:p>
    <w:p w14:paraId="2E433A82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>
        <w:rPr>
          <w:rFonts w:ascii="Calibri" w:hAnsi="Calibri" w:cs="Calibri"/>
        </w:rPr>
        <w:t xml:space="preserve"> </w:t>
      </w:r>
    </w:p>
    <w:p w14:paraId="6428602C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6705F847" w14:textId="77777777" w:rsidR="00C615B6" w:rsidRDefault="00C615B6" w:rsidP="001C79B4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1030B5B8" w14:textId="77777777" w:rsidR="001C79B4" w:rsidRDefault="001C79B4" w:rsidP="001C79B4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79DC48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5AD66C12" w:rsidR="00C615B6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6D70697F" w:rsidRPr="5E2AAD80">
        <w:rPr>
          <w:rFonts w:ascii="Calibri" w:hAnsi="Calibri" w:cs="Calibri"/>
          <w:sz w:val="24"/>
          <w:szCs w:val="24"/>
        </w:rPr>
        <w:t>712 200</w:t>
      </w:r>
      <w:r w:rsidRPr="5E2AAD80">
        <w:rPr>
          <w:rFonts w:ascii="Calibri" w:hAnsi="Calibri" w:cs="Calibri"/>
          <w:sz w:val="24"/>
          <w:szCs w:val="24"/>
        </w:rPr>
        <w:t xml:space="preserve"> Kč (slovy: </w:t>
      </w:r>
      <w:r w:rsidR="7884DBA5" w:rsidRPr="5E2AAD80">
        <w:rPr>
          <w:rFonts w:ascii="Calibri" w:hAnsi="Calibri" w:cs="Calibri"/>
          <w:sz w:val="24"/>
          <w:szCs w:val="24"/>
        </w:rPr>
        <w:t>sedmsetdvanácttisícdvěstě</w:t>
      </w:r>
      <w:r w:rsidRPr="5E2AAD80">
        <w:rPr>
          <w:rFonts w:ascii="Calibri" w:hAnsi="Calibri" w:cs="Calibri"/>
          <w:sz w:val="24"/>
          <w:szCs w:val="24"/>
        </w:rPr>
        <w:t xml:space="preserve"> korun českých) bez DPH s tím, že DPH bude účtována podle předpisů platných v době fakturace. Cena jednotlivého zboží tvořícího předmět koupě je uvedena v příloze č. 2 – položkový rozpočet.</w:t>
      </w:r>
    </w:p>
    <w:p w14:paraId="578D933E" w14:textId="28757A99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Faktura vystavená prodávajícím bude vystavena se </w:t>
      </w:r>
      <w:r w:rsidR="00D01EF1">
        <w:rPr>
          <w:rFonts w:ascii="Calibri" w:hAnsi="Calibri" w:cs="Calibri"/>
          <w:sz w:val="24"/>
          <w:szCs w:val="24"/>
        </w:rPr>
        <w:t>splatností 20</w:t>
      </w:r>
      <w:r>
        <w:rPr>
          <w:rFonts w:ascii="Calibri" w:hAnsi="Calibri" w:cs="Calibri"/>
          <w:sz w:val="24"/>
          <w:szCs w:val="24"/>
        </w:rPr>
        <w:t xml:space="preserve"> dnů ode dne vystavení faktury a musí být doručena do pěti (5) dnů od vystavení kupujícímu. 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6D569B9F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bude obsahovat náležitosti daňového dokladu podle zákona o DPH a náležitosti dle § 435 občanského zákoníku. Přílohou faktury bude předávací protokol o předání a převzetí předmětu koupě bez vad a nedodělků.</w:t>
      </w:r>
    </w:p>
    <w:p w14:paraId="2E9D0465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případě, že faktura nebude obsahovat náležitosti uvedené v této smlouvě nebo bude uvedeno bankovní spojení a číslo účtu prodávajícího v rozporu s touto smlouvou nebo v rozporu s 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58BE643E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IV.</w:t>
      </w:r>
    </w:p>
    <w:p w14:paraId="5D044D0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37E6D150" w:rsidR="00C615B6" w:rsidRPr="00433F19" w:rsidRDefault="00025B78" w:rsidP="00433F1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C615B6" w:rsidRPr="00433F19">
        <w:rPr>
          <w:rFonts w:ascii="Calibri" w:hAnsi="Calibri" w:cs="Calibri"/>
          <w:sz w:val="24"/>
          <w:szCs w:val="24"/>
        </w:rPr>
        <w:t xml:space="preserve">Smluvní strany se dohodly, že místem dodání zboží dle této smlouvy je </w:t>
      </w:r>
      <w:r w:rsidR="002E01D9">
        <w:rPr>
          <w:rFonts w:ascii="Calibri" w:hAnsi="Calibri" w:cs="Calibri"/>
          <w:sz w:val="24"/>
          <w:szCs w:val="24"/>
        </w:rPr>
        <w:t>XXXXXXXXXXXXXXXXXXXXXXXXXXXX</w:t>
      </w:r>
      <w:r w:rsidR="74E64D13" w:rsidRPr="00433F19">
        <w:rPr>
          <w:rFonts w:ascii="Calibri" w:hAnsi="Calibri" w:cs="Calibri"/>
          <w:sz w:val="24"/>
          <w:szCs w:val="24"/>
        </w:rPr>
        <w:t xml:space="preserve"> </w:t>
      </w:r>
      <w:r w:rsidR="00C615B6" w:rsidRPr="00433F19">
        <w:rPr>
          <w:rFonts w:ascii="Calibri" w:hAnsi="Calibri" w:cs="Calibri"/>
          <w:sz w:val="24"/>
          <w:szCs w:val="24"/>
        </w:rPr>
        <w:t>(dále jen „místo dodání“).</w:t>
      </w:r>
    </w:p>
    <w:p w14:paraId="033B2642" w14:textId="6328F79E" w:rsidR="00C615B6" w:rsidRPr="00433F19" w:rsidRDefault="00025B78" w:rsidP="00433F1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C615B6" w:rsidRPr="00433F19">
        <w:rPr>
          <w:rFonts w:ascii="Calibri" w:hAnsi="Calibri" w:cs="Calibri"/>
          <w:sz w:val="24"/>
          <w:szCs w:val="24"/>
        </w:rPr>
        <w:t xml:space="preserve">V ceně předmětu koupě je zahrnuto jeho zprovoznění a zaškolení obsluhy.   </w:t>
      </w:r>
    </w:p>
    <w:p w14:paraId="0F376C33" w14:textId="401909BF" w:rsidR="00C615B6" w:rsidRPr="00433F19" w:rsidRDefault="00025B78" w:rsidP="00433F19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C615B6" w:rsidRPr="00433F19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předávací protokol, případně dodací list, který podepíší odpovědní zástupci prodávajícího i kupujícího, případně prodávajícím k tomu pověřený dopravce. </w:t>
      </w:r>
    </w:p>
    <w:p w14:paraId="5C3E992D" w14:textId="65ED4247" w:rsidR="00C615B6" w:rsidRDefault="00C615B6" w:rsidP="003C64BD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 předávacím protokolu odstranit bez zbytečného odkladu. </w:t>
      </w:r>
    </w:p>
    <w:p w14:paraId="68872A1D" w14:textId="77777777" w:rsidR="00C615B6" w:rsidRDefault="00C615B6" w:rsidP="003C64BD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Okamžikem předání a převzetí předmětu koupě kupujícím bez vad a nedodělků přechází na kupujícího nebezpečí škody na předmětu koupě.</w:t>
      </w:r>
    </w:p>
    <w:p w14:paraId="2467816A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14:paraId="081C04C3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Termín plnění</w:t>
      </w:r>
    </w:p>
    <w:p w14:paraId="35EF536E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15.12.2024. </w:t>
      </w:r>
    </w:p>
    <w:p w14:paraId="39606B58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věci.</w:t>
      </w:r>
    </w:p>
    <w:p w14:paraId="52992597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5D1FD219" w:rsidR="00C615B6" w:rsidRDefault="2A8B49C1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3CF86B4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C615B6" w:rsidRPr="03CF86B4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77777777" w:rsidR="00C615B6" w:rsidRDefault="00C615B6" w:rsidP="003C64BD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7949E6DA" w14:textId="46EF7B6F" w:rsidR="00C615B6" w:rsidRDefault="00C615B6" w:rsidP="003C64B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Prodávající poskytuje záruku za jakost předmětu koupě v délce min. 36 měsíců od okamžiku dodání předmětu koupě. </w:t>
      </w:r>
    </w:p>
    <w:p w14:paraId="232A440A" w14:textId="77777777" w:rsidR="00C615B6" w:rsidRDefault="00C615B6" w:rsidP="003C64B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3CF86B4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3CF86B4">
        <w:rPr>
          <w:rFonts w:ascii="Calibri" w:hAnsi="Calibri" w:cs="Calibri"/>
        </w:rPr>
        <w:t>.</w:t>
      </w:r>
    </w:p>
    <w:p w14:paraId="5C84F146" w14:textId="77777777" w:rsidR="00C615B6" w:rsidRDefault="00C615B6" w:rsidP="003C64B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77777777" w:rsidR="00C615B6" w:rsidRDefault="00C615B6" w:rsidP="003C64B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Kupující je povinen oznámit prodávajícímu výskyt vady předmětu koupě vždy bez zbytečného dokladu poté, co se o ní dozvěděl.</w:t>
      </w:r>
    </w:p>
    <w:p w14:paraId="0647F486" w14:textId="6EDBABE7" w:rsidR="00C615B6" w:rsidRDefault="00C615B6" w:rsidP="003C64B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Default="00C615B6" w:rsidP="003C64BD">
      <w:pPr>
        <w:pStyle w:val="Odstavecseseznamem"/>
        <w:numPr>
          <w:ilvl w:val="1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6AE6E7E0" w14:textId="77777777" w:rsidR="00C615B6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286E585D" w14:textId="707139D3" w:rsidR="17E592A3" w:rsidRDefault="17E592A3" w:rsidP="17E592A3">
      <w:pPr>
        <w:pStyle w:val="uroven1-nadpisclankuI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375A7BA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VIII.</w:t>
      </w:r>
    </w:p>
    <w:p w14:paraId="25478D11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Smluvní pokuty</w:t>
      </w:r>
    </w:p>
    <w:p w14:paraId="44FB8A42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z kupní ceny bez DPH za každý, byť jen započatý, den prodlení.</w:t>
      </w:r>
    </w:p>
    <w:p w14:paraId="00F3F1F4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150AE23D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</w:p>
    <w:p w14:paraId="313A730D" w14:textId="77777777" w:rsidR="00C775D1" w:rsidRDefault="00C775D1" w:rsidP="00C775D1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2A8FC86" w14:textId="77777777" w:rsidR="00C775D1" w:rsidRPr="00C775D1" w:rsidRDefault="00C775D1" w:rsidP="00C775D1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2E5A9EC4" w14:textId="42304DF5" w:rsidR="00C615B6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77777777" w:rsidR="00C615B6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porušení povinnosti prodávajícím dodat předmět koupě ve lhůtě sjednané v této smlouvě.</w:t>
      </w:r>
    </w:p>
    <w:p w14:paraId="6A9906D3" w14:textId="77777777" w:rsidR="00C615B6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má právo odstoupit od této smlouvy v případě, že kupující nezaplatí ve sjednané lhůtě kupní cenu a toto porušení své povinnosti nenapraví ani do deseti (10) dnů ode dne doručení písemné výzvy prodávajícího kupujícímu k nápravě.</w:t>
      </w:r>
    </w:p>
    <w:p w14:paraId="3D7DB4FC" w14:textId="671D8F84" w:rsidR="00C615B6" w:rsidRDefault="00C615B6" w:rsidP="2E06B282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02EA8390" w14:textId="671D8F84" w:rsidR="2E06B282" w:rsidRDefault="2E06B282" w:rsidP="2E06B282">
      <w:pPr>
        <w:jc w:val="both"/>
        <w:rPr>
          <w:rFonts w:ascii="Calibri" w:hAnsi="Calibri" w:cs="Calibri"/>
          <w:sz w:val="24"/>
          <w:szCs w:val="24"/>
        </w:rPr>
      </w:pPr>
    </w:p>
    <w:p w14:paraId="14208533" w14:textId="77777777" w:rsidR="000E6EC3" w:rsidRPr="000E6EC3" w:rsidRDefault="000E6EC3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lastRenderedPageBreak/>
        <w:t>X.</w:t>
      </w:r>
    </w:p>
    <w:p w14:paraId="5F0D1F89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65361813" w:rsidR="00C615B6" w:rsidRDefault="000E6EC3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C615B6">
        <w:rPr>
          <w:rFonts w:ascii="Calibri" w:hAnsi="Calibri" w:cs="Calibri"/>
          <w:sz w:val="24"/>
          <w:szCs w:val="24"/>
        </w:rPr>
        <w:t>ato smlouva nabývá platnosti dnem jejího podpisu poslední ze smluvních stran, účinnosti nabude dnem jejího uveřejnění v registru smluv.</w:t>
      </w:r>
    </w:p>
    <w:p w14:paraId="5EC3705B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72218429" w14:textId="77777777" w:rsidR="00C615B6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2 – Položkový rozpočet</w:t>
      </w:r>
    </w:p>
    <w:p w14:paraId="0AD81DAC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4"/>
          <w:szCs w:val="24"/>
        </w:rPr>
      </w:pPr>
    </w:p>
    <w:p w14:paraId="6175F1D5" w14:textId="671D8F84" w:rsidR="00C615B6" w:rsidRDefault="00C615B6" w:rsidP="2E06B282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 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 ……………… dne ..............................</w:t>
      </w:r>
    </w:p>
    <w:p w14:paraId="42357E71" w14:textId="674D3975" w:rsidR="00C615B6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0A9AEAB" w14:textId="13E0D905" w:rsidR="03CF86B4" w:rsidRDefault="03CF86B4" w:rsidP="03CF86B4">
      <w:pPr>
        <w:rPr>
          <w:rFonts w:ascii="Calibri" w:hAnsi="Calibri" w:cs="Calibri"/>
          <w:sz w:val="24"/>
          <w:szCs w:val="24"/>
        </w:rPr>
      </w:pPr>
    </w:p>
    <w:p w14:paraId="5DA527C4" w14:textId="671D8F84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Kupující: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E06B282">
        <w:rPr>
          <w:rFonts w:ascii="Calibri" w:hAnsi="Calibri" w:cs="Calibri"/>
          <w:sz w:val="24"/>
          <w:szCs w:val="24"/>
        </w:rPr>
        <w:t>Prodávající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A9D0B1E" w14:textId="77777777" w:rsidR="008D57A2" w:rsidRDefault="008D57A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ED600A0" w14:textId="77777777" w:rsidR="008D57A2" w:rsidRDefault="008D57A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.................................................</w:t>
      </w:r>
      <w:r>
        <w:tab/>
      </w:r>
      <w:r>
        <w:tab/>
      </w:r>
      <w:r>
        <w:tab/>
      </w:r>
      <w:r w:rsidRPr="2E06B282">
        <w:rPr>
          <w:rFonts w:ascii="Calibri" w:hAnsi="Calibri" w:cs="Calibri"/>
          <w:sz w:val="24"/>
          <w:szCs w:val="24"/>
        </w:rPr>
        <w:t>............................................</w:t>
      </w:r>
    </w:p>
    <w:p w14:paraId="477FABEE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670EDCE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560C986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D49CCF0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8F57BE0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CC0D6F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C641FEE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38DE0A3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C412F4C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7043530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5169E73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67A3ECA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EA901ED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3805E2C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7BA134A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9E63C12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CD7B541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E480579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015EFF4" w14:textId="77777777" w:rsidR="009E03D3" w:rsidRDefault="009E03D3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FC9FA1D" w14:textId="77777777" w:rsidR="00605C3D" w:rsidRPr="00605C3D" w:rsidRDefault="00605C3D" w:rsidP="00605C3D">
      <w:pPr>
        <w:rPr>
          <w:rFonts w:asciiTheme="minorHAnsi" w:hAnsiTheme="minorHAnsi" w:cstheme="minorHAnsi"/>
          <w:sz w:val="24"/>
          <w:szCs w:val="24"/>
        </w:rPr>
      </w:pPr>
      <w:r w:rsidRPr="00605C3D"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252D18B2" w14:textId="77777777" w:rsidR="00605C3D" w:rsidRDefault="00605C3D" w:rsidP="00605C3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0AED5F7" w14:textId="77777777" w:rsidR="00605C3D" w:rsidRDefault="00605C3D" w:rsidP="00605C3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8CFEE8" w14:textId="66DFBEFD" w:rsidR="00605C3D" w:rsidRPr="00605C3D" w:rsidRDefault="00605C3D" w:rsidP="00605C3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5C3D">
        <w:rPr>
          <w:rFonts w:asciiTheme="minorHAnsi" w:hAnsiTheme="minorHAnsi" w:cstheme="minorHAnsi"/>
          <w:b/>
          <w:bCs/>
          <w:sz w:val="24"/>
          <w:szCs w:val="24"/>
        </w:rPr>
        <w:t>Technická specifikace předmětu plnění</w:t>
      </w:r>
    </w:p>
    <w:p w14:paraId="461BD1FD" w14:textId="77777777" w:rsidR="00605C3D" w:rsidRPr="00605C3D" w:rsidRDefault="00605C3D" w:rsidP="00605C3D">
      <w:pPr>
        <w:rPr>
          <w:rFonts w:asciiTheme="minorHAnsi" w:hAnsiTheme="minorHAnsi" w:cstheme="minorHAnsi"/>
          <w:sz w:val="24"/>
          <w:szCs w:val="24"/>
        </w:rPr>
      </w:pPr>
      <w:r w:rsidRPr="00605C3D">
        <w:rPr>
          <w:rFonts w:asciiTheme="minorHAnsi" w:hAnsiTheme="minorHAnsi" w:cstheme="minorHAnsi"/>
          <w:sz w:val="24"/>
          <w:szCs w:val="24"/>
        </w:rPr>
        <w:t>Artec Studio Pro</w:t>
      </w:r>
    </w:p>
    <w:p w14:paraId="3453AA3B" w14:textId="77777777" w:rsidR="00605C3D" w:rsidRPr="00605C3D" w:rsidRDefault="00605C3D" w:rsidP="00605C3D">
      <w:pPr>
        <w:ind w:left="708"/>
        <w:rPr>
          <w:rFonts w:asciiTheme="minorHAnsi" w:hAnsiTheme="minorHAnsi" w:cstheme="minorHAnsi"/>
          <w:sz w:val="24"/>
          <w:szCs w:val="24"/>
        </w:rPr>
      </w:pPr>
      <w:r w:rsidRPr="00605C3D">
        <w:rPr>
          <w:rFonts w:asciiTheme="minorHAnsi" w:hAnsiTheme="minorHAnsi" w:cstheme="minorHAnsi"/>
          <w:sz w:val="24"/>
          <w:szCs w:val="24"/>
        </w:rPr>
        <w:t>doživotní licence</w:t>
      </w:r>
      <w:r w:rsidRPr="00605C3D">
        <w:rPr>
          <w:rFonts w:asciiTheme="minorHAnsi" w:hAnsiTheme="minorHAnsi" w:cstheme="minorHAnsi"/>
          <w:sz w:val="24"/>
          <w:szCs w:val="24"/>
        </w:rPr>
        <w:br/>
        <w:t>kompatibilita se skenery Artec Spider a Artec Space Spider.</w:t>
      </w:r>
    </w:p>
    <w:p w14:paraId="08B672AD" w14:textId="77777777" w:rsidR="00605C3D" w:rsidRPr="00605C3D" w:rsidRDefault="00605C3D" w:rsidP="00605C3D">
      <w:pPr>
        <w:rPr>
          <w:rFonts w:asciiTheme="minorHAnsi" w:hAnsiTheme="minorHAnsi" w:cstheme="minorHAnsi"/>
          <w:sz w:val="24"/>
          <w:szCs w:val="24"/>
        </w:rPr>
      </w:pPr>
      <w:r w:rsidRPr="00605C3D">
        <w:rPr>
          <w:rFonts w:asciiTheme="minorHAnsi" w:hAnsiTheme="minorHAnsi" w:cstheme="minorHAnsi"/>
          <w:sz w:val="24"/>
          <w:szCs w:val="24"/>
        </w:rPr>
        <w:t>3D skener Artec Space Spider</w:t>
      </w:r>
    </w:p>
    <w:p w14:paraId="5A5A1723" w14:textId="77777777" w:rsidR="00605C3D" w:rsidRPr="00605C3D" w:rsidRDefault="00605C3D" w:rsidP="00605C3D">
      <w:pPr>
        <w:ind w:left="708"/>
        <w:rPr>
          <w:rFonts w:asciiTheme="minorHAnsi" w:hAnsiTheme="minorHAnsi" w:cstheme="minorHAnsi"/>
          <w:sz w:val="24"/>
          <w:szCs w:val="24"/>
        </w:rPr>
      </w:pPr>
      <w:r w:rsidRPr="00605C3D">
        <w:rPr>
          <w:rFonts w:asciiTheme="minorHAnsi" w:hAnsiTheme="minorHAnsi" w:cstheme="minorHAnsi"/>
          <w:sz w:val="24"/>
          <w:szCs w:val="24"/>
        </w:rPr>
        <w:t>3D skenování technologií strukturovaného světla</w:t>
      </w:r>
      <w:r w:rsidRPr="00605C3D">
        <w:rPr>
          <w:rFonts w:asciiTheme="minorHAnsi" w:hAnsiTheme="minorHAnsi" w:cstheme="minorHAnsi"/>
          <w:sz w:val="24"/>
          <w:szCs w:val="24"/>
        </w:rPr>
        <w:br/>
        <w:t>Přesnost měření až 0,05 mm</w:t>
      </w:r>
      <w:r w:rsidRPr="00605C3D">
        <w:rPr>
          <w:rFonts w:asciiTheme="minorHAnsi" w:hAnsiTheme="minorHAnsi" w:cstheme="minorHAnsi"/>
          <w:sz w:val="24"/>
          <w:szCs w:val="24"/>
        </w:rPr>
        <w:br/>
        <w:t>Rozlišení měření až 0,1 mm</w:t>
      </w:r>
      <w:r w:rsidRPr="00605C3D">
        <w:rPr>
          <w:rFonts w:asciiTheme="minorHAnsi" w:hAnsiTheme="minorHAnsi" w:cstheme="minorHAnsi"/>
          <w:sz w:val="24"/>
          <w:szCs w:val="24"/>
        </w:rPr>
        <w:br/>
        <w:t>Pracovní vzdálenost 0,2-0,3 m</w:t>
      </w:r>
      <w:r w:rsidRPr="00605C3D">
        <w:rPr>
          <w:rFonts w:asciiTheme="minorHAnsi" w:hAnsiTheme="minorHAnsi" w:cstheme="minorHAnsi"/>
          <w:sz w:val="24"/>
          <w:szCs w:val="24"/>
        </w:rPr>
        <w:br/>
        <w:t>Schopnost zachytit RGB texturu skenovaného předmětu (1,3 MPx)</w:t>
      </w:r>
    </w:p>
    <w:p w14:paraId="5852B0B7" w14:textId="77777777" w:rsidR="009E03D3" w:rsidRDefault="009E03D3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CA152AE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188BFE9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F59B60A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918EC7E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574EAAB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163F35D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F045D2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853AD27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CB22667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A166AB6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23E94D8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81E9C45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905FD21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7A6ED2F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38D96BE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BA3ADA6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FC6D6CB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EC54836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FD3459E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C303D85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72F6AB6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6B5FE60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547F6A7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DF4E5B0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270D31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B09527F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2B3AF50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B26B5C1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C5EF349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A552992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5336241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BA17867" w14:textId="77777777" w:rsidR="008B3FB0" w:rsidRDefault="008B3FB0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1F507CE" w14:textId="77777777" w:rsidR="008B3FB0" w:rsidRDefault="008B3FB0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9814518" w14:textId="4C94C276" w:rsidR="00B218C7" w:rsidRDefault="00C15ABC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Příloha 2</w:t>
      </w:r>
      <w:r w:rsidR="00CD68A6">
        <w:rPr>
          <w:rFonts w:asciiTheme="minorHAnsi" w:hAnsiTheme="minorHAnsi" w:cstheme="minorHAnsi"/>
          <w:sz w:val="24"/>
          <w:szCs w:val="24"/>
        </w:rPr>
        <w:t xml:space="preserve"> – Položkový rozpočet </w:t>
      </w:r>
    </w:p>
    <w:p w14:paraId="368E279F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AF3D8F6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46A2421" w14:textId="77777777" w:rsidR="00836C9A" w:rsidRPr="00FD0750" w:rsidRDefault="00836C9A" w:rsidP="00836C9A">
      <w:pPr>
        <w:pStyle w:val="Zkladntext"/>
        <w:spacing w:before="11"/>
        <w:ind w:left="-709" w:firstLine="851"/>
      </w:pPr>
    </w:p>
    <w:p w14:paraId="3A07C945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XSpec="center" w:tblpY="11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850"/>
        <w:gridCol w:w="2127"/>
        <w:gridCol w:w="1984"/>
      </w:tblGrid>
      <w:tr w:rsidR="00CD28CB" w:rsidRPr="00FD0750" w14:paraId="11C54871" w14:textId="77777777" w:rsidTr="00CD28CB">
        <w:trPr>
          <w:trHeight w:val="946"/>
        </w:trPr>
        <w:tc>
          <w:tcPr>
            <w:tcW w:w="4111" w:type="dxa"/>
          </w:tcPr>
          <w:p w14:paraId="7750130B" w14:textId="77777777" w:rsidR="00CD28CB" w:rsidRPr="00FD0750" w:rsidRDefault="00CD28CB" w:rsidP="00CD28CB">
            <w:pPr>
              <w:pStyle w:val="TableParagraph"/>
              <w:ind w:left="102" w:firstLine="4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z w:val="20"/>
                <w:szCs w:val="20"/>
                <w:lang w:val="cs-CZ"/>
              </w:rPr>
              <w:t xml:space="preserve">Popis jednotlivých položek </w:t>
            </w:r>
            <w:r>
              <w:rPr>
                <w:b/>
                <w:bCs/>
                <w:sz w:val="20"/>
                <w:szCs w:val="20"/>
                <w:lang w:val="cs-CZ"/>
              </w:rPr>
              <w:t>dodávky</w:t>
            </w:r>
          </w:p>
        </w:tc>
        <w:tc>
          <w:tcPr>
            <w:tcW w:w="2268" w:type="dxa"/>
          </w:tcPr>
          <w:p w14:paraId="55F77BE4" w14:textId="77777777" w:rsidR="00CD28CB" w:rsidRPr="00FD0750" w:rsidRDefault="00CD28CB" w:rsidP="00CD28CB">
            <w:pPr>
              <w:pStyle w:val="TableParagraph"/>
              <w:jc w:val="center"/>
              <w:rPr>
                <w:b/>
                <w:bCs/>
                <w:spacing w:val="-2"/>
                <w:sz w:val="20"/>
                <w:szCs w:val="20"/>
                <w:lang w:val="cs-CZ"/>
              </w:rPr>
            </w:pPr>
            <w:r>
              <w:rPr>
                <w:b/>
                <w:bCs/>
                <w:spacing w:val="-2"/>
                <w:sz w:val="20"/>
                <w:szCs w:val="20"/>
                <w:lang w:val="cs-CZ"/>
              </w:rPr>
              <w:t>Prod</w:t>
            </w:r>
            <w:r w:rsidRPr="00FD0750">
              <w:rPr>
                <w:b/>
                <w:bCs/>
                <w:spacing w:val="-2"/>
                <w:sz w:val="20"/>
                <w:szCs w:val="20"/>
                <w:lang w:val="cs-CZ"/>
              </w:rPr>
              <w:t>uktové označení</w:t>
            </w:r>
          </w:p>
        </w:tc>
        <w:tc>
          <w:tcPr>
            <w:tcW w:w="850" w:type="dxa"/>
          </w:tcPr>
          <w:p w14:paraId="1258AD14" w14:textId="77777777" w:rsidR="00CD28CB" w:rsidRPr="00FD0750" w:rsidRDefault="00CD28CB" w:rsidP="00CD28CB">
            <w:pPr>
              <w:pStyle w:val="TableParagraph"/>
              <w:ind w:left="-709" w:right="153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             </w:t>
            </w: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Počet</w:t>
            </w:r>
          </w:p>
        </w:tc>
        <w:tc>
          <w:tcPr>
            <w:tcW w:w="2127" w:type="dxa"/>
          </w:tcPr>
          <w:p w14:paraId="6EF4842C" w14:textId="77777777" w:rsidR="00CD28CB" w:rsidRDefault="00CD28CB" w:rsidP="00CD28CB">
            <w:pPr>
              <w:pStyle w:val="TableParagraph"/>
              <w:ind w:right="153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Cena za kus</w:t>
            </w:r>
            <w:r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v Kč </w:t>
            </w:r>
          </w:p>
          <w:p w14:paraId="357F76C2" w14:textId="77777777" w:rsidR="00CD28CB" w:rsidRPr="00FD0750" w:rsidRDefault="00CD28CB" w:rsidP="00CD28CB">
            <w:pPr>
              <w:pStyle w:val="TableParagraph"/>
              <w:ind w:right="153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bez DPH</w:t>
            </w:r>
          </w:p>
        </w:tc>
        <w:tc>
          <w:tcPr>
            <w:tcW w:w="1984" w:type="dxa"/>
          </w:tcPr>
          <w:p w14:paraId="75FBC42B" w14:textId="77777777" w:rsidR="00CD28CB" w:rsidRDefault="00CD28CB" w:rsidP="00CD28CB">
            <w:pPr>
              <w:pStyle w:val="TableParagraph"/>
              <w:ind w:right="153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</w:t>
            </w: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Cena celkem v</w:t>
            </w:r>
            <w:r>
              <w:rPr>
                <w:b/>
                <w:bCs/>
                <w:spacing w:val="-5"/>
                <w:sz w:val="20"/>
                <w:szCs w:val="20"/>
                <w:lang w:val="cs-CZ"/>
              </w:rPr>
              <w:t> </w:t>
            </w: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Kč</w:t>
            </w:r>
          </w:p>
          <w:p w14:paraId="56A1A1B4" w14:textId="77777777" w:rsidR="00CD28CB" w:rsidRPr="00FD0750" w:rsidRDefault="00CD28CB" w:rsidP="00CD28CB">
            <w:pPr>
              <w:pStyle w:val="TableParagraph"/>
              <w:ind w:right="153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        </w:t>
            </w: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 xml:space="preserve"> bez DPH</w:t>
            </w:r>
          </w:p>
        </w:tc>
      </w:tr>
      <w:tr w:rsidR="00CD28CB" w:rsidRPr="00FD0750" w14:paraId="6B80BDF1" w14:textId="77777777" w:rsidTr="00CD28CB">
        <w:trPr>
          <w:trHeight w:val="361"/>
        </w:trPr>
        <w:tc>
          <w:tcPr>
            <w:tcW w:w="4111" w:type="dxa"/>
          </w:tcPr>
          <w:p w14:paraId="5878C68E" w14:textId="77777777" w:rsidR="00CD28CB" w:rsidRPr="00FD0750" w:rsidRDefault="00CD28CB" w:rsidP="00CD28CB">
            <w:pPr>
              <w:pStyle w:val="TableParagraph"/>
              <w:rPr>
                <w:sz w:val="20"/>
                <w:szCs w:val="20"/>
                <w:lang w:val="cs-CZ"/>
              </w:rPr>
            </w:pPr>
            <w:r w:rsidRPr="00F94CFA">
              <w:rPr>
                <w:sz w:val="20"/>
                <w:szCs w:val="20"/>
                <w:lang w:val="cs-CZ"/>
              </w:rPr>
              <w:t>Artec Space Spider skener pro 3D skenování malých objektů vč. barvy</w:t>
            </w:r>
          </w:p>
        </w:tc>
        <w:tc>
          <w:tcPr>
            <w:tcW w:w="2268" w:type="dxa"/>
          </w:tcPr>
          <w:p w14:paraId="2C661592" w14:textId="77777777" w:rsidR="00CD28CB" w:rsidRPr="00FD0750" w:rsidRDefault="00CD28CB" w:rsidP="00CD28CB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 w:rsidRPr="00335974">
              <w:rPr>
                <w:sz w:val="20"/>
                <w:szCs w:val="20"/>
                <w:lang w:val="cs-CZ"/>
              </w:rPr>
              <w:t>1055000055</w:t>
            </w:r>
          </w:p>
        </w:tc>
        <w:tc>
          <w:tcPr>
            <w:tcW w:w="850" w:type="dxa"/>
          </w:tcPr>
          <w:p w14:paraId="63564FAA" w14:textId="77777777" w:rsidR="00CD28CB" w:rsidRPr="00FD0750" w:rsidRDefault="00CD28CB" w:rsidP="00CD28CB">
            <w:pPr>
              <w:pStyle w:val="TableParagraph"/>
              <w:ind w:left="-709" w:right="153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</w:t>
            </w:r>
          </w:p>
        </w:tc>
        <w:tc>
          <w:tcPr>
            <w:tcW w:w="2127" w:type="dxa"/>
          </w:tcPr>
          <w:p w14:paraId="013B0D7F" w14:textId="77777777" w:rsidR="00CD28CB" w:rsidRPr="00FD0750" w:rsidRDefault="00CD28CB" w:rsidP="00CD28CB">
            <w:pPr>
              <w:pStyle w:val="TableParagraph"/>
              <w:ind w:right="153"/>
              <w:jc w:val="right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spacing w:val="-5"/>
                <w:sz w:val="20"/>
                <w:szCs w:val="20"/>
                <w:lang w:val="cs-CZ"/>
              </w:rPr>
              <w:t>590 000,-Kč</w:t>
            </w:r>
          </w:p>
        </w:tc>
        <w:tc>
          <w:tcPr>
            <w:tcW w:w="1984" w:type="dxa"/>
          </w:tcPr>
          <w:p w14:paraId="5181615B" w14:textId="77777777" w:rsidR="00CD28CB" w:rsidRPr="00FD0750" w:rsidRDefault="00CD28CB" w:rsidP="00CD28CB">
            <w:pPr>
              <w:pStyle w:val="TableParagraph"/>
              <w:ind w:right="153"/>
              <w:jc w:val="right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spacing w:val="-5"/>
                <w:sz w:val="20"/>
                <w:szCs w:val="20"/>
                <w:lang w:val="cs-CZ"/>
              </w:rPr>
              <w:t>590 000,-Kč</w:t>
            </w:r>
          </w:p>
        </w:tc>
      </w:tr>
      <w:tr w:rsidR="00CD28CB" w:rsidRPr="00FD0750" w14:paraId="610D6C1A" w14:textId="77777777" w:rsidTr="00CD28CB">
        <w:trPr>
          <w:trHeight w:val="361"/>
        </w:trPr>
        <w:tc>
          <w:tcPr>
            <w:tcW w:w="4111" w:type="dxa"/>
          </w:tcPr>
          <w:p w14:paraId="4503C2B5" w14:textId="77777777" w:rsidR="00CD28CB" w:rsidRPr="00FD0750" w:rsidRDefault="00CD28CB" w:rsidP="00CD28CB">
            <w:pPr>
              <w:pStyle w:val="TableParagrap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Artec 1Y additional warranty</w:t>
            </w:r>
          </w:p>
        </w:tc>
        <w:tc>
          <w:tcPr>
            <w:tcW w:w="2268" w:type="dxa"/>
          </w:tcPr>
          <w:p w14:paraId="3C5172D8" w14:textId="77777777" w:rsidR="00CD28CB" w:rsidRPr="00FD0750" w:rsidRDefault="00CD28CB" w:rsidP="00CD28CB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 w:rsidRPr="000913F4">
              <w:rPr>
                <w:sz w:val="20"/>
                <w:szCs w:val="20"/>
                <w:lang w:val="cs-CZ"/>
              </w:rPr>
              <w:t>1055000059</w:t>
            </w:r>
          </w:p>
        </w:tc>
        <w:tc>
          <w:tcPr>
            <w:tcW w:w="850" w:type="dxa"/>
          </w:tcPr>
          <w:p w14:paraId="1BAFA130" w14:textId="77777777" w:rsidR="00CD28CB" w:rsidRPr="00FD0750" w:rsidRDefault="00CD28CB" w:rsidP="00CD28CB">
            <w:pPr>
              <w:pStyle w:val="TableParagraph"/>
              <w:ind w:left="-709" w:right="153" w:firstLine="851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</w:t>
            </w:r>
          </w:p>
        </w:tc>
        <w:tc>
          <w:tcPr>
            <w:tcW w:w="2127" w:type="dxa"/>
          </w:tcPr>
          <w:p w14:paraId="3BC76450" w14:textId="77777777" w:rsidR="00CD28CB" w:rsidRPr="00FD0750" w:rsidRDefault="00CD28CB" w:rsidP="00CD28CB">
            <w:pPr>
              <w:pStyle w:val="TableParagraph"/>
              <w:ind w:right="153"/>
              <w:jc w:val="right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spacing w:val="-5"/>
                <w:sz w:val="20"/>
                <w:szCs w:val="20"/>
                <w:lang w:val="cs-CZ"/>
              </w:rPr>
              <w:t>31 200,-Kč</w:t>
            </w:r>
          </w:p>
        </w:tc>
        <w:tc>
          <w:tcPr>
            <w:tcW w:w="1984" w:type="dxa"/>
          </w:tcPr>
          <w:p w14:paraId="6B601B8A" w14:textId="77777777" w:rsidR="00CD28CB" w:rsidRPr="00FD0750" w:rsidRDefault="00CD28CB" w:rsidP="00CD28CB">
            <w:pPr>
              <w:pStyle w:val="TableParagraph"/>
              <w:ind w:right="153"/>
              <w:jc w:val="right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spacing w:val="-5"/>
                <w:sz w:val="20"/>
                <w:szCs w:val="20"/>
                <w:lang w:val="cs-CZ"/>
              </w:rPr>
              <w:t>31 200,-Kč</w:t>
            </w:r>
          </w:p>
        </w:tc>
      </w:tr>
      <w:tr w:rsidR="00CD28CB" w:rsidRPr="00FD0750" w14:paraId="7569C506" w14:textId="77777777" w:rsidTr="00CD28CB">
        <w:trPr>
          <w:trHeight w:val="361"/>
        </w:trPr>
        <w:tc>
          <w:tcPr>
            <w:tcW w:w="4111" w:type="dxa"/>
          </w:tcPr>
          <w:p w14:paraId="5AF8FBBC" w14:textId="77777777" w:rsidR="00CD28CB" w:rsidRPr="00FD0750" w:rsidRDefault="00CD28CB" w:rsidP="00CD28CB">
            <w:pPr>
              <w:pStyle w:val="TableParagrap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Artec Studio, 2 doživotní licence (pro stejného uživatele), SW ke zpracování dat z Artec skenerů</w:t>
            </w:r>
          </w:p>
        </w:tc>
        <w:tc>
          <w:tcPr>
            <w:tcW w:w="2268" w:type="dxa"/>
          </w:tcPr>
          <w:p w14:paraId="1CDE306B" w14:textId="77777777" w:rsidR="00CD28CB" w:rsidRPr="00FD0750" w:rsidRDefault="00CD28CB" w:rsidP="00CD28CB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 w:rsidRPr="00C6225E">
              <w:rPr>
                <w:sz w:val="20"/>
                <w:szCs w:val="20"/>
                <w:lang w:val="cs-CZ"/>
              </w:rPr>
              <w:t>1055000149</w:t>
            </w:r>
          </w:p>
        </w:tc>
        <w:tc>
          <w:tcPr>
            <w:tcW w:w="850" w:type="dxa"/>
          </w:tcPr>
          <w:p w14:paraId="12F4398A" w14:textId="77777777" w:rsidR="00CD28CB" w:rsidRPr="00FD0750" w:rsidRDefault="00CD28CB" w:rsidP="00CD28CB">
            <w:pPr>
              <w:pStyle w:val="TableParagraph"/>
              <w:ind w:left="-709" w:right="153" w:firstLine="851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</w:t>
            </w:r>
          </w:p>
        </w:tc>
        <w:tc>
          <w:tcPr>
            <w:tcW w:w="2127" w:type="dxa"/>
          </w:tcPr>
          <w:p w14:paraId="3E500D3E" w14:textId="77777777" w:rsidR="00CD28CB" w:rsidRPr="00FD0750" w:rsidRDefault="00CD28CB" w:rsidP="00CD28CB">
            <w:pPr>
              <w:pStyle w:val="TableParagraph"/>
              <w:ind w:right="153"/>
              <w:jc w:val="right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spacing w:val="-5"/>
                <w:sz w:val="20"/>
                <w:szCs w:val="20"/>
                <w:lang w:val="cs-CZ"/>
              </w:rPr>
              <w:t>91 000,-Kč</w:t>
            </w:r>
          </w:p>
        </w:tc>
        <w:tc>
          <w:tcPr>
            <w:tcW w:w="1984" w:type="dxa"/>
          </w:tcPr>
          <w:p w14:paraId="2018E083" w14:textId="77777777" w:rsidR="00CD28CB" w:rsidRPr="00FD0750" w:rsidRDefault="00CD28CB" w:rsidP="00CD28CB">
            <w:pPr>
              <w:pStyle w:val="TableParagraph"/>
              <w:ind w:right="153"/>
              <w:jc w:val="right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spacing w:val="-5"/>
                <w:sz w:val="20"/>
                <w:szCs w:val="20"/>
                <w:lang w:val="cs-CZ"/>
              </w:rPr>
              <w:t>91 000,-Kč</w:t>
            </w:r>
          </w:p>
        </w:tc>
      </w:tr>
      <w:tr w:rsidR="00CD28CB" w:rsidRPr="00FD0750" w14:paraId="7E37A810" w14:textId="77777777" w:rsidTr="00CD28CB">
        <w:trPr>
          <w:trHeight w:val="361"/>
        </w:trPr>
        <w:tc>
          <w:tcPr>
            <w:tcW w:w="9356" w:type="dxa"/>
            <w:gridSpan w:val="4"/>
          </w:tcPr>
          <w:p w14:paraId="75B8634C" w14:textId="77777777" w:rsidR="00CD28CB" w:rsidRPr="00FD0750" w:rsidRDefault="00CD28CB" w:rsidP="00CD28CB">
            <w:pPr>
              <w:pStyle w:val="TableParagraph"/>
              <w:rPr>
                <w:b/>
                <w:bCs/>
                <w:w w:val="101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z w:val="20"/>
                <w:szCs w:val="20"/>
                <w:lang w:val="cs-CZ"/>
              </w:rPr>
              <w:t>Celková nabídková cena v Kč bez DPH</w:t>
            </w:r>
          </w:p>
        </w:tc>
        <w:tc>
          <w:tcPr>
            <w:tcW w:w="1984" w:type="dxa"/>
          </w:tcPr>
          <w:p w14:paraId="3DC65F02" w14:textId="77777777" w:rsidR="00CD28CB" w:rsidRPr="00FD0750" w:rsidRDefault="00CD28CB" w:rsidP="00CD28CB">
            <w:pPr>
              <w:pStyle w:val="TableParagraph"/>
              <w:jc w:val="center"/>
              <w:rPr>
                <w:w w:val="101"/>
                <w:sz w:val="20"/>
                <w:szCs w:val="20"/>
                <w:lang w:val="cs-CZ"/>
              </w:rPr>
            </w:pPr>
            <w:r>
              <w:rPr>
                <w:w w:val="101"/>
                <w:sz w:val="20"/>
                <w:szCs w:val="20"/>
                <w:lang w:val="cs-CZ"/>
              </w:rPr>
              <w:t xml:space="preserve">           712 200,-Kč</w:t>
            </w:r>
          </w:p>
        </w:tc>
      </w:tr>
      <w:tr w:rsidR="00CD28CB" w:rsidRPr="00FD0750" w14:paraId="164F4F1F" w14:textId="77777777" w:rsidTr="00CD28CB">
        <w:trPr>
          <w:trHeight w:val="58"/>
        </w:trPr>
        <w:tc>
          <w:tcPr>
            <w:tcW w:w="9356" w:type="dxa"/>
            <w:gridSpan w:val="4"/>
          </w:tcPr>
          <w:p w14:paraId="383773EF" w14:textId="77777777" w:rsidR="00CD28CB" w:rsidRPr="00FD0750" w:rsidRDefault="00CD28CB" w:rsidP="00CD28CB">
            <w:pPr>
              <w:pStyle w:val="TableParagraph"/>
              <w:rPr>
                <w:sz w:val="20"/>
                <w:szCs w:val="20"/>
                <w:lang w:val="cs-CZ"/>
              </w:rPr>
            </w:pPr>
            <w:r w:rsidRPr="00FD0750">
              <w:rPr>
                <w:sz w:val="20"/>
                <w:szCs w:val="20"/>
                <w:lang w:val="cs-CZ"/>
              </w:rPr>
              <w:t>Celková nabídková cena v Kč včetně DPH</w:t>
            </w:r>
          </w:p>
        </w:tc>
        <w:tc>
          <w:tcPr>
            <w:tcW w:w="1984" w:type="dxa"/>
          </w:tcPr>
          <w:p w14:paraId="4267770F" w14:textId="77777777" w:rsidR="00CD28CB" w:rsidRPr="00FD0750" w:rsidRDefault="00CD28CB" w:rsidP="00CD28CB">
            <w:pPr>
              <w:pStyle w:val="TableParagraph"/>
              <w:jc w:val="center"/>
              <w:rPr>
                <w:w w:val="101"/>
                <w:sz w:val="20"/>
                <w:szCs w:val="20"/>
                <w:lang w:val="cs-CZ"/>
              </w:rPr>
            </w:pPr>
            <w:r>
              <w:rPr>
                <w:w w:val="101"/>
                <w:sz w:val="20"/>
                <w:szCs w:val="20"/>
                <w:lang w:val="cs-CZ"/>
              </w:rPr>
              <w:t xml:space="preserve">           861 762,-Kč</w:t>
            </w:r>
          </w:p>
        </w:tc>
      </w:tr>
    </w:tbl>
    <w:p w14:paraId="2B7448FD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17A5F08" w14:textId="77777777" w:rsidR="00B218C7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237A878" w14:textId="77777777" w:rsidR="00CD28CB" w:rsidRPr="00FD0750" w:rsidRDefault="00CD28CB" w:rsidP="00CD28CB">
      <w:pPr>
        <w:pStyle w:val="Zkladntext"/>
        <w:spacing w:before="11"/>
        <w:ind w:left="-709" w:firstLine="851"/>
      </w:pPr>
    </w:p>
    <w:p w14:paraId="45296051" w14:textId="77777777" w:rsidR="00CD28CB" w:rsidRPr="00FD0750" w:rsidRDefault="00CD28CB" w:rsidP="00CD28CB">
      <w:pPr>
        <w:pStyle w:val="Zkladntext"/>
        <w:ind w:left="-709" w:firstLine="851"/>
        <w:rPr>
          <w:sz w:val="17"/>
        </w:rPr>
      </w:pPr>
    </w:p>
    <w:p w14:paraId="5F60D10D" w14:textId="77777777" w:rsidR="00CD28CB" w:rsidRDefault="00CD28CB" w:rsidP="00CD28CB">
      <w:pPr>
        <w:ind w:left="-709" w:firstLine="851"/>
      </w:pPr>
    </w:p>
    <w:p w14:paraId="15A576AF" w14:textId="77777777" w:rsidR="00B218C7" w:rsidRPr="00605C3D" w:rsidRDefault="00B218C7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sectPr w:rsidR="00B218C7" w:rsidRPr="00605C3D" w:rsidSect="00C15A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142" w:footer="454" w:gutter="0"/>
      <w:paperSrc w:first="258" w:other="25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F4D61" w14:textId="77777777" w:rsidR="00443C33" w:rsidRDefault="00443C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50847E" w14:textId="77777777" w:rsidR="00443C33" w:rsidRDefault="00443C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48AB" w14:textId="77777777" w:rsidR="00622641" w:rsidRDefault="00622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B8EEB" w14:textId="77777777" w:rsidR="00622641" w:rsidRDefault="00622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58B44" w14:textId="77777777" w:rsidR="00443C33" w:rsidRDefault="00443C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920EEA" w14:textId="77777777" w:rsidR="00443C33" w:rsidRDefault="00443C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C3D5" w14:textId="77777777" w:rsidR="00622641" w:rsidRDefault="006226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EA62F" w14:textId="5BC08992" w:rsidR="00E426B4" w:rsidRDefault="00622641">
    <w:pPr>
      <w:pStyle w:val="Zhlav"/>
    </w:pPr>
    <w:r>
      <w:tab/>
    </w:r>
    <w:r>
      <w:tab/>
    </w:r>
    <w:r>
      <w:tab/>
    </w:r>
    <w:r>
      <w:tab/>
      <w:t>Čj.:2024/3705/NM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302E" w14:textId="77777777" w:rsidR="00622641" w:rsidRDefault="00622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4"/>
  </w:num>
  <w:num w:numId="2" w16cid:durableId="1572958923">
    <w:abstractNumId w:val="8"/>
  </w:num>
  <w:num w:numId="3" w16cid:durableId="1972469432">
    <w:abstractNumId w:val="6"/>
  </w:num>
  <w:num w:numId="4" w16cid:durableId="580137790">
    <w:abstractNumId w:val="2"/>
  </w:num>
  <w:num w:numId="5" w16cid:durableId="1140459400">
    <w:abstractNumId w:val="5"/>
  </w:num>
  <w:num w:numId="6" w16cid:durableId="1059134279">
    <w:abstractNumId w:val="4"/>
  </w:num>
  <w:num w:numId="7" w16cid:durableId="1407416095">
    <w:abstractNumId w:val="12"/>
  </w:num>
  <w:num w:numId="8" w16cid:durableId="1366905748">
    <w:abstractNumId w:val="7"/>
  </w:num>
  <w:num w:numId="9" w16cid:durableId="763304047">
    <w:abstractNumId w:val="3"/>
  </w:num>
  <w:num w:numId="10" w16cid:durableId="1664237960">
    <w:abstractNumId w:val="11"/>
  </w:num>
  <w:num w:numId="11" w16cid:durableId="657423431">
    <w:abstractNumId w:val="13"/>
  </w:num>
  <w:num w:numId="12" w16cid:durableId="1047148471">
    <w:abstractNumId w:val="9"/>
  </w:num>
  <w:num w:numId="13" w16cid:durableId="1573469344">
    <w:abstractNumId w:val="10"/>
  </w:num>
  <w:num w:numId="14" w16cid:durableId="1713726318">
    <w:abstractNumId w:val="0"/>
  </w:num>
  <w:num w:numId="15" w16cid:durableId="363602585">
    <w:abstractNumId w:val="15"/>
  </w:num>
  <w:num w:numId="16" w16cid:durableId="1140343455">
    <w:abstractNumId w:val="1"/>
  </w:num>
  <w:num w:numId="17" w16cid:durableId="1485511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5B78"/>
    <w:rsid w:val="00032CBA"/>
    <w:rsid w:val="00070BBF"/>
    <w:rsid w:val="000E6EC3"/>
    <w:rsid w:val="001C79B4"/>
    <w:rsid w:val="001E4F27"/>
    <w:rsid w:val="00201615"/>
    <w:rsid w:val="00295F79"/>
    <w:rsid w:val="002B6124"/>
    <w:rsid w:val="002E01D9"/>
    <w:rsid w:val="00305A29"/>
    <w:rsid w:val="00326D29"/>
    <w:rsid w:val="003B2A5C"/>
    <w:rsid w:val="003C64BD"/>
    <w:rsid w:val="00433F19"/>
    <w:rsid w:val="0043544D"/>
    <w:rsid w:val="00443C33"/>
    <w:rsid w:val="004A6151"/>
    <w:rsid w:val="004C45C7"/>
    <w:rsid w:val="004C67DD"/>
    <w:rsid w:val="00517CA5"/>
    <w:rsid w:val="00522B44"/>
    <w:rsid w:val="00580614"/>
    <w:rsid w:val="00605C3D"/>
    <w:rsid w:val="00622641"/>
    <w:rsid w:val="0069101D"/>
    <w:rsid w:val="006A7EB6"/>
    <w:rsid w:val="007006C9"/>
    <w:rsid w:val="007C6A10"/>
    <w:rsid w:val="00836809"/>
    <w:rsid w:val="00836C9A"/>
    <w:rsid w:val="008B181A"/>
    <w:rsid w:val="008B3FB0"/>
    <w:rsid w:val="008B6626"/>
    <w:rsid w:val="008D57A2"/>
    <w:rsid w:val="009C1D48"/>
    <w:rsid w:val="009E03D3"/>
    <w:rsid w:val="00A332CC"/>
    <w:rsid w:val="00AB5E40"/>
    <w:rsid w:val="00AC4A4A"/>
    <w:rsid w:val="00AD438D"/>
    <w:rsid w:val="00B218C7"/>
    <w:rsid w:val="00B31A31"/>
    <w:rsid w:val="00BF253E"/>
    <w:rsid w:val="00C15ABC"/>
    <w:rsid w:val="00C27ABE"/>
    <w:rsid w:val="00C35ABE"/>
    <w:rsid w:val="00C615B6"/>
    <w:rsid w:val="00C775D1"/>
    <w:rsid w:val="00CD28CB"/>
    <w:rsid w:val="00CD68A6"/>
    <w:rsid w:val="00D01655"/>
    <w:rsid w:val="00D01EF1"/>
    <w:rsid w:val="00D42451"/>
    <w:rsid w:val="00D46108"/>
    <w:rsid w:val="00D47B3E"/>
    <w:rsid w:val="00DE2F1B"/>
    <w:rsid w:val="00E426B4"/>
    <w:rsid w:val="00E526E5"/>
    <w:rsid w:val="00F8EC7E"/>
    <w:rsid w:val="00FB0105"/>
    <w:rsid w:val="00FC5C42"/>
    <w:rsid w:val="0324F6EB"/>
    <w:rsid w:val="03A5A2EF"/>
    <w:rsid w:val="03CF86B4"/>
    <w:rsid w:val="06C13E51"/>
    <w:rsid w:val="09B1EAF6"/>
    <w:rsid w:val="0F6E427B"/>
    <w:rsid w:val="10E15958"/>
    <w:rsid w:val="110CF2C9"/>
    <w:rsid w:val="155D0393"/>
    <w:rsid w:val="16925DD1"/>
    <w:rsid w:val="16F202E3"/>
    <w:rsid w:val="170CD41C"/>
    <w:rsid w:val="17E592A3"/>
    <w:rsid w:val="17E9FE89"/>
    <w:rsid w:val="18526058"/>
    <w:rsid w:val="18981012"/>
    <w:rsid w:val="195934C9"/>
    <w:rsid w:val="1E25A7C4"/>
    <w:rsid w:val="1E9B489B"/>
    <w:rsid w:val="20BD511F"/>
    <w:rsid w:val="2381AF87"/>
    <w:rsid w:val="25DAB700"/>
    <w:rsid w:val="261C945A"/>
    <w:rsid w:val="2709556A"/>
    <w:rsid w:val="283171C7"/>
    <w:rsid w:val="28522D6E"/>
    <w:rsid w:val="28944888"/>
    <w:rsid w:val="29C5372F"/>
    <w:rsid w:val="29E990C8"/>
    <w:rsid w:val="2A8B49C1"/>
    <w:rsid w:val="2E06B282"/>
    <w:rsid w:val="30BE3518"/>
    <w:rsid w:val="310F45CC"/>
    <w:rsid w:val="3150746C"/>
    <w:rsid w:val="3216A1E3"/>
    <w:rsid w:val="32934BA0"/>
    <w:rsid w:val="35DF8567"/>
    <w:rsid w:val="3711EC67"/>
    <w:rsid w:val="3CF61F35"/>
    <w:rsid w:val="3DF79AA9"/>
    <w:rsid w:val="436D01C9"/>
    <w:rsid w:val="43BFD423"/>
    <w:rsid w:val="43F83BC4"/>
    <w:rsid w:val="4A34B87A"/>
    <w:rsid w:val="4D2EF084"/>
    <w:rsid w:val="50A85D06"/>
    <w:rsid w:val="51ABEEE5"/>
    <w:rsid w:val="51BEA486"/>
    <w:rsid w:val="53CC7154"/>
    <w:rsid w:val="58761C5F"/>
    <w:rsid w:val="588E6C20"/>
    <w:rsid w:val="58C6F59F"/>
    <w:rsid w:val="594DF5FE"/>
    <w:rsid w:val="5A44D419"/>
    <w:rsid w:val="5AE9C65F"/>
    <w:rsid w:val="5C8596C0"/>
    <w:rsid w:val="5D501C2C"/>
    <w:rsid w:val="5E2AAD80"/>
    <w:rsid w:val="5E9D37EF"/>
    <w:rsid w:val="5FDFF442"/>
    <w:rsid w:val="624DC728"/>
    <w:rsid w:val="64AE20C4"/>
    <w:rsid w:val="64FC9A48"/>
    <w:rsid w:val="683941B9"/>
    <w:rsid w:val="69C6EEE5"/>
    <w:rsid w:val="6A588B80"/>
    <w:rsid w:val="6C5A67AB"/>
    <w:rsid w:val="6D70697F"/>
    <w:rsid w:val="6FD89C5D"/>
    <w:rsid w:val="6FFDFAEE"/>
    <w:rsid w:val="74E64D13"/>
    <w:rsid w:val="77B5C2E7"/>
    <w:rsid w:val="7884DBA5"/>
    <w:rsid w:val="7D39CADC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Bezmezer">
    <w:name w:val="No Spacing"/>
    <w:uiPriority w:val="1"/>
    <w:qFormat/>
    <w:rsid w:val="007C6A10"/>
    <w:rPr>
      <w:rFonts w:ascii="Times New Roman" w:hAnsi="Times New Roman"/>
      <w:sz w:val="20"/>
      <w:szCs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836C9A"/>
    <w:pPr>
      <w:widowControl w:val="0"/>
      <w:autoSpaceDE w:val="0"/>
      <w:autoSpaceDN w:val="0"/>
      <w:spacing w:before="104"/>
    </w:pPr>
    <w:rPr>
      <w:rFonts w:ascii="Arial" w:eastAsia="Arial" w:hAnsi="Arial" w:cs="Arial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36C9A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Props1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1722</Words>
  <Characters>10201</Characters>
  <Application>Microsoft Office Word</Application>
  <DocSecurity>0</DocSecurity>
  <Lines>85</Lines>
  <Paragraphs>23</Paragraphs>
  <ScaleCrop>false</ScaleCrop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Abazidová Jana</cp:lastModifiedBy>
  <cp:revision>4</cp:revision>
  <cp:lastPrinted>2024-08-07T12:36:00Z</cp:lastPrinted>
  <dcterms:created xsi:type="dcterms:W3CDTF">2024-09-05T10:35:00Z</dcterms:created>
  <dcterms:modified xsi:type="dcterms:W3CDTF">2024-09-05T10:37:00Z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