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proofErr w:type="gramStart"/>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roofErr w:type="gramEnd"/>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0837B020" w14:textId="77777777" w:rsidR="007E7AEA"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p>
    <w:p w14:paraId="10993CC0" w14:textId="01473C08" w:rsidR="009601F0" w:rsidRDefault="007E7AEA"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sidR="007C0279">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24D6AD37" w14:textId="6A8DF868" w:rsidR="007E7AEA" w:rsidRPr="00633675" w:rsidRDefault="007E7AEA"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Ing. Mária Zahnašová, vedoucí oddělení ZT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5338BAF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6E6794">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20B16DED" w:rsidR="0051200A" w:rsidRPr="00633675" w:rsidRDefault="005711C7"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RADIX CZ s.r.o.</w:t>
      </w:r>
    </w:p>
    <w:p w14:paraId="38B9994A" w14:textId="2C6EDEE6" w:rsidR="009601F0" w:rsidRPr="005711C7"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5711C7">
        <w:rPr>
          <w:rFonts w:ascii="Tahoma" w:hAnsi="Tahoma" w:cs="Tahoma"/>
          <w:sz w:val="20"/>
          <w:szCs w:val="22"/>
        </w:rPr>
        <w:t>s</w:t>
      </w:r>
      <w:r w:rsidR="009601F0" w:rsidRPr="005711C7">
        <w:rPr>
          <w:rFonts w:ascii="Tahoma" w:hAnsi="Tahoma" w:cs="Tahoma"/>
          <w:sz w:val="20"/>
          <w:szCs w:val="22"/>
        </w:rPr>
        <w:t>e sídlem:</w:t>
      </w:r>
      <w:r w:rsidR="005711C7">
        <w:rPr>
          <w:rFonts w:ascii="Tahoma" w:hAnsi="Tahoma" w:cs="Tahoma"/>
          <w:sz w:val="20"/>
          <w:szCs w:val="22"/>
        </w:rPr>
        <w:tab/>
        <w:t>Čáslavská 231, Kutná Hora, 284 01</w:t>
      </w:r>
      <w:r w:rsidR="009601F0" w:rsidRPr="005711C7">
        <w:rPr>
          <w:rFonts w:ascii="Tahoma" w:hAnsi="Tahoma" w:cs="Tahoma"/>
          <w:sz w:val="20"/>
          <w:szCs w:val="22"/>
        </w:rPr>
        <w:tab/>
      </w:r>
    </w:p>
    <w:p w14:paraId="45E6B33F" w14:textId="77777777" w:rsidR="005711C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5711C7">
        <w:rPr>
          <w:rFonts w:ascii="Tahoma" w:hAnsi="Tahoma" w:cs="Tahoma"/>
          <w:sz w:val="20"/>
          <w:szCs w:val="22"/>
        </w:rPr>
        <w:t>z</w:t>
      </w:r>
      <w:r w:rsidR="009601F0" w:rsidRPr="005711C7">
        <w:rPr>
          <w:rFonts w:ascii="Tahoma" w:hAnsi="Tahoma" w:cs="Tahoma"/>
          <w:sz w:val="20"/>
          <w:szCs w:val="22"/>
        </w:rPr>
        <w:t>astoupena</w:t>
      </w:r>
      <w:r w:rsidR="005711C7">
        <w:rPr>
          <w:rFonts w:ascii="Tahoma" w:hAnsi="Tahoma" w:cs="Tahoma"/>
          <w:sz w:val="20"/>
          <w:szCs w:val="22"/>
        </w:rPr>
        <w:t>:</w:t>
      </w:r>
      <w:r w:rsidR="005711C7">
        <w:rPr>
          <w:rFonts w:ascii="Tahoma" w:hAnsi="Tahoma" w:cs="Tahoma"/>
          <w:sz w:val="20"/>
          <w:szCs w:val="22"/>
        </w:rPr>
        <w:tab/>
        <w:t>Ing. Matyášem Ludvíkem, jednatelem</w:t>
      </w:r>
    </w:p>
    <w:p w14:paraId="1816FCAE" w14:textId="18EC7549" w:rsidR="009601F0" w:rsidRPr="005711C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5711C7">
        <w:rPr>
          <w:rFonts w:ascii="Tahoma" w:hAnsi="Tahoma" w:cs="Tahoma"/>
          <w:sz w:val="20"/>
          <w:szCs w:val="22"/>
        </w:rPr>
        <w:t>IČ</w:t>
      </w:r>
      <w:r w:rsidR="006D6317" w:rsidRPr="005711C7">
        <w:rPr>
          <w:rFonts w:ascii="Tahoma" w:hAnsi="Tahoma" w:cs="Tahoma"/>
          <w:sz w:val="20"/>
          <w:szCs w:val="22"/>
        </w:rPr>
        <w:t>O</w:t>
      </w:r>
      <w:r w:rsidRPr="005711C7">
        <w:rPr>
          <w:rFonts w:ascii="Tahoma" w:hAnsi="Tahoma" w:cs="Tahoma"/>
          <w:sz w:val="20"/>
          <w:szCs w:val="22"/>
        </w:rPr>
        <w:t>:</w:t>
      </w:r>
      <w:r w:rsidR="005711C7">
        <w:rPr>
          <w:rFonts w:ascii="Tahoma" w:hAnsi="Tahoma" w:cs="Tahoma"/>
          <w:sz w:val="20"/>
          <w:szCs w:val="22"/>
        </w:rPr>
        <w:tab/>
      </w:r>
      <w:r w:rsidR="005711C7">
        <w:rPr>
          <w:rFonts w:ascii="Tahoma" w:hAnsi="Tahoma" w:cs="Tahoma"/>
          <w:sz w:val="20"/>
          <w:szCs w:val="22"/>
        </w:rPr>
        <w:tab/>
        <w:t>26774321</w:t>
      </w:r>
      <w:r w:rsidRPr="005711C7">
        <w:rPr>
          <w:rFonts w:ascii="Tahoma" w:hAnsi="Tahoma" w:cs="Tahoma"/>
          <w:sz w:val="20"/>
          <w:szCs w:val="22"/>
        </w:rPr>
        <w:tab/>
      </w:r>
      <w:r w:rsidR="007C0279" w:rsidRPr="005711C7">
        <w:rPr>
          <w:rFonts w:ascii="Tahoma" w:hAnsi="Tahoma" w:cs="Tahoma"/>
          <w:sz w:val="20"/>
          <w:szCs w:val="22"/>
        </w:rPr>
        <w:tab/>
      </w:r>
    </w:p>
    <w:p w14:paraId="44E863C5" w14:textId="2415E460" w:rsidR="009601F0" w:rsidRPr="005711C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5711C7">
        <w:rPr>
          <w:rFonts w:ascii="Tahoma" w:hAnsi="Tahoma" w:cs="Tahoma"/>
          <w:sz w:val="20"/>
          <w:szCs w:val="22"/>
        </w:rPr>
        <w:t>DIČ:</w:t>
      </w:r>
      <w:r w:rsidRPr="005711C7">
        <w:rPr>
          <w:rFonts w:ascii="Tahoma" w:hAnsi="Tahoma" w:cs="Tahoma"/>
          <w:sz w:val="20"/>
          <w:szCs w:val="22"/>
        </w:rPr>
        <w:tab/>
      </w:r>
      <w:r w:rsidR="007C0279" w:rsidRPr="005711C7">
        <w:rPr>
          <w:rFonts w:ascii="Tahoma" w:hAnsi="Tahoma" w:cs="Tahoma"/>
          <w:sz w:val="20"/>
          <w:szCs w:val="22"/>
        </w:rPr>
        <w:tab/>
      </w:r>
      <w:r w:rsidR="005711C7">
        <w:rPr>
          <w:rFonts w:ascii="Tahoma" w:hAnsi="Tahoma" w:cs="Tahoma"/>
          <w:sz w:val="20"/>
          <w:szCs w:val="22"/>
        </w:rPr>
        <w:t>CZ26774321</w:t>
      </w:r>
    </w:p>
    <w:p w14:paraId="22485E20" w14:textId="65AB71FB" w:rsidR="0051200A" w:rsidRPr="005711C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5711C7">
        <w:rPr>
          <w:rFonts w:ascii="Tahoma" w:hAnsi="Tahoma" w:cs="Tahoma"/>
          <w:sz w:val="20"/>
          <w:szCs w:val="22"/>
        </w:rPr>
        <w:t>b</w:t>
      </w:r>
      <w:r w:rsidR="009601F0" w:rsidRPr="005711C7">
        <w:rPr>
          <w:rFonts w:ascii="Tahoma" w:hAnsi="Tahoma" w:cs="Tahoma"/>
          <w:sz w:val="20"/>
          <w:szCs w:val="22"/>
        </w:rPr>
        <w:t>ankovní spojení:</w:t>
      </w:r>
      <w:r w:rsidR="009601F0" w:rsidRPr="005711C7">
        <w:rPr>
          <w:rFonts w:ascii="Tahoma" w:hAnsi="Tahoma" w:cs="Tahoma"/>
          <w:sz w:val="20"/>
          <w:szCs w:val="22"/>
        </w:rPr>
        <w:tab/>
      </w:r>
      <w:r w:rsidR="005711C7">
        <w:rPr>
          <w:rFonts w:ascii="Tahoma" w:hAnsi="Tahoma" w:cs="Tahoma"/>
          <w:sz w:val="20"/>
          <w:szCs w:val="22"/>
        </w:rPr>
        <w:t>Československá obchodní banka, a.s.</w:t>
      </w:r>
    </w:p>
    <w:p w14:paraId="4D4FB822" w14:textId="0AA637F3" w:rsidR="009601F0" w:rsidRPr="005711C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5711C7">
        <w:rPr>
          <w:rFonts w:ascii="Tahoma" w:hAnsi="Tahoma" w:cs="Tahoma"/>
          <w:sz w:val="20"/>
          <w:szCs w:val="22"/>
        </w:rPr>
        <w:t>č</w:t>
      </w:r>
      <w:r w:rsidR="009601F0" w:rsidRPr="005711C7">
        <w:rPr>
          <w:rFonts w:ascii="Tahoma" w:hAnsi="Tahoma" w:cs="Tahoma"/>
          <w:sz w:val="20"/>
          <w:szCs w:val="22"/>
        </w:rPr>
        <w:t>íslo účtu:</w:t>
      </w:r>
      <w:r w:rsidR="009601F0" w:rsidRPr="005711C7">
        <w:rPr>
          <w:rFonts w:ascii="Tahoma" w:hAnsi="Tahoma" w:cs="Tahoma"/>
          <w:sz w:val="20"/>
          <w:szCs w:val="22"/>
        </w:rPr>
        <w:tab/>
      </w:r>
      <w:proofErr w:type="spellStart"/>
      <w:r w:rsidR="006E6794">
        <w:rPr>
          <w:rFonts w:ascii="Tahoma" w:hAnsi="Tahoma" w:cs="Tahoma"/>
          <w:sz w:val="20"/>
          <w:szCs w:val="22"/>
        </w:rPr>
        <w:t>xxx</w:t>
      </w:r>
      <w:proofErr w:type="spellEnd"/>
    </w:p>
    <w:p w14:paraId="486F4A4B" w14:textId="5F23C8E5" w:rsidR="005711C7" w:rsidRDefault="009601F0" w:rsidP="005711C7">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5711C7">
        <w:rPr>
          <w:rFonts w:ascii="Tahoma" w:hAnsi="Tahoma" w:cs="Tahoma"/>
          <w:sz w:val="20"/>
          <w:szCs w:val="22"/>
        </w:rPr>
        <w:t xml:space="preserve">Zapsána v obchodním rejstříku vedeném </w:t>
      </w:r>
      <w:r w:rsidR="005711C7">
        <w:rPr>
          <w:rFonts w:ascii="Tahoma" w:hAnsi="Tahoma" w:cs="Tahoma"/>
          <w:sz w:val="20"/>
          <w:szCs w:val="22"/>
        </w:rPr>
        <w:t xml:space="preserve">Městským </w:t>
      </w:r>
      <w:r w:rsidR="000E5A82" w:rsidRPr="005711C7">
        <w:rPr>
          <w:rFonts w:ascii="Tahoma" w:hAnsi="Tahoma" w:cs="Tahoma"/>
          <w:iCs/>
          <w:sz w:val="20"/>
          <w:szCs w:val="20"/>
        </w:rPr>
        <w:t>soudem v </w:t>
      </w:r>
      <w:r w:rsidR="005711C7">
        <w:rPr>
          <w:rFonts w:ascii="Tahoma" w:hAnsi="Tahoma" w:cs="Tahoma"/>
          <w:iCs/>
          <w:sz w:val="20"/>
          <w:szCs w:val="20"/>
        </w:rPr>
        <w:t>Praze</w:t>
      </w:r>
      <w:r w:rsidR="000E5A82" w:rsidRPr="005711C7">
        <w:rPr>
          <w:rFonts w:ascii="Tahoma" w:hAnsi="Tahoma" w:cs="Tahoma"/>
          <w:iCs/>
          <w:sz w:val="20"/>
          <w:szCs w:val="20"/>
        </w:rPr>
        <w:t>, oddíl </w:t>
      </w:r>
      <w:r w:rsidR="005711C7">
        <w:rPr>
          <w:rFonts w:ascii="Tahoma" w:hAnsi="Tahoma" w:cs="Tahoma"/>
          <w:iCs/>
          <w:sz w:val="20"/>
          <w:szCs w:val="20"/>
        </w:rPr>
        <w:t>C,</w:t>
      </w:r>
      <w:r w:rsidR="000E5A82" w:rsidRPr="005711C7">
        <w:rPr>
          <w:rFonts w:ascii="Tahoma" w:hAnsi="Tahoma" w:cs="Tahoma"/>
          <w:iCs/>
          <w:sz w:val="20"/>
          <w:szCs w:val="20"/>
        </w:rPr>
        <w:t xml:space="preserve"> vložka </w:t>
      </w:r>
      <w:r w:rsidR="005711C7">
        <w:rPr>
          <w:rFonts w:ascii="Tahoma" w:hAnsi="Tahoma" w:cs="Tahoma"/>
          <w:iCs/>
          <w:sz w:val="20"/>
          <w:szCs w:val="20"/>
        </w:rPr>
        <w:t>92823</w:t>
      </w:r>
    </w:p>
    <w:p w14:paraId="70847084" w14:textId="708209A4" w:rsidR="0075678D" w:rsidRDefault="00AA5697" w:rsidP="005711C7">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D452C2">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33F66AA" w14:textId="77777777" w:rsidR="00810E99" w:rsidRPr="00B44200" w:rsidRDefault="00810E99" w:rsidP="00810E99">
      <w:pPr>
        <w:pStyle w:val="OdstavecSmlouvy"/>
        <w:keepLines w:val="0"/>
        <w:widowControl w:val="0"/>
        <w:tabs>
          <w:tab w:val="clear" w:pos="426"/>
          <w:tab w:val="clear" w:pos="1701"/>
        </w:tabs>
        <w:spacing w:before="120" w:after="0"/>
        <w:ind w:left="357"/>
        <w:rPr>
          <w:rFonts w:ascii="Tahoma" w:hAnsi="Tahoma" w:cs="Tahoma"/>
          <w:sz w:val="20"/>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2C621AC0"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0C5D35">
        <w:rPr>
          <w:rFonts w:ascii="Tahoma" w:hAnsi="Tahoma" w:cs="Tahoma"/>
          <w:b/>
          <w:bCs/>
          <w:sz w:val="20"/>
          <w:szCs w:val="20"/>
        </w:rPr>
        <w:t>Full HD video řetězec</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6C41C751" w14:textId="14DFBB40" w:rsidR="0004468F" w:rsidRPr="00B44200" w:rsidRDefault="00BB0AB3" w:rsidP="00B805D4">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B44200">
        <w:rPr>
          <w:rFonts w:ascii="Tahoma" w:hAnsi="Tahoma" w:cs="Tahoma"/>
          <w:sz w:val="20"/>
          <w:szCs w:val="20"/>
        </w:rPr>
        <w:t>Předmětem smlouvy</w:t>
      </w:r>
      <w:r w:rsidR="00066D69" w:rsidRPr="00B44200">
        <w:rPr>
          <w:rFonts w:ascii="Tahoma" w:hAnsi="Tahoma" w:cs="Tahoma"/>
          <w:sz w:val="20"/>
          <w:szCs w:val="20"/>
        </w:rPr>
        <w:t xml:space="preserve"> </w:t>
      </w:r>
      <w:r w:rsidR="00015E20" w:rsidRPr="00B44200">
        <w:rPr>
          <w:rFonts w:ascii="Tahoma" w:hAnsi="Tahoma" w:cs="Tahoma"/>
          <w:sz w:val="20"/>
          <w:szCs w:val="20"/>
        </w:rPr>
        <w:t>ve smyslu</w:t>
      </w:r>
      <w:r w:rsidR="00066D69" w:rsidRPr="00B44200">
        <w:rPr>
          <w:rFonts w:ascii="Tahoma" w:hAnsi="Tahoma" w:cs="Tahoma"/>
          <w:sz w:val="20"/>
          <w:szCs w:val="20"/>
        </w:rPr>
        <w:t xml:space="preserve"> odst. 1 tohoto článku smlouvy se rozumí</w:t>
      </w:r>
      <w:r w:rsidR="00B805D4" w:rsidRPr="00B44200">
        <w:rPr>
          <w:rFonts w:ascii="Tahoma" w:hAnsi="Tahoma" w:cs="Tahoma"/>
          <w:sz w:val="20"/>
          <w:szCs w:val="20"/>
        </w:rPr>
        <w:t xml:space="preserve">: </w:t>
      </w:r>
      <w:r w:rsidR="000C5D35">
        <w:rPr>
          <w:rFonts w:ascii="Tahoma" w:hAnsi="Tahoma" w:cs="Tahoma"/>
          <w:sz w:val="20"/>
          <w:szCs w:val="20"/>
        </w:rPr>
        <w:t>Full HD video řetězec</w:t>
      </w:r>
      <w:r w:rsidR="003F5A3A" w:rsidRPr="00B44200">
        <w:rPr>
          <w:rFonts w:ascii="Tahoma" w:hAnsi="Tahoma" w:cs="Tahoma"/>
          <w:b/>
          <w:sz w:val="20"/>
          <w:szCs w:val="20"/>
        </w:rPr>
        <w:t xml:space="preserve"> </w:t>
      </w:r>
      <w:r w:rsidR="00EA70E9" w:rsidRPr="00B44200">
        <w:rPr>
          <w:rFonts w:ascii="Tahoma" w:hAnsi="Tahoma" w:cs="Tahoma"/>
          <w:b/>
          <w:sz w:val="20"/>
          <w:szCs w:val="20"/>
        </w:rPr>
        <w:t>(</w:t>
      </w:r>
      <w:r w:rsidR="00E9155E" w:rsidRPr="00B44200">
        <w:rPr>
          <w:rFonts w:ascii="Tahoma" w:hAnsi="Tahoma" w:cs="Tahoma"/>
          <w:b/>
          <w:sz w:val="20"/>
          <w:szCs w:val="20"/>
        </w:rPr>
        <w:t>1</w:t>
      </w:r>
      <w:r w:rsidR="00EA70E9" w:rsidRPr="00B44200">
        <w:rPr>
          <w:rFonts w:ascii="Tahoma" w:hAnsi="Tahoma" w:cs="Tahoma"/>
          <w:b/>
          <w:sz w:val="20"/>
          <w:szCs w:val="20"/>
        </w:rPr>
        <w:t xml:space="preserve"> ks) </w:t>
      </w:r>
      <w:r w:rsidR="007E7AEA">
        <w:rPr>
          <w:rFonts w:ascii="Tahoma" w:hAnsi="Tahoma" w:cs="Tahoma"/>
          <w:b/>
          <w:sz w:val="20"/>
          <w:szCs w:val="20"/>
        </w:rPr>
        <w:t xml:space="preserve">Full HD video řetězec, </w:t>
      </w:r>
      <w:r w:rsidR="00B805D4" w:rsidRPr="00B44200">
        <w:rPr>
          <w:rFonts w:ascii="Tahoma" w:hAnsi="Tahoma" w:cs="Tahoma"/>
          <w:sz w:val="20"/>
          <w:szCs w:val="20"/>
        </w:rPr>
        <w:t xml:space="preserve">včetně příslušenství, dle specifikace uvedené v Příloze č. 1 této smlouvy. </w:t>
      </w:r>
      <w:r w:rsidRPr="00B44200">
        <w:rPr>
          <w:rFonts w:ascii="Tahoma" w:hAnsi="Tahoma" w:cs="Tahoma"/>
          <w:sz w:val="20"/>
          <w:szCs w:val="20"/>
        </w:rPr>
        <w:t xml:space="preserve">Předmět smlouvy </w:t>
      </w:r>
      <w:r w:rsidR="00066D69" w:rsidRPr="00B44200">
        <w:rPr>
          <w:rFonts w:ascii="Tahoma" w:hAnsi="Tahoma" w:cs="Tahoma"/>
          <w:sz w:val="20"/>
          <w:szCs w:val="20"/>
        </w:rPr>
        <w:t>musí být nov</w:t>
      </w:r>
      <w:r w:rsidR="0010619D" w:rsidRPr="00B44200">
        <w:rPr>
          <w:rFonts w:ascii="Tahoma" w:hAnsi="Tahoma" w:cs="Tahoma"/>
          <w:sz w:val="20"/>
          <w:szCs w:val="20"/>
        </w:rPr>
        <w:t>ý</w:t>
      </w:r>
      <w:r w:rsidR="00066D69" w:rsidRPr="00B44200">
        <w:rPr>
          <w:rFonts w:ascii="Tahoma" w:hAnsi="Tahoma" w:cs="Tahoma"/>
          <w:sz w:val="20"/>
          <w:szCs w:val="20"/>
        </w:rPr>
        <w:t xml:space="preserve"> </w:t>
      </w:r>
      <w:r w:rsidR="00066D69" w:rsidRPr="00B44200">
        <w:rPr>
          <w:rFonts w:ascii="Tahoma" w:hAnsi="Tahoma" w:cs="Tahoma"/>
          <w:color w:val="000000"/>
          <w:sz w:val="20"/>
          <w:szCs w:val="20"/>
        </w:rPr>
        <w:t>a</w:t>
      </w:r>
      <w:r w:rsidR="00633675" w:rsidRPr="00B44200">
        <w:rPr>
          <w:rFonts w:ascii="Tahoma" w:hAnsi="Tahoma" w:cs="Tahoma"/>
          <w:color w:val="000000"/>
          <w:sz w:val="20"/>
          <w:szCs w:val="20"/>
        </w:rPr>
        <w:t> </w:t>
      </w:r>
      <w:r w:rsidR="00066D69" w:rsidRPr="00B44200">
        <w:rPr>
          <w:rFonts w:ascii="Tahoma" w:hAnsi="Tahoma" w:cs="Tahoma"/>
          <w:color w:val="000000"/>
          <w:sz w:val="20"/>
          <w:szCs w:val="20"/>
        </w:rPr>
        <w:t>nepoužívan</w:t>
      </w:r>
      <w:r w:rsidR="0010619D" w:rsidRPr="00B44200">
        <w:rPr>
          <w:rFonts w:ascii="Tahoma" w:hAnsi="Tahoma" w:cs="Tahoma"/>
          <w:color w:val="000000"/>
          <w:sz w:val="20"/>
          <w:szCs w:val="20"/>
        </w:rPr>
        <w:t>ý</w:t>
      </w:r>
      <w:r w:rsidR="00066D69" w:rsidRPr="00B44200">
        <w:rPr>
          <w:rFonts w:ascii="Tahoma" w:hAnsi="Tahoma" w:cs="Tahoma"/>
          <w:color w:val="000000"/>
          <w:sz w:val="20"/>
          <w:szCs w:val="20"/>
        </w:rPr>
        <w:t>.</w:t>
      </w:r>
      <w:r w:rsidR="001F7674" w:rsidRPr="00B44200">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1A3ACA19" w:rsidR="00E9155E" w:rsidRPr="007E7AEA" w:rsidRDefault="007E7AEA" w:rsidP="003871B7">
            <w:pPr>
              <w:pStyle w:val="Zhlav"/>
              <w:spacing w:after="120" w:line="276" w:lineRule="auto"/>
              <w:ind w:left="425" w:hanging="425"/>
              <w:jc w:val="center"/>
              <w:rPr>
                <w:rFonts w:ascii="Tahoma" w:hAnsi="Tahoma" w:cs="Tahoma"/>
                <w:color w:val="000000"/>
                <w:sz w:val="20"/>
                <w:szCs w:val="18"/>
              </w:rPr>
            </w:pPr>
            <w:r w:rsidRPr="007E7AEA">
              <w:rPr>
                <w:rFonts w:ascii="Tahoma" w:hAnsi="Tahoma" w:cs="Tahoma"/>
                <w:color w:val="000000"/>
                <w:sz w:val="20"/>
                <w:szCs w:val="18"/>
              </w:rPr>
              <w:t xml:space="preserve">1.399.662,- </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71777401" w:rsidR="00E9155E" w:rsidRPr="007E7AEA" w:rsidRDefault="007E7AEA" w:rsidP="003871B7">
            <w:pPr>
              <w:pStyle w:val="Zhlav"/>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293.929,02</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5887243A" w:rsidR="00E9155E" w:rsidRPr="007E7AEA" w:rsidRDefault="007E7AEA" w:rsidP="003871B7">
            <w:pPr>
              <w:pStyle w:val="Zhlav"/>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7FF91740" w:rsidR="00E9155E" w:rsidRPr="007E7AEA" w:rsidRDefault="007E7AEA" w:rsidP="003871B7">
            <w:pPr>
              <w:pStyle w:val="Zhlav"/>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1.693.591,02</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0722B3AC"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11F56AB0"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B44200">
        <w:rPr>
          <w:rFonts w:ascii="Tahoma" w:hAnsi="Tahoma" w:cs="Tahoma"/>
          <w:sz w:val="20"/>
          <w:szCs w:val="22"/>
        </w:rPr>
        <w:t xml:space="preserve">pavilon V, </w:t>
      </w:r>
      <w:r w:rsidR="00672575">
        <w:rPr>
          <w:rFonts w:ascii="Tahoma" w:hAnsi="Tahoma" w:cs="Tahoma"/>
          <w:sz w:val="20"/>
          <w:szCs w:val="22"/>
        </w:rPr>
        <w:t>centrální operační sály</w:t>
      </w:r>
      <w:r w:rsidR="00E9155E">
        <w:rPr>
          <w:rFonts w:ascii="Tahoma" w:hAnsi="Tahoma" w:cs="Tahoma"/>
          <w:sz w:val="20"/>
          <w:szCs w:val="22"/>
        </w:rPr>
        <w:t>.</w:t>
      </w:r>
    </w:p>
    <w:p w14:paraId="26C852A8" w14:textId="27AAABCC"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672575">
        <w:rPr>
          <w:rFonts w:ascii="Tahoma" w:hAnsi="Tahoma" w:cs="Tahoma"/>
          <w:b/>
          <w:bCs/>
          <w:sz w:val="20"/>
          <w:szCs w:val="20"/>
        </w:rPr>
        <w:t>9</w:t>
      </w:r>
      <w:r w:rsidR="00E6187E">
        <w:rPr>
          <w:rFonts w:ascii="Tahoma" w:hAnsi="Tahoma" w:cs="Tahoma"/>
          <w:b/>
          <w:bCs/>
          <w:sz w:val="20"/>
          <w:szCs w:val="20"/>
        </w:rPr>
        <w:t>0 dnů ode dne nabytí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71FA8C62"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w:t>
      </w:r>
      <w:r w:rsidR="002B7EB6">
        <w:rPr>
          <w:rFonts w:ascii="Tahoma" w:hAnsi="Tahoma" w:cs="Tahoma"/>
          <w:sz w:val="20"/>
          <w:szCs w:val="22"/>
        </w:rPr>
        <w:lastRenderedPageBreak/>
        <w:t xml:space="preserve">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4200C04D"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6E6794">
        <w:rPr>
          <w:rFonts w:ascii="Tahoma" w:hAnsi="Tahoma" w:cs="Tahoma"/>
          <w:sz w:val="20"/>
          <w:szCs w:val="22"/>
        </w:rPr>
        <w:t>xxx</w:t>
      </w:r>
      <w:proofErr w:type="spellEnd"/>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25DFCFC3"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w:t>
      </w:r>
      <w:r w:rsidR="00D452C2">
        <w:rPr>
          <w:rFonts w:ascii="Tahoma" w:hAnsi="Tahoma" w:cs="Tahoma"/>
          <w:sz w:val="20"/>
          <w:szCs w:val="20"/>
        </w:rPr>
        <w:t xml:space="preserve">čl. V </w:t>
      </w:r>
      <w:r w:rsidRPr="00346E49">
        <w:rPr>
          <w:rFonts w:ascii="Tahoma" w:hAnsi="Tahoma" w:cs="Tahoma"/>
          <w:sz w:val="20"/>
          <w:szCs w:val="20"/>
        </w:rPr>
        <w:t xml:space="preserve">této smlouvy.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lastRenderedPageBreak/>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07C1C234"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E6187E">
        <w:rPr>
          <w:rFonts w:ascii="Tahoma" w:hAnsi="Tahoma" w:cs="Tahoma"/>
          <w:b/>
          <w:bCs/>
          <w:color w:val="000000"/>
          <w:sz w:val="19"/>
          <w:szCs w:val="19"/>
          <w:shd w:val="clear" w:color="auto" w:fill="FFFFFF"/>
        </w:rPr>
        <w:t>4</w:t>
      </w:r>
      <w:r w:rsidR="004437E9">
        <w:rPr>
          <w:rFonts w:ascii="Tahoma" w:hAnsi="Tahoma" w:cs="Tahoma"/>
          <w:b/>
          <w:bCs/>
          <w:color w:val="000000"/>
          <w:sz w:val="19"/>
          <w:szCs w:val="19"/>
          <w:shd w:val="clear" w:color="auto" w:fill="FFFFFF"/>
        </w:rPr>
        <w:t>/</w:t>
      </w:r>
      <w:r w:rsidR="00672575">
        <w:rPr>
          <w:rFonts w:ascii="Tahoma" w:hAnsi="Tahoma" w:cs="Tahoma"/>
          <w:b/>
          <w:bCs/>
          <w:color w:val="000000"/>
          <w:sz w:val="19"/>
          <w:szCs w:val="19"/>
          <w:shd w:val="clear" w:color="auto" w:fill="FFFFFF"/>
        </w:rPr>
        <w:t>29</w:t>
      </w:r>
      <w:r w:rsidR="009439E0" w:rsidRPr="00A71287">
        <w:rPr>
          <w:rFonts w:ascii="Verdana" w:hAnsi="Verdana"/>
          <w:b/>
          <w:sz w:val="18"/>
          <w:szCs w:val="18"/>
        </w:rPr>
        <w:t>)</w:t>
      </w:r>
      <w:r w:rsidR="009439E0">
        <w:rPr>
          <w:rFonts w:ascii="Verdana" w:hAnsi="Verdana"/>
          <w:b/>
          <w:sz w:val="18"/>
          <w:szCs w:val="18"/>
        </w:rPr>
        <w:t>.</w:t>
      </w:r>
    </w:p>
    <w:p w14:paraId="5DF10A1E" w14:textId="28266D91"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6E6794">
        <w:t>xxx</w:t>
      </w:r>
      <w:proofErr w:type="spellEnd"/>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38695311"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7E7AEA">
        <w:rPr>
          <w:rFonts w:ascii="Tahoma" w:hAnsi="Tahoma" w:cs="Tahoma"/>
          <w:sz w:val="20"/>
          <w:szCs w:val="22"/>
        </w:rPr>
        <w:t> </w:t>
      </w:r>
      <w:r w:rsidRPr="00633675">
        <w:rPr>
          <w:rFonts w:ascii="Tahoma" w:hAnsi="Tahoma" w:cs="Tahoma"/>
          <w:sz w:val="20"/>
          <w:szCs w:val="22"/>
        </w:rPr>
        <w:t>délce</w:t>
      </w:r>
      <w:r w:rsidR="007E7AEA">
        <w:rPr>
          <w:rFonts w:ascii="Tahoma" w:hAnsi="Tahoma" w:cs="Tahoma"/>
          <w:sz w:val="20"/>
          <w:szCs w:val="22"/>
        </w:rPr>
        <w:t xml:space="preserve"> 24</w:t>
      </w:r>
      <w:r>
        <w:rPr>
          <w:rFonts w:ascii="Tahoma" w:hAnsi="Tahoma" w:cs="Tahoma"/>
          <w:sz w:val="20"/>
          <w:szCs w:val="22"/>
        </w:rPr>
        <w:t xml:space="preserve"> 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05DBB40D"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w:t>
      </w:r>
      <w:r w:rsidR="00D452C2">
        <w:rPr>
          <w:rFonts w:ascii="Tahoma" w:hAnsi="Tahoma" w:cs="Tahoma"/>
          <w:sz w:val="20"/>
          <w:szCs w:val="20"/>
        </w:rPr>
        <w:t>9</w:t>
      </w:r>
      <w:r w:rsidRPr="00633675">
        <w:rPr>
          <w:rFonts w:ascii="Tahoma" w:hAnsi="Tahoma" w:cs="Tahoma"/>
          <w:sz w:val="20"/>
          <w:szCs w:val="20"/>
        </w:rPr>
        <w:t xml:space="preserve">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3" w:name="_Hlk81509058"/>
      <w:bookmarkEnd w:id="12"/>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3"/>
    </w:p>
    <w:p w14:paraId="78CA7C1A" w14:textId="712A1ED8"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 xml:space="preserve">V případě neuznaného záručního i pozáručního servisu je </w:t>
      </w:r>
      <w:r w:rsidR="00B44200">
        <w:rPr>
          <w:rFonts w:ascii="Tahoma" w:hAnsi="Tahoma" w:cs="Tahoma"/>
          <w:sz w:val="20"/>
          <w:szCs w:val="18"/>
        </w:rPr>
        <w:t>prodávající</w:t>
      </w:r>
      <w:r w:rsidRPr="00145B94">
        <w:rPr>
          <w:rFonts w:ascii="Tahoma" w:hAnsi="Tahoma" w:cs="Tahoma"/>
          <w:sz w:val="20"/>
          <w:szCs w:val="18"/>
        </w:rPr>
        <w:t xml:space="preserve">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4"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2378AD43" w:rsidR="0023764F" w:rsidRPr="00633675" w:rsidRDefault="006E6794"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5"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4"/>
    <w:bookmarkEnd w:id="15"/>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6" w:name="_Hlk81510601"/>
      <w:r w:rsidR="00453F1A" w:rsidRPr="00F04C78">
        <w:rPr>
          <w:rFonts w:ascii="Tahoma" w:hAnsi="Tahoma" w:cs="Tahoma"/>
          <w:sz w:val="20"/>
          <w:szCs w:val="22"/>
        </w:rPr>
        <w:t xml:space="preserve"> </w:t>
      </w:r>
    </w:p>
    <w:bookmarkEnd w:id="16"/>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290"/>
      <w:r w:rsidRPr="008A15AE">
        <w:rPr>
          <w:rFonts w:ascii="Tahoma" w:hAnsi="Tahoma" w:cs="Tahoma"/>
          <w:sz w:val="20"/>
          <w:szCs w:val="20"/>
        </w:rPr>
        <w:lastRenderedPageBreak/>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7"/>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8"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8"/>
    <w:p w14:paraId="2FE5AA89" w14:textId="77777777" w:rsidR="00475517" w:rsidRPr="00475517" w:rsidRDefault="00475517" w:rsidP="00475517">
      <w:pPr>
        <w:pStyle w:val="Import16"/>
        <w:numPr>
          <w:ilvl w:val="0"/>
          <w:numId w:val="6"/>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5CC2C24F"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lastRenderedPageBreak/>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8403EA">
        <w:rPr>
          <w:rFonts w:ascii="Tahoma" w:hAnsi="Tahoma" w:cs="Tahoma"/>
          <w:caps w:val="0"/>
          <w:sz w:val="20"/>
          <w:szCs w:val="22"/>
        </w:rPr>
        <w:t>Ustanovení o kybernetické bezpečnosti</w:t>
      </w:r>
    </w:p>
    <w:p w14:paraId="5D2E80E9" w14:textId="1E8A26FA" w:rsidR="00D83A06" w:rsidRPr="0022632C" w:rsidRDefault="00B44200" w:rsidP="00E9155E">
      <w:pPr>
        <w:pStyle w:val="lnek-slovantext"/>
        <w:numPr>
          <w:ilvl w:val="0"/>
          <w:numId w:val="56"/>
        </w:numPr>
        <w:tabs>
          <w:tab w:val="clear" w:pos="502"/>
        </w:tabs>
        <w:spacing w:before="0" w:after="80" w:line="276" w:lineRule="auto"/>
        <w:ind w:left="426" w:hanging="426"/>
        <w:jc w:val="both"/>
        <w:rPr>
          <w:rFonts w:ascii="Tahoma" w:hAnsi="Tahoma" w:cs="Tahoma"/>
          <w:sz w:val="20"/>
          <w:szCs w:val="20"/>
        </w:rPr>
      </w:pPr>
      <w:bookmarkStart w:id="19" w:name="_Hlk117676012"/>
      <w:r>
        <w:rPr>
          <w:rFonts w:ascii="Tahoma" w:hAnsi="Tahoma" w:cs="Tahoma"/>
          <w:sz w:val="20"/>
          <w:szCs w:val="20"/>
        </w:rPr>
        <w:t>Prodávající</w:t>
      </w:r>
      <w:r w:rsidR="00D83A06" w:rsidRPr="0022632C">
        <w:rPr>
          <w:rFonts w:ascii="Tahoma" w:hAnsi="Tahoma" w:cs="Tahoma"/>
          <w:sz w:val="20"/>
          <w:szCs w:val="20"/>
        </w:rPr>
        <w:t xml:space="preserve"> bere na vědomí, že </w:t>
      </w:r>
      <w:r w:rsidR="00810E99">
        <w:rPr>
          <w:rFonts w:ascii="Tahoma" w:hAnsi="Tahoma" w:cs="Tahoma"/>
          <w:sz w:val="20"/>
          <w:szCs w:val="20"/>
        </w:rPr>
        <w:t>Kupující</w:t>
      </w:r>
      <w:r w:rsidR="00D83A06"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9"/>
    <w:p w14:paraId="5C143FB0" w14:textId="4D525920"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B44200">
        <w:rPr>
          <w:rFonts w:ascii="Tahoma" w:hAnsi="Tahoma" w:cs="Tahoma"/>
          <w:sz w:val="20"/>
          <w:szCs w:val="20"/>
        </w:rPr>
        <w:t>Prodávající</w:t>
      </w:r>
      <w:r w:rsidRPr="0022632C">
        <w:rPr>
          <w:rFonts w:ascii="Tahoma" w:hAnsi="Tahoma" w:cs="Tahoma"/>
          <w:sz w:val="20"/>
          <w:szCs w:val="20"/>
        </w:rPr>
        <w:t xml:space="preserve">m dodávka techniky připojené do interní datové sítě </w:t>
      </w:r>
      <w:r w:rsidR="00810E99">
        <w:rPr>
          <w:rFonts w:ascii="Tahoma" w:hAnsi="Tahoma" w:cs="Tahoma"/>
          <w:sz w:val="20"/>
          <w:szCs w:val="20"/>
        </w:rPr>
        <w:t>Kupujícího</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 xml:space="preserve">nebo pokud bude vyžadovat </w:t>
      </w:r>
      <w:r w:rsidR="00B44200">
        <w:rPr>
          <w:rFonts w:ascii="Tahoma" w:hAnsi="Tahoma" w:cs="Tahoma"/>
          <w:sz w:val="20"/>
          <w:szCs w:val="20"/>
        </w:rPr>
        <w:t>Prodávající</w:t>
      </w:r>
      <w:r w:rsidRPr="0022632C">
        <w:rPr>
          <w:rFonts w:ascii="Tahoma" w:hAnsi="Tahoma" w:cs="Tahoma"/>
          <w:sz w:val="20"/>
          <w:szCs w:val="20"/>
        </w:rPr>
        <w:t xml:space="preserve"> přístup k dodávané technice přes datovou síť </w:t>
      </w:r>
      <w:r w:rsidR="00810E99">
        <w:rPr>
          <w:rFonts w:ascii="Tahoma" w:hAnsi="Tahoma" w:cs="Tahoma"/>
          <w:sz w:val="20"/>
          <w:szCs w:val="20"/>
        </w:rPr>
        <w:t>Kupujícího</w:t>
      </w:r>
      <w:r w:rsidRPr="0022632C">
        <w:rPr>
          <w:rFonts w:ascii="Tahoma" w:hAnsi="Tahoma" w:cs="Tahoma"/>
          <w:sz w:val="20"/>
          <w:szCs w:val="20"/>
        </w:rPr>
        <w:t xml:space="preserve">, přihlášení </w:t>
      </w:r>
      <w:r w:rsidR="00B44200">
        <w:rPr>
          <w:rFonts w:ascii="Tahoma" w:hAnsi="Tahoma" w:cs="Tahoma"/>
          <w:sz w:val="20"/>
          <w:szCs w:val="20"/>
        </w:rPr>
        <w:t>Prodávajícího</w:t>
      </w:r>
      <w:r w:rsidRPr="0022632C">
        <w:rPr>
          <w:rFonts w:ascii="Tahoma" w:hAnsi="Tahoma" w:cs="Tahoma"/>
          <w:sz w:val="20"/>
          <w:szCs w:val="20"/>
        </w:rPr>
        <w:t xml:space="preserve"> do sítě </w:t>
      </w:r>
      <w:r w:rsidR="00810E99">
        <w:rPr>
          <w:rFonts w:ascii="Tahoma" w:hAnsi="Tahoma" w:cs="Tahoma"/>
          <w:sz w:val="20"/>
          <w:szCs w:val="20"/>
        </w:rPr>
        <w:t>Kupujícího</w:t>
      </w:r>
      <w:r w:rsidRPr="0022632C">
        <w:rPr>
          <w:rFonts w:ascii="Tahoma" w:hAnsi="Tahoma" w:cs="Tahoma"/>
          <w:sz w:val="20"/>
          <w:szCs w:val="20"/>
        </w:rPr>
        <w:t xml:space="preserve"> musí podléhat kontrole přístupu na základě autorizace po předchozí autentizaci. </w:t>
      </w:r>
      <w:r w:rsidR="00B44200">
        <w:rPr>
          <w:rFonts w:ascii="Tahoma" w:hAnsi="Tahoma" w:cs="Tahoma"/>
          <w:sz w:val="20"/>
          <w:szCs w:val="20"/>
        </w:rPr>
        <w:t>Prodávající</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810E99">
        <w:rPr>
          <w:rFonts w:ascii="Tahoma" w:hAnsi="Tahoma" w:cs="Tahoma"/>
          <w:sz w:val="20"/>
          <w:szCs w:val="20"/>
        </w:rPr>
        <w:t>Kupujícího</w:t>
      </w:r>
      <w:r w:rsidRPr="0022632C">
        <w:rPr>
          <w:rFonts w:ascii="Tahoma" w:hAnsi="Tahoma" w:cs="Tahoma"/>
          <w:sz w:val="20"/>
          <w:szCs w:val="20"/>
        </w:rPr>
        <w:t>. </w:t>
      </w:r>
      <w:r w:rsidR="00B44200">
        <w:rPr>
          <w:rFonts w:ascii="Tahoma" w:hAnsi="Tahoma" w:cs="Tahoma"/>
          <w:sz w:val="20"/>
          <w:szCs w:val="20"/>
        </w:rPr>
        <w:t>Prodávající</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sidR="00B44200">
        <w:rPr>
          <w:rFonts w:ascii="Tahoma" w:hAnsi="Tahoma" w:cs="Tahoma"/>
          <w:sz w:val="20"/>
          <w:szCs w:val="20"/>
        </w:rPr>
        <w:t>Prodávající</w:t>
      </w:r>
      <w:r w:rsidRPr="0022632C">
        <w:rPr>
          <w:rFonts w:ascii="Tahoma" w:hAnsi="Tahoma" w:cs="Tahoma"/>
          <w:sz w:val="20"/>
          <w:szCs w:val="20"/>
        </w:rPr>
        <w:t xml:space="preserve"> se zavazuje, že udělený VPN přístup nesmí být sdílen více zaměstnanci </w:t>
      </w:r>
      <w:r w:rsidR="00B44200">
        <w:rPr>
          <w:rFonts w:ascii="Tahoma" w:hAnsi="Tahoma" w:cs="Tahoma"/>
          <w:sz w:val="20"/>
          <w:szCs w:val="20"/>
        </w:rPr>
        <w:t>Prodávajícího</w:t>
      </w:r>
      <w:r w:rsidRPr="0022632C">
        <w:rPr>
          <w:rFonts w:ascii="Tahoma" w:hAnsi="Tahoma" w:cs="Tahoma"/>
          <w:sz w:val="20"/>
          <w:szCs w:val="20"/>
        </w:rPr>
        <w:t xml:space="preserve"> nebo pod</w:t>
      </w:r>
      <w:r w:rsidR="00B44200">
        <w:rPr>
          <w:rFonts w:ascii="Tahoma" w:hAnsi="Tahoma" w:cs="Tahoma"/>
          <w:sz w:val="20"/>
          <w:szCs w:val="20"/>
        </w:rPr>
        <w:t xml:space="preserve"> Prodávajícím</w:t>
      </w:r>
      <w:r w:rsidRPr="0022632C">
        <w:rPr>
          <w:rFonts w:ascii="Tahoma" w:hAnsi="Tahoma" w:cs="Tahoma"/>
          <w:sz w:val="20"/>
          <w:szCs w:val="20"/>
        </w:rPr>
        <w:t xml:space="preserve">.  Pravidla VPN přístupu budou řešena samostatnou smlouvou, která musí být uzavřena před udělením VPN přístupu </w:t>
      </w:r>
      <w:r w:rsidR="00B44200">
        <w:rPr>
          <w:rFonts w:ascii="Tahoma" w:hAnsi="Tahoma" w:cs="Tahoma"/>
          <w:sz w:val="20"/>
          <w:szCs w:val="20"/>
        </w:rPr>
        <w:t>Prodávajícího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všechna zařízení připojená do datové sítě </w:t>
      </w:r>
      <w:r w:rsidR="00810E99">
        <w:rPr>
          <w:rFonts w:ascii="Tahoma" w:hAnsi="Tahoma" w:cs="Tahoma"/>
          <w:sz w:val="20"/>
          <w:szCs w:val="20"/>
        </w:rPr>
        <w:t>Kupujícího</w:t>
      </w:r>
      <w:r w:rsidRPr="0022632C">
        <w:rPr>
          <w:rFonts w:ascii="Tahoma" w:hAnsi="Tahoma" w:cs="Tahoma"/>
          <w:sz w:val="20"/>
          <w:szCs w:val="20"/>
        </w:rPr>
        <w:t xml:space="preserve">, budou disponovat aktualizovaným výrobcem podporovaným operačním systémem, aktualizovaným antivirovým programem s nejnovějšími signaturami, a pokud to bude možné, budou připojena do domény </w:t>
      </w:r>
      <w:r w:rsidR="00810E99">
        <w:rPr>
          <w:rFonts w:ascii="Tahoma" w:hAnsi="Tahoma" w:cs="Tahoma"/>
          <w:sz w:val="20"/>
          <w:szCs w:val="20"/>
        </w:rPr>
        <w:t>Kupující</w:t>
      </w:r>
      <w:r w:rsidRPr="0022632C">
        <w:rPr>
          <w:rFonts w:ascii="Tahoma" w:hAnsi="Tahoma" w:cs="Tahoma"/>
          <w:sz w:val="20"/>
          <w:szCs w:val="20"/>
        </w:rPr>
        <w:t xml:space="preserve">, která na zařízeních prosadí bezpečnostní politiku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810E99">
        <w:rPr>
          <w:rFonts w:ascii="Tahoma" w:hAnsi="Tahoma" w:cs="Tahoma"/>
          <w:sz w:val="20"/>
          <w:szCs w:val="20"/>
        </w:rPr>
        <w:t>Kupujícího</w:t>
      </w:r>
      <w:r w:rsidRPr="0022632C">
        <w:rPr>
          <w:rFonts w:ascii="Tahoma" w:hAnsi="Tahoma" w:cs="Tahoma"/>
          <w:sz w:val="20"/>
          <w:szCs w:val="20"/>
        </w:rPr>
        <w:t xml:space="preserve">. Pokud nebude možné dodržet výše uvedená pravidla, může </w:t>
      </w:r>
      <w:r w:rsidR="00810E99">
        <w:rPr>
          <w:rFonts w:ascii="Tahoma" w:hAnsi="Tahoma" w:cs="Tahoma"/>
          <w:sz w:val="20"/>
          <w:szCs w:val="20"/>
        </w:rPr>
        <w:t>Kupující</w:t>
      </w:r>
      <w:r w:rsidRPr="0022632C">
        <w:rPr>
          <w:rFonts w:ascii="Tahoma" w:hAnsi="Tahoma" w:cs="Tahoma"/>
          <w:sz w:val="20"/>
          <w:szCs w:val="20"/>
        </w:rPr>
        <w:t xml:space="preserve"> ve výjimečném případě dle požadavku </w:t>
      </w:r>
      <w:r w:rsidR="00B44200">
        <w:rPr>
          <w:rFonts w:ascii="Tahoma" w:hAnsi="Tahoma" w:cs="Tahoma"/>
          <w:sz w:val="20"/>
          <w:szCs w:val="20"/>
        </w:rPr>
        <w:t>Prodávajícího</w:t>
      </w:r>
      <w:r w:rsidRPr="0022632C">
        <w:rPr>
          <w:rFonts w:ascii="Tahoma" w:hAnsi="Tahoma" w:cs="Tahoma"/>
          <w:sz w:val="20"/>
          <w:szCs w:val="20"/>
        </w:rPr>
        <w:t xml:space="preserve"> zřídit VPN přístup k síťovému zařízení, které bude na vyhrazené datové síti striktně oddělené od interní sítě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sidR="00B44200">
        <w:rPr>
          <w:rFonts w:ascii="Tahoma" w:hAnsi="Tahoma" w:cs="Tahoma"/>
          <w:sz w:val="20"/>
          <w:szCs w:val="20"/>
        </w:rPr>
        <w:t>Prodávající</w:t>
      </w:r>
      <w:r w:rsidRPr="0022632C">
        <w:rPr>
          <w:rFonts w:ascii="Tahoma" w:hAnsi="Tahoma" w:cs="Tahoma"/>
          <w:sz w:val="20"/>
          <w:szCs w:val="20"/>
        </w:rPr>
        <w:t xml:space="preserve"> se zavazuje, že bude dodržovat a nebude konat v rozporu s bezpečnostními politikami </w:t>
      </w:r>
      <w:r w:rsidR="00810E99">
        <w:rPr>
          <w:rFonts w:ascii="Tahoma" w:hAnsi="Tahoma" w:cs="Tahoma"/>
          <w:sz w:val="20"/>
          <w:szCs w:val="20"/>
        </w:rPr>
        <w:t>Kupujícího</w:t>
      </w:r>
      <w:r w:rsidRPr="0022632C">
        <w:rPr>
          <w:rFonts w:ascii="Tahoma" w:hAnsi="Tahoma" w:cs="Tahoma"/>
          <w:sz w:val="20"/>
          <w:szCs w:val="20"/>
        </w:rPr>
        <w:t xml:space="preserve">. Bezpečnostní politika </w:t>
      </w:r>
      <w:r w:rsidR="00810E99">
        <w:rPr>
          <w:rFonts w:ascii="Tahoma" w:hAnsi="Tahoma" w:cs="Tahoma"/>
          <w:sz w:val="20"/>
          <w:szCs w:val="20"/>
        </w:rPr>
        <w:t>Kupujícího</w:t>
      </w:r>
      <w:r w:rsidRPr="0022632C">
        <w:rPr>
          <w:rFonts w:ascii="Tahoma" w:hAnsi="Tahoma" w:cs="Tahoma"/>
          <w:sz w:val="20"/>
          <w:szCs w:val="20"/>
        </w:rPr>
        <w:t xml:space="preserve"> bude předložena na žádost </w:t>
      </w:r>
      <w:r w:rsidR="00B44200">
        <w:rPr>
          <w:rFonts w:ascii="Tahoma" w:hAnsi="Tahoma" w:cs="Tahoma"/>
          <w:sz w:val="20"/>
          <w:szCs w:val="20"/>
        </w:rPr>
        <w:t>Prodávajícího</w:t>
      </w:r>
      <w:r w:rsidRPr="0022632C">
        <w:rPr>
          <w:rFonts w:ascii="Tahoma" w:hAnsi="Tahoma" w:cs="Tahoma"/>
          <w:sz w:val="20"/>
          <w:szCs w:val="20"/>
        </w:rPr>
        <w:t>.</w:t>
      </w:r>
    </w:p>
    <w:p w14:paraId="0FDC2300" w14:textId="21AAF11E" w:rsidR="00D83A06" w:rsidRPr="0022632C" w:rsidRDefault="00810E99"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sidR="00B44200">
        <w:rPr>
          <w:rFonts w:ascii="Tahoma" w:hAnsi="Tahoma" w:cs="Tahoma"/>
          <w:sz w:val="20"/>
          <w:szCs w:val="20"/>
        </w:rPr>
        <w:t>Prodávající</w:t>
      </w:r>
      <w:r w:rsidR="00D83A06" w:rsidRPr="0022632C">
        <w:rPr>
          <w:rFonts w:ascii="Tahoma" w:hAnsi="Tahoma" w:cs="Tahoma"/>
          <w:sz w:val="20"/>
          <w:szCs w:val="20"/>
        </w:rPr>
        <w:t xml:space="preserve"> se zavazuje poskytnout </w:t>
      </w:r>
      <w:r>
        <w:rPr>
          <w:rFonts w:ascii="Tahoma" w:hAnsi="Tahoma" w:cs="Tahoma"/>
          <w:sz w:val="20"/>
          <w:szCs w:val="20"/>
        </w:rPr>
        <w:t>Kupujícímu</w:t>
      </w:r>
      <w:r w:rsidR="00D83A06" w:rsidRPr="0022632C">
        <w:rPr>
          <w:rFonts w:ascii="Tahoma" w:hAnsi="Tahoma" w:cs="Tahoma"/>
          <w:sz w:val="20"/>
          <w:szCs w:val="20"/>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sidR="00B44200">
        <w:rPr>
          <w:rFonts w:ascii="Tahoma" w:hAnsi="Tahoma" w:cs="Tahoma"/>
          <w:sz w:val="20"/>
          <w:szCs w:val="20"/>
        </w:rPr>
        <w:t>Prodávající</w:t>
      </w:r>
      <w:r w:rsidR="00D83A06" w:rsidRPr="0022632C">
        <w:rPr>
          <w:rFonts w:ascii="Tahoma" w:hAnsi="Tahoma" w:cs="Tahoma"/>
          <w:sz w:val="20"/>
          <w:szCs w:val="20"/>
        </w:rPr>
        <w:t xml:space="preserve"> </w:t>
      </w:r>
      <w:r>
        <w:rPr>
          <w:rFonts w:ascii="Tahoma" w:hAnsi="Tahoma" w:cs="Tahoma"/>
          <w:sz w:val="20"/>
          <w:szCs w:val="20"/>
        </w:rPr>
        <w:t>Kupujícímu</w:t>
      </w:r>
      <w:r w:rsidR="00D83A06" w:rsidRPr="0022632C">
        <w:rPr>
          <w:rFonts w:ascii="Tahoma" w:hAnsi="Tahoma" w:cs="Tahoma"/>
          <w:sz w:val="20"/>
          <w:szCs w:val="20"/>
        </w:rPr>
        <w:t xml:space="preserve"> veškerou potřebnou součinnost. </w:t>
      </w:r>
      <w:r w:rsidR="00B44200">
        <w:rPr>
          <w:rFonts w:ascii="Tahoma" w:hAnsi="Tahoma" w:cs="Tahoma"/>
          <w:sz w:val="20"/>
          <w:szCs w:val="20"/>
        </w:rPr>
        <w:t>Prodávající</w:t>
      </w:r>
      <w:r w:rsidR="00D83A06" w:rsidRPr="0022632C">
        <w:rPr>
          <w:rFonts w:ascii="Tahoma" w:hAnsi="Tahoma" w:cs="Tahoma"/>
          <w:sz w:val="20"/>
          <w:szCs w:val="20"/>
        </w:rPr>
        <w:t xml:space="preserve"> je povinen přijmout dodatečná, účinná nápravná opatření k odstranění zranitelností.</w:t>
      </w:r>
    </w:p>
    <w:p w14:paraId="0B37653C" w14:textId="1BB650CC" w:rsidR="00D83A06" w:rsidRPr="0022632C" w:rsidRDefault="00B44200"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6733650B" w14:textId="759DFB80"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lastRenderedPageBreak/>
        <w:t xml:space="preserve">Povinnost ochrany neveřejných a chráněných informací trvá bez ohledu na ukončení účinnosti plnění dle smlouvy. V případě jakéhokoliv ukončení smlouvy se </w:t>
      </w:r>
      <w:r w:rsidR="00B44200">
        <w:rPr>
          <w:rFonts w:ascii="Tahoma" w:hAnsi="Tahoma" w:cs="Tahoma"/>
          <w:sz w:val="20"/>
          <w:szCs w:val="20"/>
        </w:rPr>
        <w:t>Prodávající</w:t>
      </w:r>
      <w:r w:rsidRPr="0022632C">
        <w:rPr>
          <w:rFonts w:ascii="Tahoma" w:hAnsi="Tahoma" w:cs="Tahoma"/>
          <w:sz w:val="20"/>
          <w:szCs w:val="20"/>
        </w:rPr>
        <w:t xml:space="preserve"> zavazuje splnit tyto povinnosti: </w:t>
      </w:r>
    </w:p>
    <w:p w14:paraId="39B84451" w14:textId="73B62BD5"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sidR="00B44200">
        <w:rPr>
          <w:rFonts w:ascii="Tahoma" w:hAnsi="Tahoma" w:cs="Tahoma"/>
          <w:sz w:val="20"/>
          <w:szCs w:val="20"/>
        </w:rPr>
        <w:t>Prodávajícímu</w:t>
      </w:r>
      <w:r w:rsidRPr="0022632C">
        <w:rPr>
          <w:rFonts w:ascii="Tahoma" w:hAnsi="Tahoma" w:cs="Tahoma"/>
          <w:sz w:val="20"/>
          <w:szCs w:val="20"/>
        </w:rPr>
        <w:t xml:space="preserve"> nebo </w:t>
      </w:r>
      <w:r w:rsidR="00810E99">
        <w:rPr>
          <w:rFonts w:ascii="Tahoma" w:hAnsi="Tahoma" w:cs="Tahoma"/>
          <w:sz w:val="20"/>
          <w:szCs w:val="20"/>
        </w:rPr>
        <w:t>Kupujícímu</w:t>
      </w:r>
      <w:r w:rsidRPr="0022632C">
        <w:rPr>
          <w:rFonts w:ascii="Tahoma" w:hAnsi="Tahoma" w:cs="Tahoma"/>
          <w:sz w:val="20"/>
          <w:szCs w:val="20"/>
        </w:rPr>
        <w:t xml:space="preserve">, a to v souladu s exit plánem vytvořeným v rámci prováděcího (implementačního) projektu, </w:t>
      </w:r>
    </w:p>
    <w:p w14:paraId="6D21B1C9" w14:textId="2EBC7E4B"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sidR="00B44200">
        <w:rPr>
          <w:rFonts w:ascii="Tahoma" w:hAnsi="Tahoma" w:cs="Tahoma"/>
          <w:sz w:val="20"/>
          <w:szCs w:val="20"/>
        </w:rPr>
        <w:t>Prodávající</w:t>
      </w:r>
      <w:r w:rsidRPr="0022632C">
        <w:rPr>
          <w:rFonts w:ascii="Tahoma" w:hAnsi="Tahoma" w:cs="Tahoma"/>
          <w:sz w:val="20"/>
          <w:szCs w:val="20"/>
        </w:rPr>
        <w:t xml:space="preserve">m nebo </w:t>
      </w:r>
      <w:r w:rsidR="00810E99">
        <w:rPr>
          <w:rFonts w:ascii="Tahoma" w:hAnsi="Tahoma" w:cs="Tahoma"/>
          <w:sz w:val="20"/>
          <w:szCs w:val="20"/>
        </w:rPr>
        <w:t>Kupující</w:t>
      </w:r>
      <w:r w:rsidRPr="0022632C">
        <w:rPr>
          <w:rFonts w:ascii="Tahoma" w:hAnsi="Tahoma" w:cs="Tahoma"/>
          <w:sz w:val="20"/>
          <w:szCs w:val="20"/>
        </w:rPr>
        <w:t xml:space="preserv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6F42B68C" w:rsidR="00D83A06" w:rsidRPr="0022632C" w:rsidRDefault="00B44200"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620B2581" w14:textId="6800A5A1" w:rsidR="00D83A06" w:rsidRPr="0022632C" w:rsidRDefault="00B44200"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sidR="00D83A06">
        <w:rPr>
          <w:rFonts w:ascii="Tahoma" w:hAnsi="Tahoma" w:cs="Tahoma"/>
          <w:sz w:val="20"/>
          <w:szCs w:val="20"/>
        </w:rPr>
        <w:t xml:space="preserve"> </w:t>
      </w:r>
      <w:r w:rsidR="00D83A06" w:rsidRPr="0022632C">
        <w:rPr>
          <w:rFonts w:ascii="Tahoma" w:hAnsi="Tahoma" w:cs="Tahoma"/>
          <w:sz w:val="20"/>
          <w:szCs w:val="20"/>
        </w:rPr>
        <w:t>4 vyhlášky o kybernetické bezpečnosti. O likvidaci dat bude proveden záznam.</w:t>
      </w:r>
    </w:p>
    <w:p w14:paraId="60AAB056" w14:textId="547861A4" w:rsidR="00D83A06" w:rsidRPr="0022632C" w:rsidRDefault="00810E99"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je dále oprávněn od smlouvy odstoupit v případech, že dojde k významné změně kontroly nad </w:t>
      </w:r>
      <w:r w:rsidR="00B44200">
        <w:rPr>
          <w:rFonts w:ascii="Tahoma" w:hAnsi="Tahoma" w:cs="Tahoma"/>
          <w:sz w:val="20"/>
          <w:szCs w:val="20"/>
        </w:rPr>
        <w:t>Prodávající</w:t>
      </w:r>
      <w:r w:rsidR="00D83A06" w:rsidRPr="0022632C">
        <w:rPr>
          <w:rFonts w:ascii="Tahoma" w:hAnsi="Tahoma" w:cs="Tahoma"/>
          <w:sz w:val="20"/>
          <w:szCs w:val="20"/>
        </w:rPr>
        <w:t xml:space="preserve">m nebo změně kontroly nad zásadními aktivy využívanými </w:t>
      </w:r>
      <w:r w:rsidR="00B44200">
        <w:rPr>
          <w:rFonts w:ascii="Tahoma" w:hAnsi="Tahoma" w:cs="Tahoma"/>
          <w:sz w:val="20"/>
          <w:szCs w:val="20"/>
        </w:rPr>
        <w:t>Prodávající</w:t>
      </w:r>
      <w:r w:rsidR="00D83A06" w:rsidRPr="0022632C">
        <w:rPr>
          <w:rFonts w:ascii="Tahoma" w:hAnsi="Tahoma" w:cs="Tahoma"/>
          <w:sz w:val="20"/>
          <w:szCs w:val="20"/>
        </w:rPr>
        <w:t>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6E6938E"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0"/>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40CBB4BA"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C6775B">
        <w:rPr>
          <w:rFonts w:ascii="Tahoma" w:hAnsi="Tahoma" w:cs="Tahoma"/>
          <w:sz w:val="20"/>
          <w:szCs w:val="20"/>
        </w:rPr>
        <w:t>Součástí kupní smlouvy j</w:t>
      </w:r>
      <w:r>
        <w:rPr>
          <w:rFonts w:ascii="Tahoma" w:hAnsi="Tahoma" w:cs="Tahoma"/>
          <w:sz w:val="20"/>
          <w:szCs w:val="20"/>
        </w:rPr>
        <w:t>e</w:t>
      </w:r>
      <w:r w:rsidRPr="00C6775B">
        <w:rPr>
          <w:rFonts w:ascii="Tahoma" w:hAnsi="Tahoma" w:cs="Tahoma"/>
          <w:sz w:val="20"/>
          <w:szCs w:val="20"/>
        </w:rPr>
        <w:t xml:space="preserve">:  </w:t>
      </w:r>
    </w:p>
    <w:p w14:paraId="183D8AB0" w14:textId="74143037" w:rsidR="004979E1" w:rsidRDefault="004979E1" w:rsidP="008403EA">
      <w:pPr>
        <w:spacing w:line="276" w:lineRule="auto"/>
        <w:ind w:left="426"/>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 xml:space="preserve">Specifikace předmětu </w:t>
      </w:r>
      <w:proofErr w:type="gramStart"/>
      <w:r w:rsidR="00861560">
        <w:rPr>
          <w:rFonts w:ascii="Tahoma" w:hAnsi="Tahoma" w:cs="Tahoma"/>
          <w:sz w:val="20"/>
          <w:szCs w:val="22"/>
        </w:rPr>
        <w:t>smlouvy</w:t>
      </w:r>
      <w:r w:rsidR="00AB1528">
        <w:rPr>
          <w:rFonts w:ascii="Tahoma" w:hAnsi="Tahoma" w:cs="Tahoma"/>
          <w:sz w:val="20"/>
          <w:szCs w:val="22"/>
        </w:rPr>
        <w:t xml:space="preserve"> -Obchodní</w:t>
      </w:r>
      <w:proofErr w:type="gramEnd"/>
      <w:r w:rsidR="00AB1528">
        <w:rPr>
          <w:rFonts w:ascii="Tahoma" w:hAnsi="Tahoma" w:cs="Tahoma"/>
          <w:sz w:val="20"/>
          <w:szCs w:val="22"/>
        </w:rPr>
        <w:t xml:space="preserve"> tajemství </w:t>
      </w:r>
    </w:p>
    <w:p w14:paraId="09E7D466" w14:textId="718FC372" w:rsidR="00F514D6" w:rsidRDefault="00F514D6"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26A026CE" w:rsidR="003E7416" w:rsidRPr="00633675" w:rsidRDefault="003E7416" w:rsidP="00B566D8">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B566D8">
              <w:rPr>
                <w:rFonts w:ascii="Tahoma" w:hAnsi="Tahoma" w:cs="Tahoma"/>
                <w:sz w:val="20"/>
                <w:szCs w:val="20"/>
              </w:rPr>
              <w:t xml:space="preserve">Kutné Hoře </w:t>
            </w:r>
            <w:r w:rsidRPr="00633675">
              <w:rPr>
                <w:rFonts w:ascii="Tahoma" w:hAnsi="Tahoma" w:cs="Tahoma"/>
                <w:sz w:val="20"/>
                <w:szCs w:val="20"/>
              </w:rPr>
              <w:t xml:space="preserve">dne </w:t>
            </w:r>
          </w:p>
        </w:tc>
      </w:tr>
      <w:tr w:rsidR="003E7416" w:rsidRPr="00633675" w14:paraId="2655E147" w14:textId="77777777" w:rsidTr="00D70880">
        <w:tc>
          <w:tcPr>
            <w:tcW w:w="4581" w:type="dxa"/>
          </w:tcPr>
          <w:p w14:paraId="48BF82C9" w14:textId="24126526" w:rsidR="00D70880" w:rsidRDefault="00AB1528"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28.8.2024</w:t>
            </w:r>
          </w:p>
          <w:p w14:paraId="24FEA685"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61413D9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27C1624D" w:rsidR="008A363E" w:rsidRDefault="00AB1528"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27.8.2024</w:t>
            </w:r>
          </w:p>
          <w:p w14:paraId="39B6D360" w14:textId="35D7EEA8" w:rsidR="006D6317" w:rsidRDefault="006D6317" w:rsidP="007C0279">
            <w:pPr>
              <w:tabs>
                <w:tab w:val="left" w:pos="2707"/>
              </w:tabs>
              <w:spacing w:after="120" w:line="276" w:lineRule="auto"/>
              <w:ind w:left="425" w:hanging="425"/>
              <w:jc w:val="both"/>
              <w:rPr>
                <w:rFonts w:ascii="Tahoma" w:hAnsi="Tahoma" w:cs="Tahoma"/>
                <w:sz w:val="20"/>
                <w:szCs w:val="20"/>
              </w:rPr>
            </w:pPr>
          </w:p>
          <w:p w14:paraId="2B8D7100"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1B1B58D7" w:rsidR="003E7416" w:rsidRPr="00633675" w:rsidRDefault="00D70880" w:rsidP="00B566D8">
      <w:pPr>
        <w:tabs>
          <w:tab w:val="left" w:pos="4536"/>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xml:space="preserve">, MBA, </w:t>
      </w:r>
      <w:r w:rsidR="00B566D8">
        <w:rPr>
          <w:rFonts w:ascii="Tahoma" w:hAnsi="Tahoma" w:cs="Tahoma"/>
          <w:sz w:val="20"/>
          <w:szCs w:val="20"/>
        </w:rPr>
        <w:t>ředitel</w:t>
      </w:r>
      <w:r w:rsidR="00B566D8">
        <w:rPr>
          <w:rFonts w:ascii="Tahoma" w:hAnsi="Tahoma" w:cs="Tahoma"/>
          <w:sz w:val="20"/>
          <w:szCs w:val="20"/>
        </w:rPr>
        <w:tab/>
        <w:t xml:space="preserve">Ing. Matyáš Ludvík, jednatel </w:t>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2192691D" w14:textId="4C5E9AB7" w:rsidR="00E6187E" w:rsidRDefault="00E6187E">
      <w:pPr>
        <w:rPr>
          <w:rFonts w:ascii="Tahoma" w:hAnsi="Tahoma" w:cs="Tahoma"/>
          <w:sz w:val="20"/>
          <w:szCs w:val="20"/>
        </w:rPr>
      </w:pPr>
      <w:r>
        <w:rPr>
          <w:rFonts w:ascii="Tahoma" w:hAnsi="Tahoma" w:cs="Tahoma"/>
          <w:sz w:val="20"/>
          <w:szCs w:val="20"/>
        </w:rPr>
        <w:br w:type="page"/>
      </w:r>
    </w:p>
    <w:p w14:paraId="47A98713" w14:textId="40E4E8C2" w:rsidR="00B566D8" w:rsidRDefault="00B566D8" w:rsidP="00B40FDD">
      <w:pPr>
        <w:tabs>
          <w:tab w:val="left" w:pos="2520"/>
        </w:tabs>
        <w:spacing w:after="120" w:line="276" w:lineRule="auto"/>
        <w:ind w:left="425" w:hanging="425"/>
        <w:jc w:val="both"/>
        <w:rPr>
          <w:rFonts w:ascii="Tahoma" w:hAnsi="Tahoma" w:cs="Tahoma"/>
          <w:b/>
          <w:iCs/>
          <w:sz w:val="20"/>
          <w:szCs w:val="22"/>
          <w:u w:val="single"/>
        </w:rPr>
      </w:pPr>
    </w:p>
    <w:p w14:paraId="6949FFAF" w14:textId="238DA70D" w:rsidR="00B566D8" w:rsidRDefault="00B566D8" w:rsidP="00B40FDD">
      <w:pPr>
        <w:tabs>
          <w:tab w:val="left" w:pos="2520"/>
        </w:tabs>
        <w:spacing w:after="120" w:line="276" w:lineRule="auto"/>
        <w:ind w:left="425" w:hanging="425"/>
        <w:jc w:val="both"/>
        <w:rPr>
          <w:rFonts w:ascii="Tahoma" w:hAnsi="Tahoma" w:cs="Tahoma"/>
          <w:b/>
          <w:iCs/>
          <w:sz w:val="20"/>
          <w:szCs w:val="22"/>
          <w:u w:val="single"/>
        </w:rPr>
      </w:pPr>
    </w:p>
    <w:p w14:paraId="55DE7C07" w14:textId="0C4E51A7" w:rsidR="00B566D8" w:rsidRDefault="00B566D8" w:rsidP="00B40FDD">
      <w:pPr>
        <w:tabs>
          <w:tab w:val="left" w:pos="2520"/>
        </w:tabs>
        <w:spacing w:after="120" w:line="276" w:lineRule="auto"/>
        <w:ind w:left="425" w:hanging="425"/>
        <w:jc w:val="both"/>
        <w:rPr>
          <w:rFonts w:ascii="Tahoma" w:hAnsi="Tahoma" w:cs="Tahoma"/>
          <w:b/>
          <w:iCs/>
          <w:sz w:val="20"/>
          <w:szCs w:val="22"/>
          <w:u w:val="single"/>
        </w:rPr>
      </w:pPr>
    </w:p>
    <w:p w14:paraId="00B29B82" w14:textId="339F226D" w:rsidR="00B566D8" w:rsidRDefault="00B566D8" w:rsidP="00B40FDD">
      <w:pPr>
        <w:tabs>
          <w:tab w:val="left" w:pos="2520"/>
        </w:tabs>
        <w:spacing w:after="120" w:line="276" w:lineRule="auto"/>
        <w:ind w:left="425" w:hanging="425"/>
        <w:jc w:val="both"/>
        <w:rPr>
          <w:rFonts w:ascii="Tahoma" w:hAnsi="Tahoma" w:cs="Tahoma"/>
          <w:b/>
          <w:iCs/>
          <w:sz w:val="20"/>
          <w:szCs w:val="22"/>
          <w:u w:val="single"/>
        </w:rPr>
      </w:pPr>
    </w:p>
    <w:p w14:paraId="2E97CEAF" w14:textId="7AF87042" w:rsidR="009A1909" w:rsidRPr="00861560" w:rsidRDefault="009A1909" w:rsidP="00B40FDD">
      <w:pPr>
        <w:tabs>
          <w:tab w:val="left" w:pos="2520"/>
        </w:tabs>
        <w:spacing w:after="120" w:line="276" w:lineRule="auto"/>
        <w:ind w:left="425" w:hanging="425"/>
        <w:jc w:val="both"/>
        <w:rPr>
          <w:rFonts w:ascii="Tahoma" w:hAnsi="Tahoma" w:cs="Tahoma"/>
          <w:b/>
          <w:iCs/>
          <w:sz w:val="20"/>
          <w:szCs w:val="22"/>
          <w:u w:val="single"/>
        </w:rPr>
      </w:pPr>
      <w:bookmarkStart w:id="21" w:name="_GoBack"/>
      <w:bookmarkEnd w:id="21"/>
    </w:p>
    <w:sectPr w:rsidR="009A1909" w:rsidRPr="00861560" w:rsidSect="00D83A06">
      <w:footerReference w:type="even" r:id="rId8"/>
      <w:footerReference w:type="default" r:id="rId9"/>
      <w:headerReference w:type="first" r:id="rId10"/>
      <w:footerReference w:type="firs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BD1A3" w14:textId="77777777" w:rsidR="00924467" w:rsidRDefault="00924467">
      <w:r>
        <w:separator/>
      </w:r>
    </w:p>
    <w:p w14:paraId="5D3628E3" w14:textId="77777777" w:rsidR="00924467" w:rsidRDefault="00924467"/>
  </w:endnote>
  <w:endnote w:type="continuationSeparator" w:id="0">
    <w:p w14:paraId="77482027" w14:textId="77777777" w:rsidR="00924467" w:rsidRDefault="00924467">
      <w:r>
        <w:continuationSeparator/>
      </w:r>
    </w:p>
    <w:p w14:paraId="250681AA" w14:textId="77777777" w:rsidR="00924467" w:rsidRDefault="00924467"/>
    <w:p w14:paraId="05A92D27" w14:textId="77777777" w:rsidR="00924467" w:rsidRDefault="00924467">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AB1528">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734D2E">
      <w:rPr>
        <w:rFonts w:ascii="Tahoma" w:hAnsi="Tahoma" w:cs="Tahoma"/>
        <w:b/>
        <w:noProof/>
        <w:sz w:val="18"/>
        <w:szCs w:val="18"/>
      </w:rPr>
      <w:t>15</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734D2E">
      <w:rPr>
        <w:rFonts w:ascii="Tahoma" w:hAnsi="Tahoma" w:cs="Tahoma"/>
        <w:b/>
        <w:noProof/>
        <w:sz w:val="18"/>
        <w:szCs w:val="18"/>
      </w:rPr>
      <w:t>15</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71AE7DE2" w:rsidR="00073BB0" w:rsidRPr="001F2FF6" w:rsidRDefault="003871B7"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E6187E">
      <w:rPr>
        <w:rFonts w:ascii="Verdana" w:hAnsi="Verdana"/>
        <w:sz w:val="18"/>
        <w:szCs w:val="18"/>
      </w:rPr>
      <w:t>4</w:t>
    </w:r>
    <w:r w:rsidRPr="005C4047">
      <w:rPr>
        <w:rFonts w:ascii="Verdana" w:hAnsi="Verdana"/>
        <w:sz w:val="18"/>
        <w:szCs w:val="18"/>
      </w:rPr>
      <w:t>/</w:t>
    </w:r>
    <w:r w:rsidR="00672575">
      <w:rPr>
        <w:rFonts w:ascii="Verdana" w:hAnsi="Verdana"/>
        <w:sz w:val="18"/>
        <w:szCs w:val="18"/>
      </w:rPr>
      <w:t>29</w:t>
    </w:r>
    <w:r>
      <w:rPr>
        <w:rFonts w:ascii="Verdana" w:hAnsi="Verdana"/>
        <w:sz w:val="18"/>
        <w:szCs w:val="18"/>
      </w:rPr>
      <w:t>/</w:t>
    </w:r>
    <w:r w:rsidR="000C5D35">
      <w:rPr>
        <w:rFonts w:ascii="Verdana" w:hAnsi="Verdana"/>
        <w:sz w:val="18"/>
        <w:szCs w:val="18"/>
      </w:rPr>
      <w:t>video řetězec-ORL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AB1528">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734D2E">
      <w:rPr>
        <w:rFonts w:ascii="Tahoma" w:hAnsi="Tahoma" w:cs="Tahoma"/>
        <w:b/>
        <w:noProof/>
        <w:sz w:val="16"/>
        <w:szCs w:val="16"/>
      </w:rPr>
      <w:t>15</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8AEBA" w14:textId="77777777" w:rsidR="00924467" w:rsidRDefault="00924467">
      <w:r>
        <w:separator/>
      </w:r>
    </w:p>
    <w:p w14:paraId="20B404FE" w14:textId="77777777" w:rsidR="00924467" w:rsidRDefault="00924467"/>
  </w:footnote>
  <w:footnote w:type="continuationSeparator" w:id="0">
    <w:p w14:paraId="166D0BB3" w14:textId="77777777" w:rsidR="00924467" w:rsidRDefault="00924467">
      <w:r>
        <w:continuationSeparator/>
      </w:r>
    </w:p>
    <w:p w14:paraId="706694F0" w14:textId="77777777" w:rsidR="00924467" w:rsidRDefault="00924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3"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4"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7"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1"/>
  </w:num>
  <w:num w:numId="2">
    <w:abstractNumId w:val="14"/>
  </w:num>
  <w:num w:numId="3">
    <w:abstractNumId w:val="42"/>
  </w:num>
  <w:num w:numId="4">
    <w:abstractNumId w:val="7"/>
  </w:num>
  <w:num w:numId="5">
    <w:abstractNumId w:val="16"/>
  </w:num>
  <w:num w:numId="6">
    <w:abstractNumId w:val="30"/>
  </w:num>
  <w:num w:numId="7">
    <w:abstractNumId w:val="33"/>
  </w:num>
  <w:num w:numId="8">
    <w:abstractNumId w:val="9"/>
  </w:num>
  <w:num w:numId="9">
    <w:abstractNumId w:val="20"/>
  </w:num>
  <w:num w:numId="10">
    <w:abstractNumId w:val="35"/>
  </w:num>
  <w:num w:numId="11">
    <w:abstractNumId w:val="18"/>
  </w:num>
  <w:num w:numId="12">
    <w:abstractNumId w:val="40"/>
  </w:num>
  <w:num w:numId="13">
    <w:abstractNumId w:val="46"/>
  </w:num>
  <w:num w:numId="14">
    <w:abstractNumId w:val="36"/>
  </w:num>
  <w:num w:numId="15">
    <w:abstractNumId w:val="45"/>
  </w:num>
  <w:num w:numId="16">
    <w:abstractNumId w:val="15"/>
  </w:num>
  <w:num w:numId="17">
    <w:abstractNumId w:val="29"/>
  </w:num>
  <w:num w:numId="18">
    <w:abstractNumId w:val="17"/>
  </w:num>
  <w:num w:numId="19">
    <w:abstractNumId w:val="19"/>
  </w:num>
  <w:num w:numId="20">
    <w:abstractNumId w:val="34"/>
  </w:num>
  <w:num w:numId="21">
    <w:abstractNumId w:val="0"/>
  </w:num>
  <w:num w:numId="22">
    <w:abstractNumId w:val="48"/>
  </w:num>
  <w:num w:numId="23">
    <w:abstractNumId w:val="8"/>
  </w:num>
  <w:num w:numId="24">
    <w:abstractNumId w:val="25"/>
  </w:num>
  <w:num w:numId="25">
    <w:abstractNumId w:val="13"/>
  </w:num>
  <w:num w:numId="26">
    <w:abstractNumId w:val="23"/>
  </w:num>
  <w:num w:numId="27">
    <w:abstractNumId w:val="44"/>
  </w:num>
  <w:num w:numId="28">
    <w:abstractNumId w:val="11"/>
  </w:num>
  <w:num w:numId="29">
    <w:abstractNumId w:val="47"/>
  </w:num>
  <w:num w:numId="30">
    <w:abstractNumId w:val="10"/>
  </w:num>
  <w:num w:numId="31">
    <w:abstractNumId w:val="12"/>
  </w:num>
  <w:num w:numId="32">
    <w:abstractNumId w:val="6"/>
  </w:num>
  <w:num w:numId="33">
    <w:abstractNumId w:val="5"/>
  </w:num>
  <w:num w:numId="34">
    <w:abstractNumId w:val="37"/>
  </w:num>
  <w:num w:numId="35">
    <w:abstractNumId w:val="22"/>
  </w:num>
  <w:num w:numId="36">
    <w:abstractNumId w:val="4"/>
  </w:num>
  <w:num w:numId="37">
    <w:abstractNumId w:val="24"/>
  </w:num>
  <w:num w:numId="38">
    <w:abstractNumId w:val="31"/>
  </w:num>
  <w:num w:numId="39">
    <w:abstractNumId w:val="39"/>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 w:numId="44">
    <w:abstractNumId w:val="2"/>
  </w:num>
  <w:num w:numId="45">
    <w:abstractNumId w:val="28"/>
  </w:num>
  <w:num w:numId="46">
    <w:abstractNumId w:val="2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41"/>
  </w:num>
  <w:num w:numId="54">
    <w:abstractNumId w:val="32"/>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C5D35"/>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6DDE"/>
    <w:rsid w:val="0035756E"/>
    <w:rsid w:val="00370920"/>
    <w:rsid w:val="00377951"/>
    <w:rsid w:val="00384B6B"/>
    <w:rsid w:val="003871B7"/>
    <w:rsid w:val="00390A2D"/>
    <w:rsid w:val="00392100"/>
    <w:rsid w:val="00392D02"/>
    <w:rsid w:val="00395F66"/>
    <w:rsid w:val="003970A3"/>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37E9"/>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222"/>
    <w:rsid w:val="0053094A"/>
    <w:rsid w:val="00532BD2"/>
    <w:rsid w:val="00542288"/>
    <w:rsid w:val="00543C96"/>
    <w:rsid w:val="0054698F"/>
    <w:rsid w:val="005471D6"/>
    <w:rsid w:val="0055279E"/>
    <w:rsid w:val="005540F9"/>
    <w:rsid w:val="0055449E"/>
    <w:rsid w:val="005706E1"/>
    <w:rsid w:val="005711C7"/>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723F9"/>
    <w:rsid w:val="00672575"/>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6794"/>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3057"/>
    <w:rsid w:val="00734D2E"/>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E7AEA"/>
    <w:rsid w:val="007F080E"/>
    <w:rsid w:val="007F3EB9"/>
    <w:rsid w:val="007F419E"/>
    <w:rsid w:val="007F6B75"/>
    <w:rsid w:val="008037CD"/>
    <w:rsid w:val="0080729C"/>
    <w:rsid w:val="00810E99"/>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467"/>
    <w:rsid w:val="00924684"/>
    <w:rsid w:val="00925407"/>
    <w:rsid w:val="00927B26"/>
    <w:rsid w:val="00931340"/>
    <w:rsid w:val="009343A6"/>
    <w:rsid w:val="00937029"/>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1909"/>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DB2"/>
    <w:rsid w:val="00A83AE6"/>
    <w:rsid w:val="00A84162"/>
    <w:rsid w:val="00A867B9"/>
    <w:rsid w:val="00A92C9A"/>
    <w:rsid w:val="00A945F1"/>
    <w:rsid w:val="00A95090"/>
    <w:rsid w:val="00A95A5B"/>
    <w:rsid w:val="00AA5697"/>
    <w:rsid w:val="00AB1528"/>
    <w:rsid w:val="00AB1FF8"/>
    <w:rsid w:val="00AB5B15"/>
    <w:rsid w:val="00AB6033"/>
    <w:rsid w:val="00AB67E5"/>
    <w:rsid w:val="00AC0D11"/>
    <w:rsid w:val="00AC1F90"/>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4200"/>
    <w:rsid w:val="00B45033"/>
    <w:rsid w:val="00B54AD2"/>
    <w:rsid w:val="00B563A8"/>
    <w:rsid w:val="00B566D8"/>
    <w:rsid w:val="00B56D7C"/>
    <w:rsid w:val="00B60673"/>
    <w:rsid w:val="00B6133F"/>
    <w:rsid w:val="00B61C73"/>
    <w:rsid w:val="00B63017"/>
    <w:rsid w:val="00B63C03"/>
    <w:rsid w:val="00B66E29"/>
    <w:rsid w:val="00B677D2"/>
    <w:rsid w:val="00B73E2B"/>
    <w:rsid w:val="00B7455C"/>
    <w:rsid w:val="00B805D4"/>
    <w:rsid w:val="00B8371E"/>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17BF5"/>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15:docId w15:val="{28F2CF0A-86D8-4715-9633-01A0F3F0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D4533-A3AF-4553-9CFD-097C2550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4222</Words>
  <Characters>24915</Characters>
  <Application>Microsoft Office Word</Application>
  <DocSecurity>4</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2024-08-16T05:56:00Z</cp:lastPrinted>
  <dcterms:created xsi:type="dcterms:W3CDTF">2024-09-05T07:29:00Z</dcterms:created>
  <dcterms:modified xsi:type="dcterms:W3CDTF">2024-09-05T07:29:00Z</dcterms:modified>
</cp:coreProperties>
</file>