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7221301092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Přestavlky</w:t>
      </w:r>
    </w:p>
    <w:p>
      <w:pPr>
        <w:pStyle w:val="BodyText"/>
        <w:tabs>
          <w:tab w:pos="2982" w:val="left" w:leader="none"/>
        </w:tabs>
        <w:ind w:left="102" w:right="1527"/>
      </w:pPr>
      <w:r>
        <w:rPr/>
        <w:t>kontaktní adresa:</w:t>
        <w:tab/>
        <w:t>Obecní</w:t>
      </w:r>
      <w:r>
        <w:rPr>
          <w:spacing w:val="-5"/>
        </w:rPr>
        <w:t> </w:t>
      </w:r>
      <w:r>
        <w:rPr/>
        <w:t>úřad</w:t>
      </w:r>
      <w:r>
        <w:rPr>
          <w:spacing w:val="-5"/>
        </w:rPr>
        <w:t> </w:t>
      </w:r>
      <w:r>
        <w:rPr/>
        <w:t>Přestavlky,</w:t>
      </w:r>
      <w:r>
        <w:rPr>
          <w:spacing w:val="-5"/>
        </w:rPr>
        <w:t> </w:t>
      </w:r>
      <w:r>
        <w:rPr/>
        <w:t>Přestavlky</w:t>
      </w:r>
      <w:r>
        <w:rPr>
          <w:spacing w:val="-4"/>
        </w:rPr>
        <w:t> </w:t>
      </w:r>
      <w:r>
        <w:rPr/>
        <w:t>č.</w:t>
      </w:r>
      <w:r>
        <w:rPr>
          <w:spacing w:val="-4"/>
        </w:rPr>
        <w:t> </w:t>
      </w:r>
      <w:r>
        <w:rPr/>
        <w:t>p.</w:t>
      </w:r>
      <w:r>
        <w:rPr>
          <w:spacing w:val="-4"/>
        </w:rPr>
        <w:t> </w:t>
      </w:r>
      <w:r>
        <w:rPr/>
        <w:t>60,</w:t>
      </w:r>
      <w:r>
        <w:rPr>
          <w:spacing w:val="-5"/>
        </w:rPr>
        <w:t> </w:t>
      </w:r>
      <w:r>
        <w:rPr/>
        <w:t>334</w:t>
      </w:r>
      <w:r>
        <w:rPr>
          <w:spacing w:val="-3"/>
        </w:rPr>
        <w:t> </w:t>
      </w:r>
      <w:r>
        <w:rPr/>
        <w:t>01</w:t>
      </w:r>
      <w:r>
        <w:rPr>
          <w:spacing w:val="-4"/>
        </w:rPr>
        <w:t> </w:t>
      </w:r>
      <w:r>
        <w:rPr/>
        <w:t>Přeštice </w:t>
      </w:r>
      <w:r>
        <w:rPr>
          <w:spacing w:val="-4"/>
        </w:rPr>
        <w:t>IČO:</w:t>
      </w:r>
      <w:r>
        <w:rPr/>
        <w:tab/>
      </w:r>
      <w:r>
        <w:rPr>
          <w:spacing w:val="-2"/>
        </w:rPr>
        <w:t>48333344</w:t>
      </w:r>
    </w:p>
    <w:p>
      <w:pPr>
        <w:pStyle w:val="BodyText"/>
        <w:tabs>
          <w:tab w:pos="2982" w:val="left" w:leader="none"/>
        </w:tabs>
        <w:spacing w:line="265" w:lineRule="exact"/>
        <w:ind w:left="102"/>
      </w:pPr>
      <w:r>
        <w:rPr>
          <w:spacing w:val="-2"/>
        </w:rPr>
        <w:t>zastoupená:</w:t>
      </w:r>
      <w:r>
        <w:rPr/>
        <w:tab/>
        <w:t>Petrem</w:t>
      </w:r>
      <w:r>
        <w:rPr>
          <w:spacing w:val="-5"/>
        </w:rPr>
        <w:t> </w:t>
      </w:r>
      <w:r>
        <w:rPr/>
        <w:t>Ch</w:t>
      </w:r>
      <w:r>
        <w:rPr>
          <w:spacing w:val="-2"/>
        </w:rPr>
        <w:t> </w:t>
      </w:r>
      <w:r>
        <w:rPr/>
        <w:t>v o</w:t>
      </w:r>
      <w:r>
        <w:rPr>
          <w:spacing w:val="-2"/>
        </w:rPr>
        <w:t> </w:t>
      </w:r>
      <w:r>
        <w:rPr/>
        <w:t>j</w:t>
      </w:r>
      <w:r>
        <w:rPr>
          <w:spacing w:val="-3"/>
        </w:rPr>
        <w:t> </w:t>
      </w:r>
      <w:r>
        <w:rPr/>
        <w:t>k</w:t>
      </w:r>
      <w:r>
        <w:rPr>
          <w:spacing w:val="-2"/>
        </w:rPr>
        <w:t> </w:t>
      </w:r>
      <w:r>
        <w:rPr/>
        <w:t>o</w:t>
      </w:r>
      <w:r>
        <w:rPr>
          <w:spacing w:val="-2"/>
        </w:rPr>
        <w:t> </w:t>
      </w:r>
      <w:r>
        <w:rPr/>
        <w:t>u,</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94-4213361/0710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7221301092 o poskytnutí finančních prostředků ze Státního fondu životního prostředí ČR ze dne 21. 3.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42"/>
        <w:jc w:val="both"/>
      </w:pPr>
      <w:r>
        <w:rPr/>
        <w:t>„Komunální</w:t>
      </w:r>
      <w:r>
        <w:rPr>
          <w:spacing w:val="-7"/>
        </w:rPr>
        <w:t> </w:t>
      </w:r>
      <w:r>
        <w:rPr/>
        <w:t>FVE</w:t>
      </w:r>
      <w:r>
        <w:rPr>
          <w:spacing w:val="-6"/>
        </w:rPr>
        <w:t> </w:t>
      </w:r>
      <w:r>
        <w:rPr/>
        <w:t>pro</w:t>
      </w:r>
      <w:r>
        <w:rPr>
          <w:spacing w:val="-7"/>
        </w:rPr>
        <w:t> </w:t>
      </w:r>
      <w:r>
        <w:rPr/>
        <w:t>obec</w:t>
      </w:r>
      <w:r>
        <w:rPr>
          <w:spacing w:val="-5"/>
        </w:rPr>
        <w:t> </w:t>
      </w:r>
      <w:r>
        <w:rPr>
          <w:spacing w:val="-2"/>
        </w:rPr>
        <w:t>Přestavlky“</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1"/>
          <w:sz w:val="20"/>
        </w:rPr>
        <w:t> </w:t>
      </w:r>
      <w:r>
        <w:rPr>
          <w:sz w:val="20"/>
        </w:rPr>
        <w:t>dotace</w:t>
      </w:r>
      <w:r>
        <w:rPr>
          <w:spacing w:val="-11"/>
          <w:sz w:val="20"/>
        </w:rPr>
        <w:t> </w:t>
      </w:r>
      <w:r>
        <w:rPr>
          <w:sz w:val="20"/>
        </w:rPr>
        <w:t>ve</w:t>
      </w:r>
      <w:r>
        <w:rPr>
          <w:spacing w:val="-12"/>
          <w:sz w:val="20"/>
        </w:rPr>
        <w:t> </w:t>
      </w:r>
      <w:r>
        <w:rPr>
          <w:sz w:val="20"/>
        </w:rPr>
        <w:t>výši</w:t>
      </w:r>
      <w:r>
        <w:rPr>
          <w:spacing w:val="-11"/>
          <w:sz w:val="20"/>
        </w:rPr>
        <w:t> </w:t>
      </w:r>
      <w:r>
        <w:rPr>
          <w:b/>
          <w:sz w:val="20"/>
        </w:rPr>
        <w:t>1</w:t>
      </w:r>
      <w:r>
        <w:rPr>
          <w:b/>
          <w:spacing w:val="-3"/>
          <w:sz w:val="20"/>
        </w:rPr>
        <w:t> </w:t>
      </w:r>
      <w:r>
        <w:rPr>
          <w:b/>
          <w:sz w:val="20"/>
        </w:rPr>
        <w:t>515</w:t>
      </w:r>
      <w:r>
        <w:rPr>
          <w:b/>
          <w:spacing w:val="-4"/>
          <w:sz w:val="20"/>
        </w:rPr>
        <w:t> </w:t>
      </w:r>
      <w:r>
        <w:rPr>
          <w:b/>
          <w:sz w:val="20"/>
        </w:rPr>
        <w:t>118,18</w:t>
      </w:r>
      <w:r>
        <w:rPr>
          <w:b/>
          <w:spacing w:val="-10"/>
          <w:sz w:val="20"/>
        </w:rPr>
        <w:t> </w:t>
      </w:r>
      <w:r>
        <w:rPr>
          <w:b/>
          <w:sz w:val="20"/>
        </w:rPr>
        <w:t>Kč</w:t>
      </w:r>
      <w:r>
        <w:rPr>
          <w:b/>
          <w:spacing w:val="-11"/>
          <w:sz w:val="20"/>
        </w:rPr>
        <w:t> </w:t>
      </w:r>
      <w:r>
        <w:rPr>
          <w:sz w:val="20"/>
        </w:rPr>
        <w:t>(slovy:</w:t>
      </w:r>
      <w:r>
        <w:rPr>
          <w:spacing w:val="-11"/>
          <w:sz w:val="20"/>
        </w:rPr>
        <w:t> </w:t>
      </w:r>
      <w:r>
        <w:rPr>
          <w:sz w:val="20"/>
        </w:rPr>
        <w:t>jeden</w:t>
      </w:r>
      <w:r>
        <w:rPr>
          <w:spacing w:val="-9"/>
          <w:sz w:val="20"/>
        </w:rPr>
        <w:t> </w:t>
      </w:r>
      <w:r>
        <w:rPr>
          <w:sz w:val="20"/>
        </w:rPr>
        <w:t>milion</w:t>
      </w:r>
      <w:r>
        <w:rPr>
          <w:spacing w:val="-11"/>
          <w:sz w:val="20"/>
        </w:rPr>
        <w:t> </w:t>
      </w:r>
      <w:r>
        <w:rPr>
          <w:sz w:val="20"/>
        </w:rPr>
        <w:t>pět</w:t>
      </w:r>
      <w:r>
        <w:rPr>
          <w:spacing w:val="-11"/>
          <w:sz w:val="20"/>
        </w:rPr>
        <w:t> </w:t>
      </w:r>
      <w:r>
        <w:rPr>
          <w:sz w:val="20"/>
        </w:rPr>
        <w:t>set</w:t>
      </w:r>
      <w:r>
        <w:rPr>
          <w:spacing w:val="-12"/>
          <w:sz w:val="20"/>
        </w:rPr>
        <w:t> </w:t>
      </w:r>
      <w:r>
        <w:rPr>
          <w:sz w:val="20"/>
        </w:rPr>
        <w:t>patnáct</w:t>
      </w:r>
      <w:r>
        <w:rPr>
          <w:spacing w:val="-11"/>
          <w:sz w:val="20"/>
        </w:rPr>
        <w:t> </w:t>
      </w:r>
      <w:r>
        <w:rPr>
          <w:sz w:val="20"/>
        </w:rPr>
        <w:t>tisíc</w:t>
      </w:r>
      <w:r>
        <w:rPr>
          <w:spacing w:val="-10"/>
          <w:sz w:val="20"/>
        </w:rPr>
        <w:t> </w:t>
      </w:r>
      <w:r>
        <w:rPr>
          <w:sz w:val="20"/>
        </w:rPr>
        <w:t>jedno</w:t>
      </w:r>
      <w:r>
        <w:rPr>
          <w:spacing w:val="-9"/>
          <w:sz w:val="20"/>
        </w:rPr>
        <w:t> </w:t>
      </w:r>
      <w:r>
        <w:rPr>
          <w:sz w:val="20"/>
        </w:rPr>
        <w:t>sto</w:t>
      </w:r>
      <w:r>
        <w:rPr>
          <w:spacing w:val="-11"/>
          <w:sz w:val="20"/>
        </w:rPr>
        <w:t> </w:t>
      </w:r>
      <w:r>
        <w:rPr>
          <w:sz w:val="20"/>
        </w:rPr>
        <w:t>osmnáct</w:t>
      </w:r>
      <w:r>
        <w:rPr>
          <w:spacing w:val="-11"/>
          <w:sz w:val="20"/>
        </w:rPr>
        <w:t> </w:t>
      </w:r>
      <w:r>
        <w:rPr>
          <w:sz w:val="20"/>
        </w:rPr>
        <w:t>korun českých a osmnáct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2 253 784,72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5"/>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40"/>
          <w:sz w:val="20"/>
        </w:rPr>
        <w:t> </w:t>
      </w:r>
      <w:r>
        <w:rPr>
          <w:sz w:val="20"/>
        </w:rPr>
        <w:t>účel</w:t>
      </w:r>
      <w:r>
        <w:rPr>
          <w:spacing w:val="40"/>
          <w:sz w:val="20"/>
        </w:rPr>
        <w:t> </w:t>
      </w:r>
      <w:r>
        <w:rPr>
          <w:sz w:val="20"/>
        </w:rPr>
        <w:t>akce</w:t>
      </w:r>
      <w:r>
        <w:rPr>
          <w:spacing w:val="40"/>
          <w:sz w:val="20"/>
        </w:rPr>
        <w:t> </w:t>
      </w:r>
      <w:r>
        <w:rPr>
          <w:sz w:val="20"/>
        </w:rPr>
        <w:t>„Komunální</w:t>
      </w:r>
      <w:r>
        <w:rPr>
          <w:spacing w:val="40"/>
          <w:sz w:val="20"/>
        </w:rPr>
        <w:t> </w:t>
      </w:r>
      <w:r>
        <w:rPr>
          <w:sz w:val="20"/>
        </w:rPr>
        <w:t>FVE</w:t>
      </w:r>
      <w:r>
        <w:rPr>
          <w:spacing w:val="40"/>
          <w:sz w:val="20"/>
        </w:rPr>
        <w:t> </w:t>
      </w:r>
      <w:r>
        <w:rPr>
          <w:sz w:val="20"/>
        </w:rPr>
        <w:t>pro</w:t>
      </w:r>
      <w:r>
        <w:rPr>
          <w:spacing w:val="40"/>
          <w:sz w:val="20"/>
        </w:rPr>
        <w:t> </w:t>
      </w:r>
      <w:r>
        <w:rPr>
          <w:sz w:val="20"/>
        </w:rPr>
        <w:t>obec</w:t>
      </w:r>
      <w:r>
        <w:rPr>
          <w:spacing w:val="40"/>
          <w:sz w:val="20"/>
        </w:rPr>
        <w:t> </w:t>
      </w:r>
      <w:r>
        <w:rPr>
          <w:sz w:val="20"/>
        </w:rPr>
        <w:t>Přestavlky“</w:t>
      </w:r>
      <w:r>
        <w:rPr>
          <w:spacing w:val="40"/>
          <w:sz w:val="20"/>
        </w:rPr>
        <w:t> </w:t>
      </w:r>
      <w:r>
        <w:rPr>
          <w:sz w:val="20"/>
        </w:rPr>
        <w:t>tím,</w:t>
      </w:r>
      <w:r>
        <w:rPr>
          <w:spacing w:val="40"/>
          <w:sz w:val="20"/>
        </w:rPr>
        <w:t> </w:t>
      </w:r>
      <w:r>
        <w:rPr>
          <w:sz w:val="20"/>
        </w:rPr>
        <w:t>že</w:t>
      </w:r>
      <w:r>
        <w:rPr>
          <w:spacing w:val="40"/>
          <w:sz w:val="20"/>
        </w:rPr>
        <w:t> </w:t>
      </w:r>
      <w:r>
        <w:rPr>
          <w:sz w:val="20"/>
        </w:rPr>
        <w:t>akce</w:t>
      </w:r>
      <w:r>
        <w:rPr>
          <w:spacing w:val="40"/>
          <w:sz w:val="20"/>
        </w:rPr>
        <w:t> </w:t>
      </w:r>
      <w:r>
        <w:rPr>
          <w:sz w:val="20"/>
        </w:rPr>
        <w:t>bude</w:t>
      </w:r>
      <w:r>
        <w:rPr>
          <w:spacing w:val="40"/>
          <w:sz w:val="20"/>
        </w:rPr>
        <w:t> </w:t>
      </w:r>
      <w:r>
        <w:rPr>
          <w:sz w:val="20"/>
        </w:rPr>
        <w:t>provedena</w:t>
      </w:r>
      <w:r>
        <w:rPr>
          <w:spacing w:val="40"/>
          <w:sz w:val="20"/>
        </w:rPr>
        <w:t> </w:t>
      </w:r>
      <w:r>
        <w:rPr>
          <w:sz w:val="20"/>
        </w:rPr>
        <w:t>v souladu</w:t>
      </w:r>
      <w:r>
        <w:rPr>
          <w:spacing w:val="80"/>
          <w:sz w:val="20"/>
        </w:rPr>
        <w:t> </w:t>
      </w:r>
      <w:r>
        <w:rPr>
          <w:sz w:val="20"/>
        </w:rPr>
        <w:t>s Výzvou, žádostí 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r>
      <w:r>
        <w:rPr>
          <w:spacing w:val="80"/>
          <w:sz w:val="20"/>
        </w:rPr>
        <w:t> </w:t>
      </w:r>
      <w:r>
        <w:rPr>
          <w:sz w:val="20"/>
        </w:rPr>
        <w:t>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33,58 kWp a instalací akumulace o kapacitě 31,52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31.52</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33.58</w:t>
            </w:r>
          </w:p>
        </w:tc>
      </w:tr>
      <w:tr>
        <w:trPr>
          <w:trHeight w:val="505" w:hRule="atLeast"/>
        </w:trPr>
        <w:tc>
          <w:tcPr>
            <w:tcW w:w="377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29.40</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88.89</w:t>
            </w:r>
          </w:p>
        </w:tc>
      </w:tr>
      <w:tr>
        <w:trPr>
          <w:trHeight w:val="505"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34.19</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3"/>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4"/>
          <w:sz w:val="20"/>
        </w:rPr>
        <w:t> </w:t>
      </w:r>
      <w:r>
        <w:rPr>
          <w:sz w:val="20"/>
        </w:rPr>
        <w:t>vést</w:t>
      </w:r>
      <w:r>
        <w:rPr>
          <w:spacing w:val="-13"/>
          <w:sz w:val="20"/>
        </w:rPr>
        <w:t> </w:t>
      </w:r>
      <w:r>
        <w:rPr>
          <w:sz w:val="20"/>
        </w:rPr>
        <w:t>v</w:t>
      </w:r>
      <w:r>
        <w:rPr>
          <w:spacing w:val="-2"/>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 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6"/>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 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w:t>
      </w:r>
      <w:r>
        <w:rPr>
          <w:spacing w:val="-3"/>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0"/>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5"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3"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 zajištěno</w:t>
            </w:r>
            <w:r>
              <w:rPr>
                <w:spacing w:val="-5"/>
                <w:sz w:val="20"/>
              </w:rPr>
              <w:t> </w:t>
            </w:r>
            <w:r>
              <w:rPr>
                <w:sz w:val="20"/>
              </w:rPr>
              <w:t>řádné</w:t>
            </w:r>
            <w:r>
              <w:rPr>
                <w:spacing w:val="-7"/>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5"/>
                <w:sz w:val="20"/>
              </w:rPr>
              <w:t> </w:t>
            </w:r>
            <w:r>
              <w:rPr>
                <w:sz w:val="20"/>
              </w:rPr>
              <w:t>veřejné</w:t>
            </w:r>
            <w:r>
              <w:rPr>
                <w:spacing w:val="-4"/>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5"/>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8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1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2024-09-03T05:00:15Z</dcterms:created>
  <dcterms:modified xsi:type="dcterms:W3CDTF">2024-09-03T05:00:15Z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2016</vt:lpwstr>
  </property>
  <property fmtid="{D5CDD505-2E9C-101B-9397-08002B2CF9AE}" pid="4" name="LastSaved">
    <vt:filetime>2024-09-03T00:00:00Z</vt:filetime>
  </property>
</Properties>
</file>