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A84EFA">
        <w:t xml:space="preserve"> - </w:t>
      </w:r>
      <w:r w:rsidR="00A84EFA" w:rsidRPr="00822906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Jiří Veselý, ředitel Krajského pozemkového úřadu pro Středočeský kraj a hl. m. Praha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Nám. Winstona Churchilla 2, 13000 Praha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1001931766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TIBERINA AUTOMOTIVE BĚLÁ spol. s r.o.</w:t>
      </w:r>
      <w:r>
        <w:rPr>
          <w:color w:val="000000"/>
          <w:sz w:val="24"/>
          <w:szCs w:val="24"/>
        </w:rPr>
        <w:t>, sídlo Mladoboleslavská 692, Bělá pod Bezdězem, PSČ 29421, IČO 14799308, DIČ CZ14799308, zapsán v obchodním rejstříku vedeném Městským soudem v Praze, odd. C, vložka 1479</w:t>
      </w:r>
    </w:p>
    <w:p w:rsidR="00891A57" w:rsidRDefault="00157B6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Zástupce Paolo </w:t>
      </w:r>
      <w:proofErr w:type="spellStart"/>
      <w:r>
        <w:rPr>
          <w:color w:val="000000"/>
          <w:sz w:val="24"/>
          <w:szCs w:val="24"/>
        </w:rPr>
        <w:t>Cossa</w:t>
      </w:r>
      <w:proofErr w:type="spellEnd"/>
      <w:r>
        <w:rPr>
          <w:color w:val="000000"/>
          <w:sz w:val="24"/>
          <w:szCs w:val="24"/>
        </w:rPr>
        <w:t xml:space="preserve">, </w:t>
      </w:r>
      <w:bookmarkStart w:id="0" w:name="_GoBack"/>
      <w:bookmarkEnd w:id="0"/>
    </w:p>
    <w:p w:rsidR="00157B64" w:rsidRDefault="00157B6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1001931766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Středočeský kraj se sídlem v Praze, Katastrální pracoviště Mladá Boleslav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Bělá pod Bezdězem</w:t>
      </w:r>
      <w:r>
        <w:rPr>
          <w:sz w:val="20"/>
          <w:szCs w:val="20"/>
        </w:rPr>
        <w:tab/>
        <w:t>Bělá pod Bezdězem</w:t>
      </w:r>
      <w:r>
        <w:rPr>
          <w:sz w:val="20"/>
          <w:szCs w:val="20"/>
        </w:rPr>
        <w:tab/>
        <w:t>418/1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Bělá pod Bezdězem</w:t>
      </w:r>
      <w:r>
        <w:rPr>
          <w:sz w:val="20"/>
          <w:szCs w:val="20"/>
        </w:rPr>
        <w:tab/>
        <w:t>Bělá pod Bezdězem</w:t>
      </w:r>
      <w:r>
        <w:rPr>
          <w:sz w:val="20"/>
          <w:szCs w:val="20"/>
        </w:rPr>
        <w:tab/>
        <w:t>418/3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Bělá pod Bezdězem</w:t>
      </w:r>
      <w:r>
        <w:rPr>
          <w:sz w:val="20"/>
          <w:szCs w:val="20"/>
        </w:rPr>
        <w:tab/>
        <w:t>Bělá pod Bezdězem</w:t>
      </w:r>
      <w:r>
        <w:rPr>
          <w:sz w:val="20"/>
          <w:szCs w:val="20"/>
        </w:rPr>
        <w:tab/>
        <w:t>418/4</w:t>
      </w:r>
      <w:r>
        <w:rPr>
          <w:sz w:val="20"/>
          <w:szCs w:val="20"/>
        </w:rPr>
        <w:tab/>
        <w:t>trvalý travní porost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Bělá pod Bezdězem</w:t>
      </w:r>
      <w:r>
        <w:rPr>
          <w:sz w:val="20"/>
          <w:szCs w:val="20"/>
        </w:rPr>
        <w:tab/>
        <w:t>Bělá pod Bezdězem</w:t>
      </w:r>
      <w:r>
        <w:rPr>
          <w:sz w:val="20"/>
          <w:szCs w:val="20"/>
        </w:rPr>
        <w:tab/>
        <w:t>2889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136D24" w:rsidRDefault="00136D2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</w:t>
      </w:r>
      <w:r w:rsidR="00157B64">
        <w:t>§ 10 odst. 3 písm. a) a b)</w:t>
      </w:r>
      <w:r w:rsidR="00157B64" w:rsidRPr="00157B64">
        <w:t xml:space="preserve"> </w:t>
      </w:r>
      <w:r w:rsidR="00157B64">
        <w:t xml:space="preserve">a </w:t>
      </w:r>
      <w:proofErr w:type="gramStart"/>
      <w:r w:rsidR="00157B64">
        <w:t>odst. 4  zákona</w:t>
      </w:r>
      <w:proofErr w:type="gramEnd"/>
      <w:r w:rsidR="00157B64">
        <w:t xml:space="preserve"> č. </w:t>
      </w:r>
      <w:r w:rsidR="00157B64" w:rsidRPr="0056566C">
        <w:t xml:space="preserve">503/2012 Sb., </w:t>
      </w:r>
      <w:r w:rsidR="00F56819">
        <w:t>o Státním pozemkovém úřadu a o změně některých souvisejících zákonů, ve znění pozdějších předpisů</w:t>
      </w:r>
      <w:r w:rsidR="00C06373" w:rsidRPr="00C70A46">
        <w:t>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136D24" w:rsidRDefault="00136D24">
      <w:pPr>
        <w:pStyle w:val="vnitrniText"/>
        <w:widowControl/>
        <w:jc w:val="left"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Bělá pod Bezdězem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418/1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84 970,00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Bělá pod Bezdězem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418/3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25 380,00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Bělá pod Bezdězem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418/4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38 670,00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Bělá pod Bezdězem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2889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3 780,00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152 800,00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264C3F" w:rsidRDefault="00264C3F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proofErr w:type="gramStart"/>
      <w:r>
        <w:t>2)  Prodávan</w:t>
      </w:r>
      <w:r w:rsidR="00B201D6">
        <w:t>é</w:t>
      </w:r>
      <w:proofErr w:type="gramEnd"/>
      <w:r>
        <w:t xml:space="preserve"> pozemk</w:t>
      </w:r>
      <w:r w:rsidR="00B201D6">
        <w:t>y</w:t>
      </w:r>
      <w:r>
        <w:t xml:space="preserve"> ne</w:t>
      </w:r>
      <w:r w:rsidR="00B201D6">
        <w:t>jsou</w:t>
      </w:r>
      <w:r>
        <w:t xml:space="preserve"> zatížen</w:t>
      </w:r>
      <w:r w:rsidR="00B201D6">
        <w:t>y</w:t>
      </w:r>
      <w:r>
        <w:t xml:space="preserve"> užívacími právy třetích osob.</w:t>
      </w:r>
    </w:p>
    <w:p w:rsidR="00136D24" w:rsidRDefault="00136D24">
      <w:pPr>
        <w:pStyle w:val="vnitrniText"/>
        <w:widowControl/>
      </w:pPr>
    </w:p>
    <w:p w:rsidR="00F357C4" w:rsidRDefault="00F357C4">
      <w:pPr>
        <w:pStyle w:val="para"/>
        <w:widowControl/>
      </w:pP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371381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 xml:space="preserve">2) Tato smlouva je vyhotovena ve 3 stejnopisech, z nichž každý má platnost originálu. Kupující obdrží 1 </w:t>
      </w:r>
      <w:proofErr w:type="gramStart"/>
      <w:r>
        <w:t>stejnopis(y) a ostatní</w:t>
      </w:r>
      <w:proofErr w:type="gramEnd"/>
      <w:r>
        <w:t xml:space="preserve">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732D29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732D29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732D29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136D24" w:rsidRDefault="00136D24">
      <w:pPr>
        <w:pStyle w:val="vnitrniText"/>
        <w:widowControl/>
      </w:pPr>
    </w:p>
    <w:p w:rsidR="00136D24" w:rsidRDefault="00136D24">
      <w:pPr>
        <w:pStyle w:val="para"/>
        <w:widowControl/>
        <w:rPr>
          <w:b w:val="0"/>
          <w:bCs w:val="0"/>
        </w:rPr>
      </w:pPr>
      <w:r>
        <w:lastRenderedPageBreak/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>
        <w:rPr>
          <w:sz w:val="24"/>
          <w:szCs w:val="24"/>
        </w:rPr>
        <w:t>.</w:t>
      </w:r>
    </w:p>
    <w:p w:rsidR="00562C72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</w:t>
      </w:r>
      <w:r w:rsidRPr="00157B64">
        <w:rPr>
          <w:sz w:val="24"/>
          <w:szCs w:val="24"/>
        </w:rPr>
        <w:t xml:space="preserve">podle </w:t>
      </w:r>
      <w:r w:rsidR="00157B64" w:rsidRPr="00157B64">
        <w:rPr>
          <w:sz w:val="24"/>
          <w:szCs w:val="24"/>
        </w:rPr>
        <w:t xml:space="preserve">§ 10 odst. 3 písm. a) a b) a </w:t>
      </w:r>
      <w:proofErr w:type="gramStart"/>
      <w:r w:rsidR="00157B64" w:rsidRPr="00157B64">
        <w:rPr>
          <w:sz w:val="24"/>
          <w:szCs w:val="24"/>
        </w:rPr>
        <w:t>odst. 4  zákona</w:t>
      </w:r>
      <w:proofErr w:type="gramEnd"/>
      <w:r w:rsidR="00157B64" w:rsidRPr="00157B64">
        <w:rPr>
          <w:sz w:val="24"/>
          <w:szCs w:val="24"/>
        </w:rPr>
        <w:t xml:space="preserve"> č. 503/2012 Sb., </w:t>
      </w:r>
      <w:r w:rsidR="00F56819" w:rsidRPr="00157B64">
        <w:rPr>
          <w:sz w:val="24"/>
          <w:szCs w:val="24"/>
        </w:rPr>
        <w:t>o Státním pozemkovém úřadu a o změně některých souvisejících zákonů, ve znění</w:t>
      </w:r>
      <w:r w:rsidR="00F56819">
        <w:rPr>
          <w:sz w:val="24"/>
          <w:szCs w:val="24"/>
        </w:rPr>
        <w:t xml:space="preserve"> pozdějších předpisů</w:t>
      </w:r>
      <w:r>
        <w:rPr>
          <w:sz w:val="24"/>
          <w:szCs w:val="24"/>
        </w:rPr>
        <w:t>, převedeny</w:t>
      </w:r>
      <w:r w:rsidR="00562C72">
        <w:rPr>
          <w:sz w:val="24"/>
          <w:szCs w:val="24"/>
        </w:rPr>
        <w:t xml:space="preserve">. 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>o Státním pozemkovém úřadu a o změně některých souvisejících zákonů, ve znění pozdějších předpisů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ind w:firstLine="426"/>
        <w:jc w:val="both"/>
      </w:pPr>
    </w:p>
    <w:p w:rsidR="00136D24" w:rsidRDefault="00136D24">
      <w:pPr>
        <w:widowControl/>
        <w:jc w:val="center"/>
        <w:rPr>
          <w:sz w:val="24"/>
          <w:szCs w:val="24"/>
        </w:rPr>
      </w:pP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157B64">
        <w:rPr>
          <w:sz w:val="24"/>
          <w:szCs w:val="24"/>
        </w:rPr>
        <w:t>Mladé Boleslavi</w:t>
      </w:r>
      <w:r>
        <w:rPr>
          <w:sz w:val="24"/>
          <w:szCs w:val="24"/>
        </w:rPr>
        <w:t xml:space="preserve"> dne </w:t>
      </w:r>
      <w:proofErr w:type="gramStart"/>
      <w:r>
        <w:rPr>
          <w:sz w:val="24"/>
          <w:szCs w:val="24"/>
        </w:rPr>
        <w:t>19.7.2017</w:t>
      </w:r>
      <w:proofErr w:type="gramEnd"/>
      <w:r>
        <w:rPr>
          <w:sz w:val="24"/>
          <w:szCs w:val="24"/>
        </w:rPr>
        <w:tab/>
      </w:r>
      <w:r w:rsidR="00157B64">
        <w:rPr>
          <w:sz w:val="24"/>
          <w:szCs w:val="24"/>
        </w:rPr>
        <w:t>V Mladé Boleslavi dne 19.7.2017</w:t>
      </w:r>
    </w:p>
    <w:p w:rsidR="00157B64" w:rsidRDefault="00157B64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157B64" w:rsidRDefault="00157B64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TIBERINA AUTOMOTIVE BĚLÁ spol. s r.o.</w:t>
      </w:r>
    </w:p>
    <w:p w:rsidR="00891A57" w:rsidRDefault="00157B64">
      <w:pPr>
        <w:widowControl/>
        <w:ind w:left="5104" w:hanging="5104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Zástupce Paolo </w:t>
      </w:r>
      <w:proofErr w:type="spellStart"/>
      <w:r>
        <w:rPr>
          <w:color w:val="000000"/>
          <w:sz w:val="24"/>
          <w:szCs w:val="24"/>
        </w:rPr>
        <w:t>Cossa</w:t>
      </w:r>
      <w:proofErr w:type="spellEnd"/>
      <w:r>
        <w:rPr>
          <w:color w:val="000000"/>
          <w:sz w:val="24"/>
          <w:szCs w:val="24"/>
        </w:rPr>
        <w:t xml:space="preserve">, 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Středočeský kraj a hl. m. Praha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Jiří Veselý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 w:rsidP="00157B6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1154066, 1153966, 1367466, 1468766</w:t>
      </w:r>
      <w:r>
        <w:rPr>
          <w:color w:val="000000"/>
          <w:sz w:val="24"/>
          <w:szCs w:val="24"/>
        </w:rPr>
        <w:br/>
      </w: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pobočky Mladá Boleslav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Mgr. Roman Hanzík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8C265A" w:rsidRDefault="008C265A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Melicharová Jana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CD75A6" w:rsidRDefault="00CD75A6" w:rsidP="00CD75A6">
      <w:pPr>
        <w:widowControl/>
      </w:pPr>
    </w:p>
    <w:p w:rsidR="00CD75A6" w:rsidRDefault="00CD75A6" w:rsidP="00CD75A6">
      <w:pPr>
        <w:widowControl/>
      </w:pPr>
    </w:p>
    <w:p w:rsidR="00CD75A6" w:rsidRPr="00A31C3B" w:rsidRDefault="00CD75A6" w:rsidP="00CD75A6">
      <w:pPr>
        <w:widowControl/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732D29">
        <w:rPr>
          <w:sz w:val="24"/>
          <w:szCs w:val="24"/>
        </w:rPr>
        <w:t>v 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136D24" w:rsidRDefault="00136D24">
      <w:pPr>
        <w:widowControl/>
      </w:pPr>
    </w:p>
    <w:sectPr w:rsidR="00136D24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52" w:rsidRDefault="00DF1052">
      <w:r>
        <w:separator/>
      </w:r>
    </w:p>
  </w:endnote>
  <w:endnote w:type="continuationSeparator" w:id="0">
    <w:p w:rsidR="00DF1052" w:rsidRDefault="00DF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52" w:rsidRDefault="00DF1052">
      <w:r>
        <w:separator/>
      </w:r>
    </w:p>
  </w:footnote>
  <w:footnote w:type="continuationSeparator" w:id="0">
    <w:p w:rsidR="00DF1052" w:rsidRDefault="00DF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52C6E"/>
    <w:rsid w:val="000B4F47"/>
    <w:rsid w:val="000D38CD"/>
    <w:rsid w:val="000F22E7"/>
    <w:rsid w:val="0010217E"/>
    <w:rsid w:val="00110AFC"/>
    <w:rsid w:val="00136D24"/>
    <w:rsid w:val="00157B64"/>
    <w:rsid w:val="002055A2"/>
    <w:rsid w:val="002359DB"/>
    <w:rsid w:val="00264C3F"/>
    <w:rsid w:val="002750DE"/>
    <w:rsid w:val="003237EF"/>
    <w:rsid w:val="00371381"/>
    <w:rsid w:val="00371BEF"/>
    <w:rsid w:val="0043604A"/>
    <w:rsid w:val="00474106"/>
    <w:rsid w:val="00562C72"/>
    <w:rsid w:val="0056566C"/>
    <w:rsid w:val="005A7486"/>
    <w:rsid w:val="005C47E0"/>
    <w:rsid w:val="00625710"/>
    <w:rsid w:val="00634F8F"/>
    <w:rsid w:val="006B26DB"/>
    <w:rsid w:val="0071632D"/>
    <w:rsid w:val="00722FCE"/>
    <w:rsid w:val="00724A2B"/>
    <w:rsid w:val="00732D29"/>
    <w:rsid w:val="007E3A0A"/>
    <w:rsid w:val="007F4AFB"/>
    <w:rsid w:val="00822906"/>
    <w:rsid w:val="00831AF0"/>
    <w:rsid w:val="00881E28"/>
    <w:rsid w:val="00891A57"/>
    <w:rsid w:val="008C265A"/>
    <w:rsid w:val="00A31C3B"/>
    <w:rsid w:val="00A31FE2"/>
    <w:rsid w:val="00A723F9"/>
    <w:rsid w:val="00A75050"/>
    <w:rsid w:val="00A84EFA"/>
    <w:rsid w:val="00B201D6"/>
    <w:rsid w:val="00B56780"/>
    <w:rsid w:val="00C02AD1"/>
    <w:rsid w:val="00C06373"/>
    <w:rsid w:val="00C70A46"/>
    <w:rsid w:val="00C9419D"/>
    <w:rsid w:val="00CD75A6"/>
    <w:rsid w:val="00D63429"/>
    <w:rsid w:val="00D65B9D"/>
    <w:rsid w:val="00DF1052"/>
    <w:rsid w:val="00E66585"/>
    <w:rsid w:val="00E85DC1"/>
    <w:rsid w:val="00EC3E05"/>
    <w:rsid w:val="00F357C4"/>
    <w:rsid w:val="00F56819"/>
    <w:rsid w:val="00F629A0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4C61B"/>
  <w14:defaultImageDpi w14:val="0"/>
  <w15:docId w15:val="{A1CFEC24-3AB0-4DD9-A886-27A8BBF5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157B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15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Melicharová Jana</dc:creator>
  <cp:keywords/>
  <dc:description/>
  <cp:lastModifiedBy>Melicharová Jana</cp:lastModifiedBy>
  <cp:revision>3</cp:revision>
  <cp:lastPrinted>2017-07-19T08:37:00Z</cp:lastPrinted>
  <dcterms:created xsi:type="dcterms:W3CDTF">2017-07-19T08:37:00Z</dcterms:created>
  <dcterms:modified xsi:type="dcterms:W3CDTF">2017-07-19T08:39:00Z</dcterms:modified>
</cp:coreProperties>
</file>