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2109FE82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750FD4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D12243">
        <w:rPr>
          <w:rFonts w:ascii="Palatino Linotype" w:hAnsi="Palatino Linotype" w:cs="Tahoma"/>
          <w:b/>
          <w:sz w:val="28"/>
          <w:szCs w:val="28"/>
          <w:lang w:eastAsia="cs-CZ"/>
        </w:rPr>
        <w:t>24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4D9DCF63" w14:textId="77777777" w:rsidR="00835005" w:rsidRPr="00835005" w:rsidRDefault="00835005" w:rsidP="00835005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C94BBF" w14:textId="3A29EF51" w:rsidR="0031510F" w:rsidRPr="00835005" w:rsidRDefault="00835005" w:rsidP="0083500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4A153DD" w14:textId="2C5B18E5" w:rsidR="000B77DF" w:rsidRPr="0021479A" w:rsidRDefault="00D12243" w:rsidP="000B77D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D12243">
        <w:rPr>
          <w:rFonts w:ascii="Palatino Linotype" w:hAnsi="Palatino Linotype"/>
          <w:b/>
          <w:bCs/>
          <w:color w:val="000000"/>
          <w:szCs w:val="24"/>
        </w:rPr>
        <w:t xml:space="preserve">Změna fyzického zapojení externí </w:t>
      </w:r>
      <w:proofErr w:type="spellStart"/>
      <w:r w:rsidRPr="00D12243">
        <w:rPr>
          <w:rFonts w:ascii="Palatino Linotype" w:hAnsi="Palatino Linotype"/>
          <w:b/>
          <w:bCs/>
          <w:color w:val="000000"/>
          <w:szCs w:val="24"/>
        </w:rPr>
        <w:t>firewallové</w:t>
      </w:r>
      <w:proofErr w:type="spellEnd"/>
      <w:r w:rsidRPr="00D12243">
        <w:rPr>
          <w:rFonts w:ascii="Palatino Linotype" w:hAnsi="Palatino Linotype"/>
          <w:b/>
          <w:bCs/>
          <w:color w:val="000000"/>
          <w:szCs w:val="24"/>
        </w:rPr>
        <w:t xml:space="preserve"> soustavy</w:t>
      </w:r>
    </w:p>
    <w:p w14:paraId="1C1B376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3F20314D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750FD4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D12243" w:rsidRPr="00D12243">
        <w:rPr>
          <w:rFonts w:ascii="Palatino Linotype" w:hAnsi="Palatino Linotype" w:cs="Tahoma"/>
          <w:b/>
          <w:sz w:val="22"/>
          <w:szCs w:val="28"/>
          <w:lang w:eastAsia="cs-CZ"/>
        </w:rPr>
        <w:t>24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465376E6" w:rsidR="00DA172E" w:rsidRPr="00DA172E" w:rsidRDefault="007D2DD6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ankovní spojení: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03A404A9" w:rsidR="00DA172E" w:rsidRPr="00DA172E" w:rsidRDefault="007D2DD6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íslo účtu: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0B05358B" w:rsidR="00DA172E" w:rsidRPr="00DA172E" w:rsidRDefault="007D2DD6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ankovní spojení: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61E3BCC2" w:rsidR="00DA172E" w:rsidRPr="00DA172E" w:rsidRDefault="007D2DD6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íslo účtu: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454F404E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2024-</w:t>
      </w:r>
      <w:r w:rsidR="00D12243" w:rsidRPr="00D12243">
        <w:rPr>
          <w:rFonts w:ascii="Palatino Linotype" w:hAnsi="Palatino Linotype" w:cs="Arial"/>
          <w:sz w:val="22"/>
          <w:szCs w:val="22"/>
        </w:rPr>
        <w:t>24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D12243" w:rsidRPr="00D12243">
        <w:rPr>
          <w:rFonts w:ascii="Palatino Linotype" w:hAnsi="Palatino Linotype" w:cs="Arial"/>
          <w:sz w:val="22"/>
          <w:szCs w:val="22"/>
        </w:rPr>
        <w:t>24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D12243" w:rsidRPr="00D12243">
        <w:rPr>
          <w:rFonts w:ascii="Palatino Linotype" w:hAnsi="Palatino Linotype" w:cs="Arial"/>
          <w:sz w:val="22"/>
          <w:szCs w:val="22"/>
        </w:rPr>
        <w:t>24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7460002C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50FD4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D12243">
        <w:rPr>
          <w:rFonts w:ascii="Palatino Linotype" w:hAnsi="Palatino Linotype" w:cs="Arial"/>
          <w:sz w:val="22"/>
          <w:szCs w:val="22"/>
        </w:rPr>
        <w:t>24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118D4A4C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lastRenderedPageBreak/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3A161961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 xml:space="preserve">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r w:rsidR="00A25B89">
        <w:rPr>
          <w:rFonts w:ascii="Palatino Linotype" w:hAnsi="Palatino Linotype" w:cs="Arial"/>
          <w:sz w:val="22"/>
          <w:szCs w:val="22"/>
        </w:rPr>
        <w:t xml:space="preserve"> </w:t>
      </w:r>
      <w:r w:rsidR="006B79BB" w:rsidRPr="00D12243">
        <w:rPr>
          <w:rFonts w:ascii="Palatino Linotype" w:hAnsi="Palatino Linotype" w:cs="Arial"/>
          <w:sz w:val="22"/>
          <w:szCs w:val="22"/>
        </w:rPr>
        <w:t>16</w:t>
      </w:r>
      <w:r w:rsidR="00A25B89" w:rsidRPr="00D12243">
        <w:rPr>
          <w:rFonts w:ascii="Palatino Linotype" w:hAnsi="Palatino Linotype" w:cs="Arial"/>
          <w:sz w:val="22"/>
          <w:szCs w:val="22"/>
        </w:rPr>
        <w:t>.</w:t>
      </w:r>
      <w:r w:rsidR="001118FF" w:rsidRPr="00D12243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D12243">
        <w:rPr>
          <w:rFonts w:ascii="Palatino Linotype" w:hAnsi="Palatino Linotype" w:cs="Arial"/>
          <w:sz w:val="22"/>
          <w:szCs w:val="22"/>
        </w:rPr>
        <w:t>12.</w:t>
      </w:r>
      <w:r w:rsidR="001118FF" w:rsidRPr="00D12243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D12243">
        <w:rPr>
          <w:rFonts w:ascii="Palatino Linotype" w:hAnsi="Palatino Linotype" w:cs="Arial"/>
          <w:sz w:val="22"/>
          <w:szCs w:val="22"/>
        </w:rPr>
        <w:t>202</w:t>
      </w:r>
      <w:r w:rsidR="00750FD4" w:rsidRPr="00D12243">
        <w:rPr>
          <w:rFonts w:ascii="Palatino Linotype" w:hAnsi="Palatino Linotype" w:cs="Arial"/>
          <w:sz w:val="22"/>
          <w:szCs w:val="22"/>
        </w:rPr>
        <w:t>4</w:t>
      </w:r>
      <w:r w:rsidR="0015799C" w:rsidRPr="00D12243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21B81ADE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proofErr w:type="gramStart"/>
      <w:r w:rsidR="00D12243" w:rsidRPr="00D12243">
        <w:rPr>
          <w:rFonts w:ascii="Palatino Linotype" w:hAnsi="Palatino Linotype" w:cs="Arial"/>
          <w:color w:val="000000" w:themeColor="text1"/>
          <w:sz w:val="22"/>
          <w:szCs w:val="22"/>
        </w:rPr>
        <w:t>986.260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,-</w:t>
      </w:r>
      <w:proofErr w:type="gramEnd"/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8D4C4B" w:rsidRPr="008D4C4B">
        <w:rPr>
          <w:rFonts w:ascii="Palatino Linotype" w:hAnsi="Palatino Linotype" w:cs="Arial"/>
          <w:color w:val="000000" w:themeColor="text1"/>
          <w:sz w:val="22"/>
          <w:szCs w:val="22"/>
        </w:rPr>
        <w:t>devět set osmdesát šest tisíc dvě stě šedesát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bez DPH, což činí 1.</w:t>
      </w:r>
      <w:r w:rsidR="00D12243">
        <w:rPr>
          <w:rFonts w:ascii="Palatino Linotype" w:hAnsi="Palatino Linotype" w:cs="Arial"/>
          <w:color w:val="000000" w:themeColor="text1"/>
          <w:sz w:val="22"/>
          <w:szCs w:val="22"/>
        </w:rPr>
        <w:t>193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D12243">
        <w:rPr>
          <w:rFonts w:ascii="Palatino Linotype" w:hAnsi="Palatino Linotype" w:cs="Arial"/>
          <w:color w:val="000000" w:themeColor="text1"/>
          <w:sz w:val="22"/>
          <w:szCs w:val="22"/>
        </w:rPr>
        <w:t>374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D12243">
        <w:rPr>
          <w:rFonts w:ascii="Palatino Linotype" w:hAnsi="Palatino Linotype" w:cs="Arial"/>
          <w:color w:val="000000" w:themeColor="text1"/>
          <w:sz w:val="22"/>
          <w:szCs w:val="22"/>
        </w:rPr>
        <w:t>6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0 Kč (slovy: </w:t>
      </w:r>
      <w:r w:rsidR="008D4C4B" w:rsidRPr="008D4C4B">
        <w:rPr>
          <w:rFonts w:ascii="Palatino Linotype" w:hAnsi="Palatino Linotype" w:cs="Arial"/>
          <w:color w:val="000000" w:themeColor="text1"/>
          <w:sz w:val="22"/>
          <w:szCs w:val="22"/>
        </w:rPr>
        <w:t>jeden milion jedno sto devadesát tři tisíc tři sta sedmdesát čtyři korun českých šedesát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1EC19658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9D46A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39008BBC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1446A53D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37F2D88C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lastRenderedPageBreak/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683D60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</w:t>
      </w:r>
      <w:r w:rsidR="00715263">
        <w:rPr>
          <w:rFonts w:ascii="Palatino Linotype" w:hAnsi="Palatino Linotype" w:cs="Arial"/>
          <w:sz w:val="22"/>
          <w:szCs w:val="22"/>
        </w:rPr>
        <w:br/>
      </w:r>
      <w:r>
        <w:rPr>
          <w:rFonts w:ascii="Palatino Linotype" w:hAnsi="Palatino Linotype" w:cs="Arial"/>
          <w:sz w:val="22"/>
          <w:szCs w:val="22"/>
        </w:rPr>
        <w:t xml:space="preserve">o registru smluv. </w:t>
      </w:r>
    </w:p>
    <w:p w14:paraId="420929A6" w14:textId="6F39BD57" w:rsidR="00A25B89" w:rsidRDefault="00A25B89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521B416" w14:textId="49065EAC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46ACC8C" w14:textId="6035C517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9D6DFF8" w14:textId="135AF40E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3517117" w14:textId="77777777" w:rsidR="00946560" w:rsidRDefault="00946560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A6D68FB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D2DD6" w:rsidRPr="00640346">
        <w:rPr>
          <w:rFonts w:ascii="Palatino Linotype" w:hAnsi="Palatino Linotype" w:cs="Arial"/>
          <w:sz w:val="22"/>
          <w:szCs w:val="22"/>
        </w:rPr>
        <w:t>–</w:t>
      </w:r>
      <w:r w:rsidR="007D2DD6">
        <w:rPr>
          <w:rFonts w:ascii="Palatino Linotype" w:hAnsi="Palatino Linotype" w:cs="Arial"/>
          <w:sz w:val="22"/>
          <w:szCs w:val="22"/>
        </w:rPr>
        <w:t xml:space="preserve"> </w:t>
      </w:r>
      <w:r w:rsidR="007D2DD6">
        <w:rPr>
          <w:rFonts w:ascii="Palatino Linotype" w:hAnsi="Palatino Linotype"/>
          <w:sz w:val="22"/>
          <w:szCs w:val="22"/>
          <w:lang w:eastAsia="cs-CZ"/>
        </w:rPr>
        <w:t>Specifikace</w:t>
      </w:r>
      <w:r w:rsidRPr="00775471">
        <w:rPr>
          <w:rFonts w:ascii="Palatino Linotype" w:hAnsi="Palatino Linotype"/>
          <w:sz w:val="22"/>
          <w:szCs w:val="22"/>
          <w:lang w:eastAsia="cs-CZ"/>
        </w:rPr>
        <w:t xml:space="preserve"> předmětu plnění</w:t>
      </w:r>
    </w:p>
    <w:p w14:paraId="105816BC" w14:textId="13A61ECD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D2DD6" w:rsidRPr="00640346">
        <w:rPr>
          <w:rFonts w:ascii="Palatino Linotype" w:hAnsi="Palatino Linotype" w:cs="Arial"/>
          <w:sz w:val="22"/>
          <w:szCs w:val="22"/>
        </w:rPr>
        <w:t>–</w:t>
      </w:r>
      <w:r w:rsidR="007D2DD6">
        <w:rPr>
          <w:rFonts w:ascii="Palatino Linotype" w:hAnsi="Palatino Linotype" w:cs="Arial"/>
          <w:sz w:val="22"/>
          <w:szCs w:val="22"/>
        </w:rPr>
        <w:t xml:space="preserve"> </w:t>
      </w:r>
      <w:r w:rsidR="007D2DD6" w:rsidRPr="00775471">
        <w:rPr>
          <w:rFonts w:ascii="Palatino Linotype" w:hAnsi="Palatino Linotype"/>
          <w:sz w:val="22"/>
          <w:szCs w:val="22"/>
          <w:lang w:eastAsia="cs-CZ"/>
        </w:rPr>
        <w:t>Cenová</w:t>
      </w:r>
      <w:r w:rsidRPr="00775471">
        <w:rPr>
          <w:rFonts w:ascii="Palatino Linotype" w:hAnsi="Palatino Linotype"/>
          <w:sz w:val="22"/>
          <w:szCs w:val="22"/>
          <w:lang w:eastAsia="cs-CZ"/>
        </w:rPr>
        <w:t xml:space="preserve">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9A5B225" w14:textId="77777777" w:rsidR="00B600A9" w:rsidRDefault="00B600A9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F2AA64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1C4BFDC6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8EC796F" w14:textId="02FB883F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6A6821A" w14:textId="77777777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E02C78" w14:textId="24B0102E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16B727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B60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BFBF" w14:textId="77777777" w:rsidR="003812B3" w:rsidRDefault="003812B3" w:rsidP="00312D44">
      <w:pPr>
        <w:spacing w:line="240" w:lineRule="auto"/>
      </w:pPr>
      <w:r>
        <w:separator/>
      </w:r>
    </w:p>
  </w:endnote>
  <w:endnote w:type="continuationSeparator" w:id="0">
    <w:p w14:paraId="54F3435D" w14:textId="77777777" w:rsidR="003812B3" w:rsidRDefault="003812B3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2B52" w14:textId="77777777" w:rsidR="008D4C4B" w:rsidRDefault="008D4C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4F6B" w14:textId="77777777" w:rsidR="003812B3" w:rsidRDefault="003812B3" w:rsidP="00312D44">
      <w:pPr>
        <w:spacing w:line="240" w:lineRule="auto"/>
      </w:pPr>
      <w:r>
        <w:separator/>
      </w:r>
    </w:p>
  </w:footnote>
  <w:footnote w:type="continuationSeparator" w:id="0">
    <w:p w14:paraId="5857F12D" w14:textId="77777777" w:rsidR="003812B3" w:rsidRDefault="003812B3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D6DF" w14:textId="77777777" w:rsidR="008D4C4B" w:rsidRDefault="008D4C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39E4DBBC" w:rsidR="00D55C9F" w:rsidRDefault="00A25B89">
    <w:pPr>
      <w:pStyle w:val="Zhlav"/>
    </w:pPr>
    <w:r>
      <w:t>MPSV1.2</w:t>
    </w:r>
    <w:r w:rsidR="00D12243">
      <w:t>4</w:t>
    </w:r>
    <w:r w:rsidRPr="00D12243">
      <w:t>.0</w:t>
    </w:r>
    <w:r w:rsidR="00D12243" w:rsidRPr="00D12243">
      <w:t>355</w:t>
    </w:r>
    <w:r w:rsidR="00D55C9F" w:rsidRPr="00D55C9F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617102106">
    <w:abstractNumId w:val="3"/>
  </w:num>
  <w:num w:numId="2" w16cid:durableId="1469396999">
    <w:abstractNumId w:val="6"/>
  </w:num>
  <w:num w:numId="3" w16cid:durableId="1282760433">
    <w:abstractNumId w:val="5"/>
  </w:num>
  <w:num w:numId="4" w16cid:durableId="514150907">
    <w:abstractNumId w:val="28"/>
  </w:num>
  <w:num w:numId="5" w16cid:durableId="743340394">
    <w:abstractNumId w:val="4"/>
  </w:num>
  <w:num w:numId="6" w16cid:durableId="1588462629">
    <w:abstractNumId w:val="23"/>
  </w:num>
  <w:num w:numId="7" w16cid:durableId="62534973">
    <w:abstractNumId w:val="9"/>
  </w:num>
  <w:num w:numId="8" w16cid:durableId="1247305272">
    <w:abstractNumId w:val="2"/>
  </w:num>
  <w:num w:numId="9" w16cid:durableId="249432980">
    <w:abstractNumId w:val="14"/>
  </w:num>
  <w:num w:numId="10" w16cid:durableId="1679649136">
    <w:abstractNumId w:val="22"/>
  </w:num>
  <w:num w:numId="11" w16cid:durableId="1174495295">
    <w:abstractNumId w:val="19"/>
  </w:num>
  <w:num w:numId="12" w16cid:durableId="1161854334">
    <w:abstractNumId w:val="1"/>
  </w:num>
  <w:num w:numId="13" w16cid:durableId="1616448175">
    <w:abstractNumId w:val="13"/>
  </w:num>
  <w:num w:numId="14" w16cid:durableId="1152408779">
    <w:abstractNumId w:val="0"/>
  </w:num>
  <w:num w:numId="15" w16cid:durableId="2067335345">
    <w:abstractNumId w:val="26"/>
  </w:num>
  <w:num w:numId="16" w16cid:durableId="487483461">
    <w:abstractNumId w:val="8"/>
  </w:num>
  <w:num w:numId="17" w16cid:durableId="1695418800">
    <w:abstractNumId w:val="27"/>
  </w:num>
  <w:num w:numId="18" w16cid:durableId="15298736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1595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5843642">
    <w:abstractNumId w:val="11"/>
  </w:num>
  <w:num w:numId="21" w16cid:durableId="270939313">
    <w:abstractNumId w:val="16"/>
  </w:num>
  <w:num w:numId="22" w16cid:durableId="414975718">
    <w:abstractNumId w:val="21"/>
  </w:num>
  <w:num w:numId="23" w16cid:durableId="1864321474">
    <w:abstractNumId w:val="17"/>
  </w:num>
  <w:num w:numId="24" w16cid:durableId="1155298149">
    <w:abstractNumId w:val="25"/>
  </w:num>
  <w:num w:numId="25" w16cid:durableId="543448461">
    <w:abstractNumId w:val="7"/>
  </w:num>
  <w:num w:numId="26" w16cid:durableId="305397792">
    <w:abstractNumId w:val="20"/>
  </w:num>
  <w:num w:numId="27" w16cid:durableId="19281426">
    <w:abstractNumId w:val="18"/>
  </w:num>
  <w:num w:numId="28" w16cid:durableId="412122134">
    <w:abstractNumId w:val="15"/>
  </w:num>
  <w:num w:numId="29" w16cid:durableId="1227764269">
    <w:abstractNumId w:val="10"/>
  </w:num>
  <w:num w:numId="30" w16cid:durableId="1898084430">
    <w:abstractNumId w:val="12"/>
  </w:num>
  <w:num w:numId="31" w16cid:durableId="590046073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999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41CCB"/>
    <w:rsid w:val="00150E13"/>
    <w:rsid w:val="00152B2F"/>
    <w:rsid w:val="001564C4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2B3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C4B"/>
    <w:rsid w:val="00546E5C"/>
    <w:rsid w:val="005538DC"/>
    <w:rsid w:val="005562F1"/>
    <w:rsid w:val="005608A1"/>
    <w:rsid w:val="005617CC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259C1"/>
    <w:rsid w:val="00636A13"/>
    <w:rsid w:val="00640346"/>
    <w:rsid w:val="006424E1"/>
    <w:rsid w:val="00650831"/>
    <w:rsid w:val="00651CE8"/>
    <w:rsid w:val="0065294C"/>
    <w:rsid w:val="0065605A"/>
    <w:rsid w:val="0066333D"/>
    <w:rsid w:val="00671C04"/>
    <w:rsid w:val="00677C70"/>
    <w:rsid w:val="00694143"/>
    <w:rsid w:val="00695413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876A8"/>
    <w:rsid w:val="007A710A"/>
    <w:rsid w:val="007C0C09"/>
    <w:rsid w:val="007C137D"/>
    <w:rsid w:val="007D2DD6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4327"/>
    <w:rsid w:val="008D4C4B"/>
    <w:rsid w:val="008D4C66"/>
    <w:rsid w:val="008D52B8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34BA5"/>
    <w:rsid w:val="00A4405F"/>
    <w:rsid w:val="00A529FE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00A9"/>
    <w:rsid w:val="00B67B81"/>
    <w:rsid w:val="00B73D11"/>
    <w:rsid w:val="00B76A26"/>
    <w:rsid w:val="00B84CA1"/>
    <w:rsid w:val="00B97A70"/>
    <w:rsid w:val="00BD38F2"/>
    <w:rsid w:val="00BD55AA"/>
    <w:rsid w:val="00BF2556"/>
    <w:rsid w:val="00C056E8"/>
    <w:rsid w:val="00C064E6"/>
    <w:rsid w:val="00C10D2C"/>
    <w:rsid w:val="00C17101"/>
    <w:rsid w:val="00C21566"/>
    <w:rsid w:val="00C25587"/>
    <w:rsid w:val="00C27A5D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D12243"/>
    <w:rsid w:val="00D15F29"/>
    <w:rsid w:val="00D16E17"/>
    <w:rsid w:val="00D21E18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4B51"/>
    <w:rsid w:val="00F02E46"/>
    <w:rsid w:val="00F0302F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64EAA"/>
    <w:rsid w:val="00F7021E"/>
    <w:rsid w:val="00F733E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2941-ABFF-42FE-A1CE-8A1BE6B8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1701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4</cp:revision>
  <cp:lastPrinted>2024-08-26T12:25:00Z</cp:lastPrinted>
  <dcterms:created xsi:type="dcterms:W3CDTF">2024-08-26T12:25:00Z</dcterms:created>
  <dcterms:modified xsi:type="dcterms:W3CDTF">2024-09-03T08:58:00Z</dcterms:modified>
</cp:coreProperties>
</file>