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B" w:rsidRPr="00CE70F0" w:rsidRDefault="00A0240C" w:rsidP="00CE70F0">
      <w:pPr>
        <w:pStyle w:val="Title"/>
        <w:spacing w:before="480"/>
        <w:contextualSpacing/>
        <w:rPr>
          <w:rFonts w:ascii="Arial" w:hAnsi="Arial" w:cs="Arial"/>
          <w:b w:val="0"/>
          <w:sz w:val="28"/>
          <w:szCs w:val="28"/>
        </w:rPr>
      </w:pPr>
      <w:r w:rsidRPr="00CE70F0">
        <w:rPr>
          <w:rFonts w:ascii="Arial" w:hAnsi="Arial" w:cs="Arial"/>
          <w:sz w:val="28"/>
          <w:szCs w:val="28"/>
        </w:rPr>
        <w:t xml:space="preserve">Smlouva o limitaci rizik spojených s hrazením léčivého přípravku </w:t>
      </w:r>
    </w:p>
    <w:p w:rsidR="00DA4A7B" w:rsidRPr="00CE70F0" w:rsidRDefault="00D92109" w:rsidP="00CE70F0">
      <w:pPr>
        <w:contextualSpacing/>
        <w:jc w:val="center"/>
        <w:rPr>
          <w:rFonts w:ascii="Arial" w:hAnsi="Arial" w:cs="Arial"/>
          <w:sz w:val="28"/>
          <w:szCs w:val="28"/>
        </w:rPr>
      </w:pPr>
      <w:r w:rsidRPr="00CE70F0">
        <w:rPr>
          <w:rFonts w:ascii="Arial" w:hAnsi="Arial" w:cs="Arial"/>
          <w:sz w:val="28"/>
          <w:szCs w:val="28"/>
        </w:rPr>
        <w:t xml:space="preserve">č. </w:t>
      </w:r>
      <w:r w:rsidR="00A0240C" w:rsidRPr="00CE70F0">
        <w:rPr>
          <w:rFonts w:ascii="Arial" w:hAnsi="Arial" w:cs="Arial"/>
          <w:sz w:val="28"/>
          <w:szCs w:val="28"/>
        </w:rPr>
        <w:t>….</w:t>
      </w:r>
      <w:r w:rsidR="0009512B" w:rsidRPr="00CE70F0">
        <w:rPr>
          <w:rFonts w:ascii="Arial" w:hAnsi="Arial" w:cs="Arial"/>
          <w:sz w:val="28"/>
          <w:szCs w:val="28"/>
        </w:rPr>
        <w:t>.</w:t>
      </w:r>
      <w:r w:rsidR="00A0240C" w:rsidRPr="00CE70F0">
        <w:rPr>
          <w:rFonts w:ascii="Arial" w:hAnsi="Arial" w:cs="Arial"/>
          <w:sz w:val="28"/>
          <w:szCs w:val="28"/>
        </w:rPr>
        <w:t>/2016</w:t>
      </w:r>
    </w:p>
    <w:p w:rsidR="009A2873" w:rsidRPr="00CE70F0" w:rsidRDefault="009A2873" w:rsidP="00CE70F0">
      <w:pPr>
        <w:contextualSpacing/>
        <w:jc w:val="center"/>
        <w:rPr>
          <w:rFonts w:ascii="Arial" w:hAnsi="Arial" w:cs="Arial"/>
        </w:rPr>
      </w:pPr>
    </w:p>
    <w:p w:rsidR="0009512B" w:rsidRPr="00CE70F0" w:rsidRDefault="00DA4A7B" w:rsidP="00CE70F0">
      <w:pPr>
        <w:contextualSpacing/>
        <w:jc w:val="center"/>
        <w:rPr>
          <w:rFonts w:ascii="Arial" w:hAnsi="Arial" w:cs="Arial"/>
        </w:rPr>
      </w:pPr>
      <w:r w:rsidRPr="00CE70F0">
        <w:rPr>
          <w:rFonts w:ascii="Arial" w:hAnsi="Arial" w:cs="Arial"/>
        </w:rPr>
        <w:t>uzavřená dohodou smluvních stran v souladu s § 1746 odst. 2</w:t>
      </w:r>
    </w:p>
    <w:p w:rsidR="00DA4A7B" w:rsidRPr="00CE70F0" w:rsidRDefault="00DA4A7B" w:rsidP="00CE70F0">
      <w:pPr>
        <w:contextualSpacing/>
        <w:jc w:val="center"/>
        <w:rPr>
          <w:rFonts w:ascii="Arial" w:hAnsi="Arial" w:cs="Arial"/>
        </w:rPr>
      </w:pPr>
      <w:r w:rsidRPr="00CE70F0">
        <w:rPr>
          <w:rFonts w:ascii="Arial" w:hAnsi="Arial" w:cs="Arial"/>
        </w:rPr>
        <w:t>zákona č. 89/2012 Sb., občanského zákoníku.</w:t>
      </w:r>
    </w:p>
    <w:p w:rsidR="000A4A29" w:rsidRPr="00CE70F0" w:rsidRDefault="000A4A29" w:rsidP="00CE70F0">
      <w:pPr>
        <w:ind w:left="-142"/>
        <w:contextualSpacing/>
        <w:rPr>
          <w:rFonts w:ascii="Arial" w:hAnsi="Arial" w:cs="Arial"/>
        </w:rPr>
      </w:pPr>
    </w:p>
    <w:p w:rsidR="000A4A29" w:rsidRPr="00CE70F0" w:rsidRDefault="000A4A29" w:rsidP="00CE70F0">
      <w:pPr>
        <w:ind w:left="-142"/>
        <w:contextualSpacing/>
        <w:rPr>
          <w:rFonts w:ascii="Arial" w:hAnsi="Arial" w:cs="Arial"/>
        </w:rPr>
      </w:pPr>
    </w:p>
    <w:p w:rsidR="00A0240C" w:rsidRPr="00CE70F0" w:rsidRDefault="00E65BC4" w:rsidP="00CE70F0">
      <w:pPr>
        <w:ind w:left="-142"/>
        <w:contextualSpacing/>
        <w:rPr>
          <w:rFonts w:ascii="Arial" w:hAnsi="Arial" w:cs="Arial"/>
        </w:rPr>
      </w:pPr>
      <w:r w:rsidRPr="00CE70F0">
        <w:rPr>
          <w:rFonts w:ascii="Arial" w:hAnsi="Arial" w:cs="Arial"/>
        </w:rPr>
        <w:t>S</w:t>
      </w:r>
      <w:r w:rsidR="00A0240C" w:rsidRPr="00CE70F0">
        <w:rPr>
          <w:rFonts w:ascii="Arial" w:hAnsi="Arial" w:cs="Arial"/>
        </w:rPr>
        <w:t>mluvní stran</w:t>
      </w:r>
      <w:r w:rsidRPr="00CE70F0">
        <w:rPr>
          <w:rFonts w:ascii="Arial" w:hAnsi="Arial" w:cs="Arial"/>
        </w:rPr>
        <w:t>y</w:t>
      </w:r>
      <w:r w:rsidR="00A0240C" w:rsidRPr="00CE70F0">
        <w:rPr>
          <w:rFonts w:ascii="Arial" w:hAnsi="Arial" w:cs="Arial"/>
        </w:rPr>
        <w:t>:</w:t>
      </w:r>
    </w:p>
    <w:p w:rsidR="00A0240C" w:rsidRPr="00CE70F0" w:rsidRDefault="00A0240C" w:rsidP="00CE70F0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194"/>
      </w:tblGrid>
      <w:tr w:rsidR="00A0240C" w:rsidRPr="00CE70F0" w:rsidTr="00CE70F0">
        <w:trPr>
          <w:cnfStyle w:val="100000000000"/>
          <w:trHeight w:hRule="exact" w:val="56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A0240C" w:rsidRPr="00CE70F0" w:rsidRDefault="00A0240C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Všeobecná zdravotní pojišťovna České republiky</w:t>
            </w:r>
          </w:p>
          <w:p w:rsidR="00A0240C" w:rsidRPr="00CE70F0" w:rsidRDefault="00A0240C" w:rsidP="00CE70F0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CE70F0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A0240C" w:rsidRPr="00CE70F0" w:rsidTr="00CE70F0">
        <w:trPr>
          <w:cnfStyle w:val="00000010000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:rsidR="00A0240C" w:rsidRPr="00CE70F0" w:rsidRDefault="00A0240C" w:rsidP="00CE70F0">
            <w:pPr>
              <w:contextualSpacing/>
              <w:rPr>
                <w:rFonts w:ascii="Arial" w:hAnsi="Arial" w:cs="Arial"/>
                <w:b/>
              </w:rPr>
            </w:pPr>
            <w:r w:rsidRPr="00CE70F0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A0240C" w:rsidRPr="00CE70F0" w:rsidRDefault="00A0240C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Orlická 4/2020, 130 00</w:t>
            </w:r>
            <w:r w:rsidR="00E65BC4" w:rsidRPr="00CE70F0">
              <w:rPr>
                <w:rFonts w:ascii="Arial" w:hAnsi="Arial" w:cs="Arial"/>
              </w:rPr>
              <w:t> </w:t>
            </w:r>
            <w:r w:rsidRPr="00CE70F0">
              <w:rPr>
                <w:rFonts w:ascii="Arial" w:hAnsi="Arial" w:cs="Arial"/>
              </w:rPr>
              <w:t>Praha 3</w:t>
            </w:r>
          </w:p>
        </w:tc>
      </w:tr>
      <w:tr w:rsidR="00A0240C" w:rsidRPr="00CE70F0" w:rsidTr="00CE70F0">
        <w:trPr>
          <w:cnfStyle w:val="000000010000"/>
          <w:trHeight w:hRule="exact" w:val="28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40C" w:rsidRPr="00CE70F0" w:rsidRDefault="00A0240C" w:rsidP="00CE70F0">
            <w:pPr>
              <w:contextualSpacing/>
              <w:rPr>
                <w:rFonts w:ascii="Arial" w:hAnsi="Arial" w:cs="Arial"/>
                <w:b/>
              </w:rPr>
            </w:pPr>
            <w:r w:rsidRPr="00CE70F0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40C" w:rsidRPr="00CE70F0" w:rsidRDefault="00A0240C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41197518</w:t>
            </w:r>
          </w:p>
        </w:tc>
      </w:tr>
      <w:tr w:rsidR="00A0240C" w:rsidRPr="00CE70F0" w:rsidTr="00CE70F0">
        <w:trPr>
          <w:cnfStyle w:val="000000100000"/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A0240C" w:rsidRPr="00CE70F0" w:rsidRDefault="00A0240C" w:rsidP="00CE70F0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CE70F0">
              <w:rPr>
                <w:rFonts w:ascii="Arial" w:hAnsi="Arial" w:cs="Arial"/>
                <w:b/>
              </w:rPr>
              <w:t>Zastoupen</w:t>
            </w:r>
            <w:r w:rsidR="00AD2C84" w:rsidRPr="00CE70F0">
              <w:rPr>
                <w:rFonts w:ascii="Arial" w:hAnsi="Arial" w:cs="Arial"/>
                <w:b/>
              </w:rPr>
              <w:t>a</w:t>
            </w:r>
            <w:r w:rsidRPr="00CE70F0">
              <w:rPr>
                <w:rFonts w:ascii="Arial" w:hAnsi="Arial" w:cs="Arial"/>
                <w:b/>
              </w:rPr>
              <w:t xml:space="preserve">: </w:t>
            </w:r>
          </w:p>
          <w:p w:rsidR="00A0240C" w:rsidRPr="00CE70F0" w:rsidRDefault="00A0240C" w:rsidP="00CE70F0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194" w:type="dxa"/>
            <w:shd w:val="clear" w:color="auto" w:fill="auto"/>
            <w:vAlign w:val="center"/>
          </w:tcPr>
          <w:p w:rsidR="00446323" w:rsidRPr="00CE70F0" w:rsidRDefault="00446323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MUDr. Milan Krotký, ředitel Odboru léčiv a zdravotnických prostředků VZP ČR,</w:t>
            </w:r>
          </w:p>
          <w:p w:rsidR="00A0240C" w:rsidRPr="00CE70F0" w:rsidRDefault="00446323" w:rsidP="00CE70F0">
            <w:pPr>
              <w:spacing w:before="40"/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  <w:tr w:rsidR="00C27B65" w:rsidRPr="00CE70F0" w:rsidTr="00CE70F0">
        <w:trPr>
          <w:cnfStyle w:val="000000010000"/>
          <w:trHeight w:hRule="exact" w:val="283"/>
        </w:trPr>
        <w:tc>
          <w:tcPr>
            <w:tcW w:w="2093" w:type="dxa"/>
            <w:shd w:val="clear" w:color="auto" w:fill="auto"/>
            <w:vAlign w:val="center"/>
          </w:tcPr>
          <w:p w:rsidR="00C27B65" w:rsidRPr="00CE70F0" w:rsidRDefault="00C27B65" w:rsidP="00CE70F0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CE70F0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C27B65" w:rsidRPr="00CE70F0" w:rsidRDefault="00D01A2D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i</w:t>
            </w:r>
            <w:r w:rsidR="00C27B65" w:rsidRPr="00CE70F0">
              <w:rPr>
                <w:rFonts w:ascii="Arial" w:hAnsi="Arial" w:cs="Arial"/>
              </w:rPr>
              <w:t>48ae3q</w:t>
            </w:r>
          </w:p>
        </w:tc>
      </w:tr>
    </w:tbl>
    <w:p w:rsidR="00A0240C" w:rsidRPr="00CE70F0" w:rsidRDefault="00A0240C" w:rsidP="00CE70F0">
      <w:pPr>
        <w:contextualSpacing/>
        <w:rPr>
          <w:rFonts w:ascii="Arial" w:hAnsi="Arial" w:cs="Arial"/>
        </w:rPr>
      </w:pPr>
    </w:p>
    <w:p w:rsidR="00A0240C" w:rsidRPr="00CE70F0" w:rsidRDefault="00A0240C" w:rsidP="00CE70F0">
      <w:pPr>
        <w:ind w:left="-142" w:firstLine="142"/>
        <w:contextualSpacing/>
        <w:rPr>
          <w:rFonts w:ascii="Arial" w:hAnsi="Arial" w:cs="Arial"/>
        </w:rPr>
      </w:pPr>
      <w:r w:rsidRPr="00CE70F0">
        <w:rPr>
          <w:rFonts w:ascii="Arial" w:hAnsi="Arial" w:cs="Arial"/>
        </w:rPr>
        <w:t>(dále jen „</w:t>
      </w:r>
      <w:r w:rsidRPr="00CE70F0">
        <w:rPr>
          <w:rFonts w:ascii="Arial" w:hAnsi="Arial" w:cs="Arial"/>
          <w:b/>
        </w:rPr>
        <w:t>Pojišťovna</w:t>
      </w:r>
      <w:r w:rsidRPr="00CE70F0">
        <w:rPr>
          <w:rFonts w:ascii="Arial" w:hAnsi="Arial" w:cs="Arial"/>
        </w:rPr>
        <w:t>“) na straně jedné</w:t>
      </w:r>
    </w:p>
    <w:p w:rsidR="00A0240C" w:rsidRPr="00CE70F0" w:rsidRDefault="00A0240C" w:rsidP="00CE70F0">
      <w:pPr>
        <w:contextualSpacing/>
        <w:rPr>
          <w:rFonts w:ascii="Arial" w:hAnsi="Arial" w:cs="Arial"/>
        </w:rPr>
      </w:pPr>
    </w:p>
    <w:p w:rsidR="00A0240C" w:rsidRPr="00CE70F0" w:rsidRDefault="00A0240C" w:rsidP="00CE70F0">
      <w:pPr>
        <w:contextualSpacing/>
        <w:rPr>
          <w:rFonts w:ascii="Arial" w:hAnsi="Arial" w:cs="Arial"/>
        </w:rPr>
      </w:pPr>
      <w:r w:rsidRPr="00CE70F0">
        <w:rPr>
          <w:rFonts w:ascii="Arial" w:hAnsi="Arial" w:cs="Arial"/>
        </w:rPr>
        <w:t>a</w:t>
      </w:r>
    </w:p>
    <w:p w:rsidR="00A0240C" w:rsidRPr="00CE70F0" w:rsidRDefault="00A0240C" w:rsidP="00CE70F0">
      <w:pPr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917"/>
        <w:gridCol w:w="7371"/>
      </w:tblGrid>
      <w:tr w:rsidR="00201A07" w:rsidRPr="00CE70F0" w:rsidTr="00CE70F0">
        <w:trPr>
          <w:cnfStyle w:val="100000000000"/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Celgene Europe Limited</w:t>
            </w:r>
          </w:p>
        </w:tc>
      </w:tr>
      <w:tr w:rsidR="00201A07" w:rsidRPr="00CE70F0" w:rsidTr="00CE70F0">
        <w:trPr>
          <w:cnfStyle w:val="000000100000"/>
          <w:trHeight w:val="28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pStyle w:val="ListParagraph"/>
              <w:ind w:left="0"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Longwalk Road, Stockley Park, Uxbridge, UB11 1DB, Velká Británie</w:t>
            </w:r>
          </w:p>
        </w:tc>
      </w:tr>
      <w:tr w:rsidR="00201A07" w:rsidRPr="00CE70F0" w:rsidTr="00CE70F0">
        <w:trPr>
          <w:cnfStyle w:val="000000010000"/>
          <w:trHeight w:val="28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 xml:space="preserve">Zapsaná: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A07" w:rsidRPr="00CE70F0" w:rsidRDefault="006B6D1C" w:rsidP="00CE70F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Comanies House</w:t>
            </w:r>
          </w:p>
        </w:tc>
      </w:tr>
      <w:tr w:rsidR="00201A07" w:rsidRPr="00CE70F0" w:rsidTr="00CE70F0">
        <w:trPr>
          <w:cnfStyle w:val="000000100000"/>
          <w:trHeight w:val="28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>Registrační číslo: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A07" w:rsidRPr="00CE70F0" w:rsidRDefault="006B6D1C" w:rsidP="00CE70F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04372569</w:t>
            </w:r>
          </w:p>
        </w:tc>
      </w:tr>
      <w:tr w:rsidR="00201A07" w:rsidRPr="00CE70F0" w:rsidTr="00CE70F0">
        <w:trPr>
          <w:cnfStyle w:val="000000010000"/>
          <w:trHeight w:val="2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CE70F0" w:rsidRDefault="00201A07" w:rsidP="00CE70F0">
            <w:pPr>
              <w:contextualSpacing/>
              <w:rPr>
                <w:rFonts w:ascii="Arial" w:hAnsi="Arial" w:cs="Arial"/>
              </w:rPr>
            </w:pPr>
            <w:r w:rsidRPr="00CE70F0">
              <w:rPr>
                <w:rFonts w:ascii="Arial" w:hAnsi="Arial" w:cs="Arial"/>
              </w:rPr>
              <w:t xml:space="preserve">Zastoupena na základě plné moci:       </w:t>
            </w:r>
          </w:p>
        </w:tc>
      </w:tr>
      <w:tr w:rsidR="00201A07" w:rsidRPr="00CE70F0" w:rsidTr="00CE70F0">
        <w:trPr>
          <w:cnfStyle w:val="000000100000"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A07" w:rsidRPr="0060115C" w:rsidRDefault="0060115C" w:rsidP="00CE70F0">
            <w:pPr>
              <w:contextualSpacing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MUDr. Ivan Ťurek</w:t>
            </w:r>
          </w:p>
        </w:tc>
      </w:tr>
    </w:tbl>
    <w:p w:rsidR="00A0240C" w:rsidRPr="00CE70F0" w:rsidRDefault="00A0240C" w:rsidP="00CE70F0">
      <w:pPr>
        <w:spacing w:before="120"/>
        <w:ind w:left="2517" w:hanging="2517"/>
        <w:contextualSpacing/>
        <w:rPr>
          <w:rFonts w:ascii="Arial" w:hAnsi="Arial" w:cs="Arial"/>
        </w:rPr>
      </w:pPr>
    </w:p>
    <w:p w:rsidR="00A0240C" w:rsidRPr="00CE70F0" w:rsidRDefault="00A0240C" w:rsidP="00CE70F0">
      <w:pPr>
        <w:spacing w:before="120"/>
        <w:ind w:left="2517" w:hanging="2517"/>
        <w:contextualSpacing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(dále jen </w:t>
      </w:r>
      <w:r w:rsidRPr="00CE70F0">
        <w:rPr>
          <w:rFonts w:ascii="Arial" w:hAnsi="Arial" w:cs="Arial"/>
          <w:b/>
        </w:rPr>
        <w:t>„</w:t>
      </w:r>
      <w:r w:rsidR="00E10A0F" w:rsidRPr="00CE70F0">
        <w:rPr>
          <w:rFonts w:ascii="Arial" w:hAnsi="Arial" w:cs="Arial"/>
          <w:b/>
        </w:rPr>
        <w:t>Držitel</w:t>
      </w:r>
      <w:r w:rsidRPr="00CE70F0">
        <w:rPr>
          <w:rFonts w:ascii="Arial" w:hAnsi="Arial" w:cs="Arial"/>
          <w:b/>
        </w:rPr>
        <w:t>“</w:t>
      </w:r>
      <w:r w:rsidRPr="00CE70F0">
        <w:rPr>
          <w:rFonts w:ascii="Arial" w:hAnsi="Arial" w:cs="Arial"/>
        </w:rPr>
        <w:t xml:space="preserve">) na straně </w:t>
      </w:r>
      <w:r w:rsidR="00E867A5" w:rsidRPr="00CE70F0">
        <w:rPr>
          <w:rFonts w:ascii="Arial" w:hAnsi="Arial" w:cs="Arial"/>
        </w:rPr>
        <w:t>druhé</w:t>
      </w:r>
    </w:p>
    <w:p w:rsidR="00A0240C" w:rsidRPr="00CE70F0" w:rsidRDefault="00A0240C" w:rsidP="00CE70F0">
      <w:pPr>
        <w:contextualSpacing/>
        <w:rPr>
          <w:rFonts w:ascii="Arial" w:hAnsi="Arial" w:cs="Arial"/>
        </w:rPr>
      </w:pPr>
    </w:p>
    <w:p w:rsidR="00596B3D" w:rsidRPr="00CE70F0" w:rsidRDefault="00596B3D" w:rsidP="00CE70F0">
      <w:pPr>
        <w:contextualSpacing/>
        <w:rPr>
          <w:rFonts w:ascii="Arial" w:hAnsi="Arial" w:cs="Arial"/>
        </w:rPr>
      </w:pPr>
    </w:p>
    <w:p w:rsidR="00E867A5" w:rsidRPr="00CE70F0" w:rsidRDefault="00E867A5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u z a v í r a j í</w:t>
      </w:r>
    </w:p>
    <w:p w:rsidR="00E867A5" w:rsidRPr="00CE70F0" w:rsidRDefault="00E867A5" w:rsidP="00CE70F0">
      <w:pPr>
        <w:contextualSpacing/>
        <w:jc w:val="both"/>
        <w:rPr>
          <w:rFonts w:ascii="Arial" w:hAnsi="Arial" w:cs="Arial"/>
        </w:rPr>
      </w:pPr>
    </w:p>
    <w:p w:rsidR="00596B3D" w:rsidRPr="00CE70F0" w:rsidRDefault="00596B3D" w:rsidP="00CE70F0">
      <w:pPr>
        <w:contextualSpacing/>
        <w:jc w:val="both"/>
        <w:rPr>
          <w:rFonts w:ascii="Arial" w:hAnsi="Arial" w:cs="Arial"/>
        </w:rPr>
      </w:pPr>
    </w:p>
    <w:p w:rsidR="00E867A5" w:rsidRPr="00CE70F0" w:rsidRDefault="00E867A5" w:rsidP="00CE70F0">
      <w:pPr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v souladu se zákon</w:t>
      </w:r>
      <w:r w:rsidR="00EA7E6B" w:rsidRPr="00CE70F0">
        <w:rPr>
          <w:rFonts w:ascii="Arial" w:hAnsi="Arial" w:cs="Arial"/>
        </w:rPr>
        <w:t>em</w:t>
      </w:r>
      <w:r w:rsidRPr="00CE70F0">
        <w:rPr>
          <w:rFonts w:ascii="Arial" w:hAnsi="Arial" w:cs="Arial"/>
        </w:rPr>
        <w:t xml:space="preserve"> č. 48/1997 Sb., o veřejném zdravotním pojištění a o změně a doplnění některých souvisejících zákonů, ve znění pozdějších předpisů (dále jen „</w:t>
      </w:r>
      <w:r w:rsidRPr="00CE70F0">
        <w:rPr>
          <w:rFonts w:ascii="Arial" w:hAnsi="Arial" w:cs="Arial"/>
          <w:b/>
        </w:rPr>
        <w:t>zákon o veřejném zdravotním pojištění</w:t>
      </w:r>
      <w:r w:rsidRPr="00CE70F0">
        <w:rPr>
          <w:rFonts w:ascii="Arial" w:hAnsi="Arial" w:cs="Arial"/>
        </w:rPr>
        <w:t>“), zákonem č. 551/1991 Sb., o Všeobecné zdravotní pojišťovně České republiky, ve znění pozdějších předpisů</w:t>
      </w:r>
      <w:r w:rsidR="000A4A29" w:rsidRPr="00CE70F0">
        <w:rPr>
          <w:rFonts w:ascii="Arial" w:hAnsi="Arial" w:cs="Arial"/>
        </w:rPr>
        <w:t>,</w:t>
      </w:r>
      <w:r w:rsidRPr="00CE70F0">
        <w:rPr>
          <w:rFonts w:ascii="Arial" w:hAnsi="Arial" w:cs="Arial"/>
        </w:rPr>
        <w:t xml:space="preserve"> vyhláškou MF č. 418/2003 Sb. a dalšími souvisejícími právními předpisy tuto</w:t>
      </w:r>
      <w:r w:rsidR="000A4A29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  <w:b/>
        </w:rPr>
        <w:t xml:space="preserve">Smlouvu o limitaci rizik spojených s hrazením léčivého přípravku </w:t>
      </w:r>
      <w:r w:rsidRPr="00CE70F0">
        <w:rPr>
          <w:rFonts w:ascii="Arial" w:hAnsi="Arial" w:cs="Arial"/>
        </w:rPr>
        <w:t xml:space="preserve">(dále jen </w:t>
      </w:r>
      <w:r w:rsidR="000A4A29" w:rsidRPr="00CE70F0">
        <w:rPr>
          <w:rFonts w:ascii="Arial" w:hAnsi="Arial" w:cs="Arial"/>
          <w:b/>
        </w:rPr>
        <w:t>„</w:t>
      </w:r>
      <w:r w:rsidRPr="00CE70F0">
        <w:rPr>
          <w:rFonts w:ascii="Arial" w:hAnsi="Arial" w:cs="Arial"/>
          <w:b/>
        </w:rPr>
        <w:t>Smlouva</w:t>
      </w:r>
      <w:r w:rsidR="000A4A29" w:rsidRPr="00CE70F0">
        <w:rPr>
          <w:rFonts w:ascii="Arial" w:hAnsi="Arial" w:cs="Arial"/>
          <w:b/>
        </w:rPr>
        <w:t>“</w:t>
      </w:r>
      <w:r w:rsidRPr="00CE70F0">
        <w:rPr>
          <w:rFonts w:ascii="Arial" w:hAnsi="Arial" w:cs="Arial"/>
        </w:rPr>
        <w:t>)</w:t>
      </w:r>
      <w:r w:rsidR="000A4A29" w:rsidRPr="00CE70F0">
        <w:rPr>
          <w:rFonts w:ascii="Arial" w:hAnsi="Arial" w:cs="Arial"/>
        </w:rPr>
        <w:t>.</w:t>
      </w:r>
    </w:p>
    <w:p w:rsidR="005B0557" w:rsidRPr="00CE70F0" w:rsidRDefault="005B0557" w:rsidP="00CE70F0">
      <w:pPr>
        <w:tabs>
          <w:tab w:val="left" w:pos="3857"/>
          <w:tab w:val="center" w:pos="4536"/>
        </w:tabs>
        <w:contextualSpacing/>
        <w:jc w:val="center"/>
        <w:rPr>
          <w:rFonts w:ascii="Arial" w:hAnsi="Arial" w:cs="Arial"/>
          <w:b/>
        </w:rPr>
      </w:pPr>
    </w:p>
    <w:p w:rsidR="00596B3D" w:rsidRPr="00CE70F0" w:rsidRDefault="00596B3D" w:rsidP="00CE70F0">
      <w:pPr>
        <w:tabs>
          <w:tab w:val="left" w:pos="3857"/>
          <w:tab w:val="center" w:pos="4536"/>
        </w:tabs>
        <w:contextualSpacing/>
        <w:jc w:val="center"/>
        <w:rPr>
          <w:rFonts w:ascii="Arial" w:hAnsi="Arial" w:cs="Arial"/>
          <w:b/>
        </w:rPr>
      </w:pPr>
    </w:p>
    <w:p w:rsidR="00E867A5" w:rsidRPr="00CE70F0" w:rsidRDefault="00E867A5" w:rsidP="00CE70F0">
      <w:pPr>
        <w:tabs>
          <w:tab w:val="left" w:pos="3857"/>
          <w:tab w:val="center" w:pos="4536"/>
        </w:tabs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DD6627" w:rsidRPr="00CE70F0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E867A5" w:rsidRPr="00CE70F0" w:rsidRDefault="00E867A5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Účel Smlouvy</w:t>
      </w:r>
    </w:p>
    <w:p w:rsidR="00E4043E" w:rsidRPr="00CE70F0" w:rsidRDefault="00E4043E" w:rsidP="00CE70F0">
      <w:pPr>
        <w:contextualSpacing/>
        <w:jc w:val="center"/>
        <w:rPr>
          <w:rFonts w:ascii="Arial" w:hAnsi="Arial" w:cs="Arial"/>
          <w:b/>
        </w:rPr>
      </w:pPr>
    </w:p>
    <w:p w:rsidR="00E4043E" w:rsidRPr="00CE70F0" w:rsidRDefault="006E7E1B" w:rsidP="005905BE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596B3D" w:rsidRPr="00CE70F0">
        <w:rPr>
          <w:rFonts w:ascii="Arial" w:hAnsi="Arial" w:cs="Arial"/>
        </w:rPr>
        <w:t xml:space="preserve"> </w:t>
      </w:r>
      <w:r w:rsidR="00362485" w:rsidRPr="00CE70F0">
        <w:rPr>
          <w:rFonts w:ascii="Arial" w:hAnsi="Arial" w:cs="Arial"/>
        </w:rPr>
        <w:t>má zájem uvádět na trh v České republice léčiv</w:t>
      </w:r>
      <w:r w:rsidR="00002C96" w:rsidRPr="00CE70F0">
        <w:rPr>
          <w:rFonts w:ascii="Arial" w:hAnsi="Arial" w:cs="Arial"/>
        </w:rPr>
        <w:t>ý</w:t>
      </w:r>
      <w:r w:rsidR="00362485" w:rsidRPr="00CE70F0">
        <w:rPr>
          <w:rFonts w:ascii="Arial" w:hAnsi="Arial" w:cs="Arial"/>
        </w:rPr>
        <w:t xml:space="preserve"> příprav</w:t>
      </w:r>
      <w:r w:rsidR="00002C96" w:rsidRPr="00CE70F0">
        <w:rPr>
          <w:rFonts w:ascii="Arial" w:hAnsi="Arial" w:cs="Arial"/>
        </w:rPr>
        <w:t>ek, který je specifikován Přílohou</w:t>
      </w:r>
      <w:r w:rsidRPr="00CE70F0">
        <w:rPr>
          <w:rFonts w:ascii="Arial" w:hAnsi="Arial" w:cs="Arial"/>
        </w:rPr>
        <w:t> </w:t>
      </w:r>
      <w:r w:rsidR="00002C96" w:rsidRPr="00CE70F0">
        <w:rPr>
          <w:rFonts w:ascii="Arial" w:hAnsi="Arial" w:cs="Arial"/>
        </w:rPr>
        <w:t>č.</w:t>
      </w:r>
      <w:r w:rsidR="00C27B65" w:rsidRPr="00CE70F0">
        <w:rPr>
          <w:rFonts w:ascii="Arial" w:hAnsi="Arial" w:cs="Arial"/>
        </w:rPr>
        <w:t> </w:t>
      </w:r>
      <w:r w:rsidR="00002C96" w:rsidRPr="00CE70F0">
        <w:rPr>
          <w:rFonts w:ascii="Arial" w:hAnsi="Arial" w:cs="Arial"/>
        </w:rPr>
        <w:t>1 Smlouvy (dále jen „Přípravek“).</w:t>
      </w:r>
    </w:p>
    <w:p w:rsidR="00E4043E" w:rsidRPr="00CE70F0" w:rsidRDefault="00E4043E" w:rsidP="00CE70F0">
      <w:pPr>
        <w:pStyle w:val="ListParagraph"/>
        <w:spacing w:before="120"/>
        <w:ind w:left="426" w:hanging="426"/>
        <w:jc w:val="both"/>
        <w:rPr>
          <w:rFonts w:ascii="Arial" w:hAnsi="Arial" w:cs="Arial"/>
        </w:rPr>
      </w:pPr>
    </w:p>
    <w:p w:rsidR="00E4043E" w:rsidRDefault="00E867A5" w:rsidP="005905BE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</w:rPr>
      </w:pPr>
      <w:r w:rsidRPr="0009104E">
        <w:rPr>
          <w:rFonts w:ascii="Arial" w:hAnsi="Arial" w:cs="Arial"/>
        </w:rPr>
        <w:lastRenderedPageBreak/>
        <w:t xml:space="preserve">Účelem </w:t>
      </w:r>
      <w:r w:rsidR="002E2B2F" w:rsidRPr="0009104E">
        <w:rPr>
          <w:rFonts w:ascii="Arial" w:hAnsi="Arial" w:cs="Arial"/>
        </w:rPr>
        <w:t xml:space="preserve">této </w:t>
      </w:r>
      <w:r w:rsidR="0088103B" w:rsidRPr="0009104E">
        <w:rPr>
          <w:rFonts w:ascii="Arial" w:hAnsi="Arial" w:cs="Arial"/>
        </w:rPr>
        <w:t>S</w:t>
      </w:r>
      <w:r w:rsidRPr="0009104E">
        <w:rPr>
          <w:rFonts w:ascii="Arial" w:hAnsi="Arial" w:cs="Arial"/>
        </w:rPr>
        <w:t>mlouvy je</w:t>
      </w:r>
      <w:r w:rsidR="00C336ED" w:rsidRPr="0009104E">
        <w:rPr>
          <w:rFonts w:ascii="Arial" w:hAnsi="Arial" w:cs="Arial"/>
        </w:rPr>
        <w:t xml:space="preserve"> </w:t>
      </w:r>
      <w:r w:rsidR="00CB3618" w:rsidRPr="0009104E">
        <w:rPr>
          <w:rFonts w:ascii="Arial" w:hAnsi="Arial" w:cs="Arial"/>
        </w:rPr>
        <w:t>zvýš</w:t>
      </w:r>
      <w:r w:rsidR="0088103B" w:rsidRPr="0009104E">
        <w:rPr>
          <w:rFonts w:ascii="Arial" w:hAnsi="Arial" w:cs="Arial"/>
        </w:rPr>
        <w:t>it</w:t>
      </w:r>
      <w:r w:rsidR="00CB3618" w:rsidRPr="0009104E">
        <w:rPr>
          <w:rFonts w:ascii="Arial" w:hAnsi="Arial" w:cs="Arial"/>
        </w:rPr>
        <w:t xml:space="preserve"> dostupnost terapie Přípravkem v rámci poskytování zdravotní péče v České republice, a to </w:t>
      </w:r>
      <w:r w:rsidR="00251E22" w:rsidRPr="0009104E">
        <w:rPr>
          <w:rFonts w:ascii="Arial" w:hAnsi="Arial" w:cs="Arial"/>
        </w:rPr>
        <w:t>kompenz</w:t>
      </w:r>
      <w:r w:rsidR="001A1EAD" w:rsidRPr="0009104E">
        <w:rPr>
          <w:rFonts w:ascii="Arial" w:hAnsi="Arial" w:cs="Arial"/>
        </w:rPr>
        <w:t>ací</w:t>
      </w:r>
      <w:r w:rsidR="004A50A2" w:rsidRPr="0009104E">
        <w:rPr>
          <w:rFonts w:ascii="Arial" w:hAnsi="Arial" w:cs="Arial"/>
        </w:rPr>
        <w:t xml:space="preserve"> objem</w:t>
      </w:r>
      <w:r w:rsidR="001A1EAD" w:rsidRPr="0009104E">
        <w:rPr>
          <w:rFonts w:ascii="Arial" w:hAnsi="Arial" w:cs="Arial"/>
        </w:rPr>
        <w:t>u</w:t>
      </w:r>
      <w:r w:rsidR="004A50A2" w:rsidRPr="0009104E">
        <w:rPr>
          <w:rFonts w:ascii="Arial" w:hAnsi="Arial" w:cs="Arial"/>
        </w:rPr>
        <w:t xml:space="preserve"> vynaložených nákladů Pojišťovn</w:t>
      </w:r>
      <w:r w:rsidR="001E259D" w:rsidRPr="0009104E">
        <w:rPr>
          <w:rFonts w:ascii="Arial" w:hAnsi="Arial" w:cs="Arial"/>
        </w:rPr>
        <w:t>y</w:t>
      </w:r>
      <w:r w:rsidR="004A50A2" w:rsidRPr="0009104E">
        <w:rPr>
          <w:rFonts w:ascii="Arial" w:hAnsi="Arial" w:cs="Arial"/>
        </w:rPr>
        <w:t xml:space="preserve"> v souvislosti s</w:t>
      </w:r>
      <w:r w:rsidR="001E259D" w:rsidRPr="0009104E">
        <w:rPr>
          <w:rFonts w:ascii="Arial" w:hAnsi="Arial" w:cs="Arial"/>
        </w:rPr>
        <w:t xml:space="preserve"> terapií </w:t>
      </w:r>
      <w:r w:rsidR="00E4043E" w:rsidRPr="0009104E">
        <w:rPr>
          <w:rFonts w:ascii="Arial" w:hAnsi="Arial" w:cs="Arial"/>
        </w:rPr>
        <w:t>Přípravk</w:t>
      </w:r>
      <w:r w:rsidR="004A50A2" w:rsidRPr="0009104E">
        <w:rPr>
          <w:rFonts w:ascii="Arial" w:hAnsi="Arial" w:cs="Arial"/>
        </w:rPr>
        <w:t>em</w:t>
      </w:r>
      <w:r w:rsidR="001A1EAD" w:rsidRPr="0009104E">
        <w:rPr>
          <w:rFonts w:ascii="Arial" w:hAnsi="Arial" w:cs="Arial"/>
        </w:rPr>
        <w:t xml:space="preserve"> </w:t>
      </w:r>
      <w:r w:rsidR="00FE05A7" w:rsidRPr="0009104E">
        <w:rPr>
          <w:rFonts w:ascii="Arial" w:hAnsi="Arial" w:cs="Arial"/>
        </w:rPr>
        <w:t>Držitelem</w:t>
      </w:r>
      <w:r w:rsidR="005A393F" w:rsidRPr="0009104E">
        <w:rPr>
          <w:rFonts w:ascii="Arial" w:hAnsi="Arial" w:cs="Arial"/>
        </w:rPr>
        <w:t>.</w:t>
      </w:r>
      <w:r w:rsidR="00CB3618" w:rsidRPr="0009104E">
        <w:rPr>
          <w:rFonts w:ascii="Arial" w:hAnsi="Arial" w:cs="Arial"/>
        </w:rPr>
        <w:t xml:space="preserve"> </w:t>
      </w:r>
    </w:p>
    <w:p w:rsidR="0009104E" w:rsidRPr="0009104E" w:rsidRDefault="0009104E" w:rsidP="0009104E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:rsidR="00512142" w:rsidRPr="00583001" w:rsidRDefault="00E867A5" w:rsidP="005905BE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Účelem této Smlouvy není jakkoli zasahovat do procesu stanovení maximální ceny a/nebo výše a podmínek úhrady Přípravku, ani jakýmkoli způsobem zasahovat či ovlivňovat preskripční chování lékařů, které </w:t>
      </w:r>
      <w:r w:rsidR="007319DD" w:rsidRPr="00CE70F0">
        <w:rPr>
          <w:rFonts w:ascii="Arial" w:hAnsi="Arial" w:cs="Arial"/>
        </w:rPr>
        <w:t xml:space="preserve">musí být vykonáváno </w:t>
      </w:r>
      <w:r w:rsidRPr="00CE70F0">
        <w:rPr>
          <w:rFonts w:ascii="Arial" w:hAnsi="Arial" w:cs="Arial"/>
        </w:rPr>
        <w:t>v</w:t>
      </w:r>
      <w:r w:rsidR="00274F95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souladu</w:t>
      </w:r>
      <w:r w:rsidR="00274F95">
        <w:rPr>
          <w:rFonts w:ascii="Arial" w:hAnsi="Arial" w:cs="Arial"/>
        </w:rPr>
        <w:t xml:space="preserve"> s obecně závaznými právními předpisy</w:t>
      </w:r>
      <w:r w:rsidR="00572D7D">
        <w:rPr>
          <w:rFonts w:ascii="Arial" w:hAnsi="Arial" w:cs="Arial"/>
        </w:rPr>
        <w:t>.</w:t>
      </w:r>
      <w:r w:rsidRPr="00CE70F0">
        <w:rPr>
          <w:rFonts w:ascii="Arial" w:hAnsi="Arial" w:cs="Arial"/>
        </w:rPr>
        <w:t xml:space="preserve"> </w:t>
      </w:r>
    </w:p>
    <w:p w:rsidR="0009104E" w:rsidRDefault="0009104E" w:rsidP="00CE70F0">
      <w:pPr>
        <w:contextualSpacing/>
        <w:jc w:val="center"/>
        <w:rPr>
          <w:rFonts w:ascii="Arial" w:hAnsi="Arial" w:cs="Arial"/>
          <w:b/>
        </w:rPr>
      </w:pPr>
    </w:p>
    <w:p w:rsidR="0009104E" w:rsidRDefault="0009104E" w:rsidP="00CE70F0">
      <w:pPr>
        <w:contextualSpacing/>
        <w:jc w:val="center"/>
        <w:rPr>
          <w:rFonts w:ascii="Arial" w:hAnsi="Arial" w:cs="Arial"/>
          <w:b/>
        </w:rPr>
      </w:pPr>
    </w:p>
    <w:p w:rsidR="00DD6627" w:rsidRPr="00583001" w:rsidRDefault="00DD6627" w:rsidP="00CE70F0">
      <w:pPr>
        <w:contextualSpacing/>
        <w:jc w:val="center"/>
        <w:rPr>
          <w:rFonts w:ascii="Arial" w:hAnsi="Arial" w:cs="Arial"/>
          <w:b/>
        </w:rPr>
      </w:pPr>
      <w:r w:rsidRPr="00583001">
        <w:rPr>
          <w:rFonts w:ascii="Arial" w:hAnsi="Arial" w:cs="Arial"/>
          <w:b/>
        </w:rPr>
        <w:t>Článek</w:t>
      </w:r>
      <w:r w:rsidR="00512142" w:rsidRPr="00583001">
        <w:rPr>
          <w:rFonts w:ascii="Arial" w:hAnsi="Arial" w:cs="Arial"/>
          <w:b/>
        </w:rPr>
        <w:t xml:space="preserve"> II</w:t>
      </w:r>
      <w:r w:rsidRPr="00583001">
        <w:rPr>
          <w:rFonts w:ascii="Arial" w:hAnsi="Arial" w:cs="Arial"/>
          <w:b/>
        </w:rPr>
        <w:t>.</w:t>
      </w:r>
    </w:p>
    <w:p w:rsidR="00DD6627" w:rsidRPr="00583001" w:rsidRDefault="00DD6627" w:rsidP="00CE70F0">
      <w:pPr>
        <w:contextualSpacing/>
        <w:jc w:val="center"/>
        <w:rPr>
          <w:rFonts w:ascii="Arial" w:hAnsi="Arial" w:cs="Arial"/>
          <w:b/>
        </w:rPr>
      </w:pPr>
      <w:r w:rsidRPr="00583001">
        <w:rPr>
          <w:rFonts w:ascii="Arial" w:hAnsi="Arial" w:cs="Arial"/>
          <w:b/>
        </w:rPr>
        <w:t>Definice pojmů</w:t>
      </w:r>
    </w:p>
    <w:p w:rsidR="00F412D1" w:rsidRPr="00583001" w:rsidRDefault="00F412D1" w:rsidP="00CE70F0">
      <w:pPr>
        <w:contextualSpacing/>
        <w:jc w:val="center"/>
        <w:rPr>
          <w:rFonts w:ascii="Arial" w:hAnsi="Arial" w:cs="Arial"/>
          <w:b/>
        </w:rPr>
      </w:pPr>
    </w:p>
    <w:p w:rsidR="00F412D1" w:rsidRPr="00583001" w:rsidRDefault="00F412D1" w:rsidP="00CE70F0">
      <w:pPr>
        <w:contextualSpacing/>
        <w:jc w:val="both"/>
        <w:rPr>
          <w:rFonts w:ascii="Arial" w:hAnsi="Arial" w:cs="Arial"/>
        </w:rPr>
      </w:pPr>
      <w:r w:rsidRPr="00583001">
        <w:rPr>
          <w:rFonts w:ascii="Arial" w:hAnsi="Arial" w:cs="Arial"/>
        </w:rPr>
        <w:t>Pro účely této Smlouvy se rozumí:</w:t>
      </w:r>
    </w:p>
    <w:p w:rsidR="00F412D1" w:rsidRPr="00583001" w:rsidRDefault="00F412D1" w:rsidP="00CE70F0">
      <w:pPr>
        <w:contextualSpacing/>
        <w:rPr>
          <w:rFonts w:ascii="Arial" w:hAnsi="Arial" w:cs="Arial"/>
          <w:b/>
        </w:rPr>
      </w:pPr>
    </w:p>
    <w:p w:rsidR="00D27DC5" w:rsidRPr="000233A4" w:rsidRDefault="00D27DC5" w:rsidP="005905BE">
      <w:pPr>
        <w:numPr>
          <w:ilvl w:val="0"/>
          <w:numId w:val="2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583001">
        <w:rPr>
          <w:rFonts w:ascii="Arial" w:hAnsi="Arial" w:cs="Arial"/>
          <w:b/>
        </w:rPr>
        <w:t xml:space="preserve">Celkovým nákladem </w:t>
      </w:r>
      <w:r w:rsidRPr="00583001">
        <w:rPr>
          <w:rFonts w:ascii="Arial" w:hAnsi="Arial" w:cs="Arial"/>
        </w:rPr>
        <w:t xml:space="preserve">součet všech skutečně vynaložených plateb Pojišťovnou na úhrady vykázané Poskytovateli na Přípravek </w:t>
      </w:r>
      <w:r w:rsidR="00A05607" w:rsidRPr="00583001">
        <w:rPr>
          <w:rFonts w:ascii="Arial" w:hAnsi="Arial" w:cs="Arial"/>
        </w:rPr>
        <w:t>(částka</w:t>
      </w:r>
      <w:r w:rsidRPr="00583001">
        <w:rPr>
          <w:rFonts w:ascii="Arial" w:hAnsi="Arial" w:cs="Arial"/>
        </w:rPr>
        <w:t xml:space="preserve"> </w:t>
      </w:r>
      <w:r w:rsidR="00A05607" w:rsidRPr="00583001">
        <w:rPr>
          <w:rFonts w:ascii="Arial" w:hAnsi="Arial" w:cs="Arial"/>
        </w:rPr>
        <w:t>včetně obchodní přirážky</w:t>
      </w:r>
      <w:r w:rsidRPr="00583001">
        <w:rPr>
          <w:rFonts w:ascii="Arial" w:hAnsi="Arial" w:cs="Arial"/>
        </w:rPr>
        <w:t xml:space="preserve"> a DPH podle platn</w:t>
      </w:r>
      <w:r w:rsidRPr="00CE70F0">
        <w:rPr>
          <w:rFonts w:ascii="Arial" w:hAnsi="Arial" w:cs="Arial"/>
        </w:rPr>
        <w:t>ých právních předpisů</w:t>
      </w:r>
      <w:r w:rsidR="00A05607" w:rsidRPr="00CE70F0">
        <w:rPr>
          <w:rStyle w:val="FootnoteReference"/>
          <w:rFonts w:ascii="Arial" w:hAnsi="Arial" w:cs="Arial"/>
        </w:rPr>
        <w:footnoteReference w:id="1"/>
      </w:r>
      <w:r w:rsidR="00A05607" w:rsidRPr="00CE70F0">
        <w:rPr>
          <w:rFonts w:ascii="Arial" w:hAnsi="Arial" w:cs="Arial"/>
        </w:rPr>
        <w:t>);</w:t>
      </w:r>
    </w:p>
    <w:p w:rsidR="00331E65" w:rsidRPr="00CE70F0" w:rsidRDefault="00331E65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Indikovaným pacientem</w:t>
      </w:r>
      <w:r w:rsidRPr="00CE70F0">
        <w:rPr>
          <w:rFonts w:ascii="Arial" w:hAnsi="Arial" w:cs="Arial"/>
        </w:rPr>
        <w:t xml:space="preserve"> </w:t>
      </w:r>
      <w:r w:rsidR="00B719AB" w:rsidRPr="00CE70F0">
        <w:rPr>
          <w:rFonts w:ascii="Arial" w:hAnsi="Arial" w:cs="Arial"/>
        </w:rPr>
        <w:t>Pojištěnec</w:t>
      </w:r>
      <w:r w:rsidRPr="00CE70F0">
        <w:rPr>
          <w:rFonts w:ascii="Arial" w:hAnsi="Arial" w:cs="Arial"/>
        </w:rPr>
        <w:t>, který je lékařem indikován pro terapii Přípravkem, jemuž je Přípravek poskytován Poskytovatelem;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Jádrovou úhradou</w:t>
      </w:r>
      <w:r w:rsidRPr="00CE70F0">
        <w:rPr>
          <w:rFonts w:ascii="Arial" w:hAnsi="Arial" w:cs="Arial"/>
        </w:rPr>
        <w:t xml:space="preserve"> jádrová úhrada Přípravku stanovená </w:t>
      </w:r>
      <w:r w:rsidR="00886FCB" w:rsidRPr="00CE70F0">
        <w:rPr>
          <w:rFonts w:ascii="Arial" w:hAnsi="Arial" w:cs="Arial"/>
        </w:rPr>
        <w:t xml:space="preserve">Ústavem a zveřejněná </w:t>
      </w:r>
      <w:r w:rsidR="005B4462" w:rsidRPr="00CE70F0">
        <w:rPr>
          <w:rFonts w:ascii="Arial" w:hAnsi="Arial" w:cs="Arial"/>
        </w:rPr>
        <w:t>na základě § 39n zákona o veřejném zdravotním pojištění v Seznamu cen a úhrad léčivých přípravků a potravin pro zvláštní lékařské účely (SCAU)</w:t>
      </w:r>
      <w:r w:rsidR="0056163D" w:rsidRPr="00CE70F0">
        <w:rPr>
          <w:rFonts w:ascii="Arial" w:hAnsi="Arial" w:cs="Arial"/>
        </w:rPr>
        <w:t>;</w:t>
      </w:r>
    </w:p>
    <w:p w:rsidR="005B4462" w:rsidRPr="00CE70F0" w:rsidRDefault="005E2BFF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Limitovanou k</w:t>
      </w:r>
      <w:r w:rsidR="005B4462" w:rsidRPr="00CE70F0">
        <w:rPr>
          <w:rFonts w:ascii="Arial" w:hAnsi="Arial" w:cs="Arial"/>
          <w:b/>
        </w:rPr>
        <w:t xml:space="preserve">ompenzací </w:t>
      </w:r>
      <w:r w:rsidR="0037158E" w:rsidRPr="00CE70F0">
        <w:rPr>
          <w:rFonts w:ascii="Arial" w:hAnsi="Arial" w:cs="Arial"/>
        </w:rPr>
        <w:t>částka, jejíž způsob výpočtu je specifikován</w:t>
      </w:r>
      <w:r w:rsidR="005B4462" w:rsidRPr="00CE70F0">
        <w:rPr>
          <w:rFonts w:ascii="Arial" w:hAnsi="Arial" w:cs="Arial"/>
        </w:rPr>
        <w:t xml:space="preserve"> Přílohou č. </w:t>
      </w:r>
      <w:r w:rsidR="00A82E97" w:rsidRPr="00CE70F0">
        <w:rPr>
          <w:rFonts w:ascii="Arial" w:hAnsi="Arial" w:cs="Arial"/>
        </w:rPr>
        <w:t>1</w:t>
      </w:r>
      <w:r w:rsidR="005B4462" w:rsidRPr="00CE70F0">
        <w:rPr>
          <w:rFonts w:ascii="Arial" w:hAnsi="Arial" w:cs="Arial"/>
        </w:rPr>
        <w:t xml:space="preserve"> Smlouvy, kterou je </w:t>
      </w:r>
      <w:r w:rsidR="00FE05A7" w:rsidRPr="00CE70F0">
        <w:rPr>
          <w:rFonts w:ascii="Arial" w:hAnsi="Arial" w:cs="Arial"/>
        </w:rPr>
        <w:t>Držitel</w:t>
      </w:r>
      <w:r w:rsidR="005B4462" w:rsidRPr="00CE70F0">
        <w:rPr>
          <w:rFonts w:ascii="Arial" w:hAnsi="Arial" w:cs="Arial"/>
        </w:rPr>
        <w:t xml:space="preserve"> povin</w:t>
      </w:r>
      <w:r w:rsidR="00FE05A7" w:rsidRPr="00CE70F0">
        <w:rPr>
          <w:rFonts w:ascii="Arial" w:hAnsi="Arial" w:cs="Arial"/>
        </w:rPr>
        <w:t>en</w:t>
      </w:r>
      <w:r w:rsidR="005B4462" w:rsidRPr="00CE70F0">
        <w:rPr>
          <w:rFonts w:ascii="Arial" w:hAnsi="Arial" w:cs="Arial"/>
        </w:rPr>
        <w:t xml:space="preserve"> </w:t>
      </w:r>
      <w:r w:rsidR="005542F9" w:rsidRPr="00CE70F0">
        <w:rPr>
          <w:rFonts w:ascii="Arial" w:hAnsi="Arial" w:cs="Arial"/>
        </w:rPr>
        <w:t xml:space="preserve">za podmínek stanovených Smlouvou </w:t>
      </w:r>
      <w:r w:rsidR="005B4462" w:rsidRPr="00CE70F0">
        <w:rPr>
          <w:rFonts w:ascii="Arial" w:hAnsi="Arial" w:cs="Arial"/>
        </w:rPr>
        <w:t>hradit Pojišťovně,</w:t>
      </w:r>
      <w:r w:rsidRPr="00CE70F0">
        <w:rPr>
          <w:rFonts w:ascii="Arial" w:hAnsi="Arial" w:cs="Arial"/>
        </w:rPr>
        <w:t xml:space="preserve"> dokud Celkový náklad</w:t>
      </w:r>
      <w:r w:rsidR="00A82E97" w:rsidRPr="00CE70F0">
        <w:rPr>
          <w:rFonts w:ascii="Arial" w:hAnsi="Arial" w:cs="Arial"/>
        </w:rPr>
        <w:t xml:space="preserve"> na Přípravek nedosáhne Limitu</w:t>
      </w:r>
      <w:r w:rsidR="00584188" w:rsidRPr="00CE70F0">
        <w:rPr>
          <w:rFonts w:ascii="Arial" w:hAnsi="Arial" w:cs="Arial"/>
        </w:rPr>
        <w:t xml:space="preserve"> (včetně hodnoty Limitu)</w:t>
      </w:r>
      <w:r w:rsidR="00A82E97" w:rsidRPr="00CE70F0">
        <w:rPr>
          <w:rFonts w:ascii="Arial" w:hAnsi="Arial" w:cs="Arial"/>
        </w:rPr>
        <w:t>,</w:t>
      </w:r>
      <w:r w:rsidR="005B4462" w:rsidRPr="00CE70F0">
        <w:rPr>
          <w:rFonts w:ascii="Arial" w:hAnsi="Arial" w:cs="Arial"/>
        </w:rPr>
        <w:t xml:space="preserve"> a kterou je Pojišťovna oprávněna přijmout do základního fondu Pojišťovny;</w:t>
      </w:r>
    </w:p>
    <w:p w:rsidR="00757D87" w:rsidRPr="00CE70F0" w:rsidRDefault="00757D87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Limitem</w:t>
      </w:r>
      <w:r w:rsidRPr="00CE70F0">
        <w:rPr>
          <w:rFonts w:ascii="Arial" w:hAnsi="Arial" w:cs="Arial"/>
        </w:rPr>
        <w:t xml:space="preserve"> sjednaná výše Celkového nákladu Pojišťovny na </w:t>
      </w:r>
      <w:r w:rsidR="00E979FA" w:rsidRPr="00CE70F0">
        <w:rPr>
          <w:rFonts w:ascii="Arial" w:hAnsi="Arial" w:cs="Arial"/>
        </w:rPr>
        <w:t>terapii Přípravkem</w:t>
      </w:r>
      <w:r w:rsidRPr="00CE70F0">
        <w:rPr>
          <w:rFonts w:ascii="Arial" w:hAnsi="Arial" w:cs="Arial"/>
        </w:rPr>
        <w:t xml:space="preserve">, při jehož překročení vzniká </w:t>
      </w:r>
      <w:r w:rsidR="00E979FA" w:rsidRPr="00CE70F0">
        <w:rPr>
          <w:rFonts w:ascii="Arial" w:hAnsi="Arial" w:cs="Arial"/>
        </w:rPr>
        <w:t xml:space="preserve">Pojišťovně </w:t>
      </w:r>
      <w:r w:rsidR="00DC35A5" w:rsidRPr="00CE70F0">
        <w:rPr>
          <w:rFonts w:ascii="Arial" w:hAnsi="Arial" w:cs="Arial"/>
        </w:rPr>
        <w:t xml:space="preserve">za podmínek stanovených Smlouvou </w:t>
      </w:r>
      <w:r w:rsidRPr="00CE70F0">
        <w:rPr>
          <w:rFonts w:ascii="Arial" w:hAnsi="Arial" w:cs="Arial"/>
        </w:rPr>
        <w:t>právo na úhradu Zpětné platby</w:t>
      </w:r>
      <w:r w:rsidR="00D83B8B">
        <w:rPr>
          <w:rFonts w:ascii="Arial" w:hAnsi="Arial" w:cs="Arial"/>
        </w:rPr>
        <w:t>;</w:t>
      </w:r>
    </w:p>
    <w:p w:rsidR="006D3071" w:rsidRPr="00CE70F0" w:rsidRDefault="006D307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Lokálním zástupcem </w:t>
      </w:r>
      <w:r w:rsidR="00165C0B" w:rsidRPr="00CE70F0">
        <w:rPr>
          <w:rFonts w:ascii="Arial" w:hAnsi="Arial" w:cs="Arial"/>
        </w:rPr>
        <w:t xml:space="preserve">osoba zmocněná držitelem rozhodnutí o registraci Přípravku k jednáním týkajících se Přípravku, včetně uzavírání smluv </w:t>
      </w:r>
      <w:r w:rsidR="00B300CF" w:rsidRPr="00CE70F0">
        <w:rPr>
          <w:rFonts w:ascii="Arial" w:hAnsi="Arial" w:cs="Arial"/>
        </w:rPr>
        <w:t xml:space="preserve">o Přípravku </w:t>
      </w:r>
      <w:r w:rsidR="00165C0B" w:rsidRPr="00CE70F0">
        <w:rPr>
          <w:rFonts w:ascii="Arial" w:hAnsi="Arial" w:cs="Arial"/>
        </w:rPr>
        <w:t>se třetími osobami, pro trh České republiky</w:t>
      </w:r>
      <w:r w:rsidR="00D83B8B">
        <w:rPr>
          <w:rFonts w:ascii="Arial" w:hAnsi="Arial" w:cs="Arial"/>
        </w:rPr>
        <w:t>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Pojištěncem </w:t>
      </w:r>
      <w:r w:rsidRPr="00CE70F0">
        <w:rPr>
          <w:rFonts w:ascii="Arial" w:hAnsi="Arial" w:cs="Arial"/>
        </w:rPr>
        <w:t>osoba dle</w:t>
      </w:r>
      <w:r w:rsidRPr="00CE70F0">
        <w:rPr>
          <w:rFonts w:ascii="Arial" w:hAnsi="Arial" w:cs="Arial"/>
          <w:b/>
        </w:rPr>
        <w:t xml:space="preserve"> </w:t>
      </w:r>
      <w:r w:rsidRPr="00CE70F0">
        <w:rPr>
          <w:rFonts w:ascii="Arial" w:hAnsi="Arial" w:cs="Arial"/>
        </w:rPr>
        <w:t>zákona o veřejném zdravotním pojištění registrovaná u Pojišťovny ke dni poskytnutí zdravotní služby;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Poskytovatelem </w:t>
      </w:r>
      <w:r w:rsidRPr="00CE70F0">
        <w:rPr>
          <w:rFonts w:ascii="Arial" w:hAnsi="Arial" w:cs="Arial"/>
        </w:rPr>
        <w:t xml:space="preserve">poskytovatel zdravotních služeb, </w:t>
      </w:r>
      <w:r w:rsidR="00336D2A" w:rsidRPr="00CE70F0">
        <w:rPr>
          <w:rFonts w:ascii="Arial" w:hAnsi="Arial" w:cs="Arial"/>
        </w:rPr>
        <w:t>který</w:t>
      </w:r>
      <w:r w:rsidR="00AD77A2" w:rsidRPr="00CE70F0">
        <w:rPr>
          <w:rFonts w:ascii="Arial" w:hAnsi="Arial" w:cs="Arial"/>
        </w:rPr>
        <w:t xml:space="preserve"> má </w:t>
      </w:r>
      <w:r w:rsidR="00F47B3A" w:rsidRPr="00CE70F0">
        <w:rPr>
          <w:rFonts w:ascii="Arial" w:hAnsi="Arial" w:cs="Arial"/>
        </w:rPr>
        <w:t>v den poskytnutí zdravotní služby Pojištěnci, čímž se rozumí předepsání, podání či použití Přípravku, s </w:t>
      </w:r>
      <w:r w:rsidR="00AD77A2" w:rsidRPr="00CE70F0">
        <w:rPr>
          <w:rFonts w:ascii="Arial" w:hAnsi="Arial" w:cs="Arial"/>
        </w:rPr>
        <w:t>Pojišťovn</w:t>
      </w:r>
      <w:r w:rsidR="00F47B3A" w:rsidRPr="00CE70F0">
        <w:rPr>
          <w:rFonts w:ascii="Arial" w:hAnsi="Arial" w:cs="Arial"/>
        </w:rPr>
        <w:t xml:space="preserve">ou </w:t>
      </w:r>
      <w:r w:rsidRPr="00CE70F0">
        <w:rPr>
          <w:rFonts w:ascii="Arial" w:hAnsi="Arial" w:cs="Arial"/>
        </w:rPr>
        <w:t>uzavřen</w:t>
      </w:r>
      <w:r w:rsidR="00F47B3A" w:rsidRPr="00CE70F0">
        <w:rPr>
          <w:rFonts w:ascii="Arial" w:hAnsi="Arial" w:cs="Arial"/>
        </w:rPr>
        <w:t>ou</w:t>
      </w:r>
      <w:r w:rsidRPr="00CE70F0">
        <w:rPr>
          <w:rFonts w:ascii="Arial" w:hAnsi="Arial" w:cs="Arial"/>
        </w:rPr>
        <w:t xml:space="preserve"> </w:t>
      </w:r>
      <w:r w:rsidR="00F47B3A" w:rsidRPr="00CE70F0">
        <w:rPr>
          <w:rFonts w:ascii="Arial" w:hAnsi="Arial" w:cs="Arial"/>
        </w:rPr>
        <w:t xml:space="preserve">platnou smlouvu o poskytování a úhradě hrazených služeb </w:t>
      </w:r>
      <w:r w:rsidR="00651B2A" w:rsidRPr="00CE70F0">
        <w:rPr>
          <w:rFonts w:ascii="Arial" w:hAnsi="Arial" w:cs="Arial"/>
        </w:rPr>
        <w:t xml:space="preserve">ve smyslu zákona </w:t>
      </w:r>
      <w:r w:rsidRPr="00CE70F0">
        <w:rPr>
          <w:rFonts w:ascii="Arial" w:hAnsi="Arial" w:cs="Arial"/>
        </w:rPr>
        <w:t>o veřejném zdravotní</w:t>
      </w:r>
      <w:r w:rsidR="00651B2A" w:rsidRPr="00CE70F0">
        <w:rPr>
          <w:rFonts w:ascii="Arial" w:hAnsi="Arial" w:cs="Arial"/>
        </w:rPr>
        <w:t>m</w:t>
      </w:r>
      <w:r w:rsidRPr="00CE70F0">
        <w:rPr>
          <w:rFonts w:ascii="Arial" w:hAnsi="Arial" w:cs="Arial"/>
        </w:rPr>
        <w:t xml:space="preserve"> pojištění;  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Přehledem</w:t>
      </w:r>
      <w:r w:rsidRPr="00CE70F0">
        <w:rPr>
          <w:rFonts w:ascii="Arial" w:hAnsi="Arial" w:cs="Arial"/>
        </w:rPr>
        <w:t xml:space="preserve"> přehled o nákladech na </w:t>
      </w:r>
      <w:r w:rsidR="006743D8" w:rsidRPr="00CE70F0">
        <w:rPr>
          <w:rFonts w:ascii="Arial" w:hAnsi="Arial" w:cs="Arial"/>
        </w:rPr>
        <w:t>terapii</w:t>
      </w:r>
      <w:r w:rsidRPr="00CE70F0">
        <w:rPr>
          <w:rFonts w:ascii="Arial" w:hAnsi="Arial" w:cs="Arial"/>
        </w:rPr>
        <w:t xml:space="preserve"> Přípravkem poskytovaný Pojišťovnou </w:t>
      </w:r>
      <w:r w:rsidR="00FE05A7" w:rsidRPr="00CE70F0">
        <w:rPr>
          <w:rFonts w:ascii="Arial" w:hAnsi="Arial" w:cs="Arial"/>
        </w:rPr>
        <w:t>Držiteli</w:t>
      </w:r>
      <w:r w:rsidR="00526A39" w:rsidRPr="00CE70F0">
        <w:rPr>
          <w:rFonts w:ascii="Arial" w:hAnsi="Arial" w:cs="Arial"/>
        </w:rPr>
        <w:t xml:space="preserve"> a </w:t>
      </w:r>
      <w:r w:rsidRPr="00CE70F0">
        <w:rPr>
          <w:rFonts w:ascii="Arial" w:hAnsi="Arial" w:cs="Arial"/>
        </w:rPr>
        <w:t xml:space="preserve">podklad pro fakturaci </w:t>
      </w:r>
      <w:r w:rsidR="00B300CF" w:rsidRPr="00CE70F0">
        <w:rPr>
          <w:rFonts w:ascii="Arial" w:hAnsi="Arial" w:cs="Arial"/>
        </w:rPr>
        <w:t>Limitované kompenzace a Zpětné platby</w:t>
      </w:r>
      <w:r w:rsidRPr="00CE70F0">
        <w:rPr>
          <w:rFonts w:ascii="Arial" w:hAnsi="Arial" w:cs="Arial"/>
        </w:rPr>
        <w:t>;</w:t>
      </w:r>
    </w:p>
    <w:p w:rsidR="00D6576D" w:rsidRPr="00CE70F0" w:rsidRDefault="00D6576D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Předmětným správním řízením </w:t>
      </w:r>
      <w:r w:rsidRPr="00CE70F0">
        <w:rPr>
          <w:rFonts w:ascii="Arial" w:hAnsi="Arial" w:cs="Arial"/>
        </w:rPr>
        <w:t xml:space="preserve">správní řízení zahájené dne </w:t>
      </w:r>
      <w:r w:rsidR="00295B58" w:rsidRPr="000233A4">
        <w:rPr>
          <w:rFonts w:ascii="Arial" w:hAnsi="Arial" w:cs="Arial"/>
        </w:rPr>
        <w:t>xxxxxxxxxxxxxxxxxxxxx</w:t>
      </w:r>
      <w:r w:rsidR="00295B58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>a vedené Ústavem pod sp.</w:t>
      </w:r>
      <w:r w:rsidR="00000917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zn. </w:t>
      </w:r>
      <w:r w:rsidR="00295B58" w:rsidRPr="000233A4">
        <w:rPr>
          <w:rFonts w:ascii="Arial" w:hAnsi="Arial" w:cs="Arial"/>
        </w:rPr>
        <w:t>xxxxxxxxxxxxxxxxxxxxx</w:t>
      </w:r>
      <w:r w:rsidR="002E7B3A" w:rsidRPr="00CE70F0">
        <w:rPr>
          <w:rFonts w:ascii="Arial" w:hAnsi="Arial" w:cs="Arial"/>
        </w:rPr>
        <w:t>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Přípravkem (LP) </w:t>
      </w:r>
      <w:r w:rsidRPr="00CE70F0">
        <w:rPr>
          <w:rFonts w:ascii="Arial" w:hAnsi="Arial" w:cs="Arial"/>
        </w:rPr>
        <w:t xml:space="preserve">léčivý přípravek </w:t>
      </w:r>
      <w:r w:rsidR="00526A39" w:rsidRPr="00CE70F0">
        <w:rPr>
          <w:rFonts w:ascii="Arial" w:hAnsi="Arial" w:cs="Arial"/>
        </w:rPr>
        <w:t> specifikovaný Přílohou č. 1 Smlouvy,</w:t>
      </w:r>
      <w:r w:rsidRPr="00CE70F0">
        <w:rPr>
          <w:rFonts w:ascii="Arial" w:hAnsi="Arial" w:cs="Arial"/>
        </w:rPr>
        <w:t xml:space="preserve"> hrazený z veřejného zdravotního pojištění při poskytování zdravotních služeb Poskytovatelem;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Unikátním ošetřeným pojištěncem (UOP) </w:t>
      </w:r>
      <w:r w:rsidR="00B300CF" w:rsidRPr="00CE70F0">
        <w:rPr>
          <w:rFonts w:ascii="Arial" w:hAnsi="Arial" w:cs="Arial"/>
        </w:rPr>
        <w:t>jeden Pojištěnec vykázaný Poskytovatelem na příslušných dokladech, do počtu unikátně ošetřených pojištěnců zahrnutý pouze jednou;</w:t>
      </w:r>
    </w:p>
    <w:p w:rsidR="00F412D1" w:rsidRPr="00CE70F0" w:rsidRDefault="00F412D1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>Ústavem (SÚKL)</w:t>
      </w:r>
      <w:r w:rsidRPr="00CE70F0">
        <w:rPr>
          <w:rFonts w:ascii="Arial" w:hAnsi="Arial" w:cs="Arial"/>
        </w:rPr>
        <w:t xml:space="preserve"> Státní ústav pro kontrolu léčiv;</w:t>
      </w:r>
    </w:p>
    <w:p w:rsidR="00757D87" w:rsidRPr="00CE70F0" w:rsidRDefault="00757D87" w:rsidP="005905BE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b/>
        </w:rPr>
        <w:t xml:space="preserve">Zpětnou platbou </w:t>
      </w:r>
      <w:r w:rsidRPr="00CE70F0">
        <w:rPr>
          <w:rFonts w:ascii="Arial" w:hAnsi="Arial" w:cs="Arial"/>
        </w:rPr>
        <w:t>částka,</w:t>
      </w:r>
      <w:r w:rsidR="00171751" w:rsidRPr="00CE70F0">
        <w:rPr>
          <w:rFonts w:ascii="Arial" w:hAnsi="Arial" w:cs="Arial"/>
        </w:rPr>
        <w:t xml:space="preserve"> na jejíž úhradu vzniká Pojišťovně právo, pokud Celkový náklad Pojišťovny překročí sjednaný Limit, za podmínek stanovených touto Smlouvou, a </w:t>
      </w:r>
      <w:r w:rsidRPr="00CE70F0">
        <w:rPr>
          <w:rFonts w:ascii="Arial" w:hAnsi="Arial" w:cs="Arial"/>
        </w:rPr>
        <w:t>kterou je Pojišťovna oprávněna přijmout do základního fondu Pojišťovny.</w:t>
      </w:r>
    </w:p>
    <w:p w:rsidR="00651B2A" w:rsidRPr="00CE70F0" w:rsidRDefault="00651B2A" w:rsidP="00CE70F0">
      <w:pPr>
        <w:contextualSpacing/>
        <w:rPr>
          <w:rFonts w:ascii="Arial" w:hAnsi="Arial" w:cs="Arial"/>
          <w:b/>
        </w:rPr>
      </w:pPr>
    </w:p>
    <w:p w:rsidR="00651B2A" w:rsidRPr="00CE70F0" w:rsidRDefault="00651B2A" w:rsidP="00CE70F0">
      <w:pPr>
        <w:contextualSpacing/>
        <w:rPr>
          <w:rFonts w:ascii="Arial" w:hAnsi="Arial" w:cs="Arial"/>
          <w:b/>
        </w:rPr>
      </w:pPr>
    </w:p>
    <w:p w:rsidR="00CD61CC" w:rsidRPr="00CE70F0" w:rsidRDefault="00CD61CC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C21F9E" w:rsidRPr="00CE70F0">
        <w:rPr>
          <w:rFonts w:ascii="Arial" w:hAnsi="Arial" w:cs="Arial"/>
          <w:b/>
        </w:rPr>
        <w:t>III</w:t>
      </w:r>
      <w:r w:rsidR="007259B6" w:rsidRPr="00CE70F0">
        <w:rPr>
          <w:rFonts w:ascii="Arial" w:hAnsi="Arial" w:cs="Arial"/>
          <w:b/>
        </w:rPr>
        <w:t>.</w:t>
      </w:r>
    </w:p>
    <w:p w:rsidR="00CD61CC" w:rsidRPr="00CE70F0" w:rsidRDefault="00CD61CC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Předmět Smlouvy</w:t>
      </w:r>
    </w:p>
    <w:p w:rsidR="00CD61CC" w:rsidRPr="00CE70F0" w:rsidRDefault="00CD61CC" w:rsidP="00CE70F0">
      <w:pPr>
        <w:contextualSpacing/>
        <w:jc w:val="center"/>
        <w:rPr>
          <w:rFonts w:ascii="Arial" w:hAnsi="Arial" w:cs="Arial"/>
          <w:b/>
        </w:rPr>
      </w:pPr>
    </w:p>
    <w:p w:rsidR="00B56A6D" w:rsidRPr="00CE70F0" w:rsidRDefault="00B56A6D" w:rsidP="00CE70F0">
      <w:pPr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Předmětem této Smlouvy je </w:t>
      </w:r>
      <w:r w:rsidR="00CB3618" w:rsidRPr="00CE70F0">
        <w:rPr>
          <w:rFonts w:ascii="Arial" w:hAnsi="Arial" w:cs="Arial"/>
        </w:rPr>
        <w:t xml:space="preserve">závazek </w:t>
      </w:r>
      <w:r w:rsidR="00FE05A7" w:rsidRPr="00CE70F0">
        <w:rPr>
          <w:rFonts w:ascii="Arial" w:hAnsi="Arial" w:cs="Arial"/>
        </w:rPr>
        <w:t>Držitele</w:t>
      </w:r>
      <w:r w:rsidR="00CB3618" w:rsidRPr="00CE70F0">
        <w:rPr>
          <w:rFonts w:ascii="Arial" w:hAnsi="Arial" w:cs="Arial"/>
        </w:rPr>
        <w:t xml:space="preserve"> poskyt</w:t>
      </w:r>
      <w:r w:rsidR="009C0276" w:rsidRPr="00CE70F0">
        <w:rPr>
          <w:rFonts w:ascii="Arial" w:hAnsi="Arial" w:cs="Arial"/>
        </w:rPr>
        <w:t xml:space="preserve">nout </w:t>
      </w:r>
      <w:r w:rsidR="00CB3618" w:rsidRPr="00CE70F0">
        <w:rPr>
          <w:rFonts w:ascii="Arial" w:hAnsi="Arial" w:cs="Arial"/>
        </w:rPr>
        <w:t xml:space="preserve">Pojišťovně </w:t>
      </w:r>
      <w:r w:rsidR="0057773D" w:rsidRPr="00CE70F0">
        <w:rPr>
          <w:rFonts w:ascii="Arial" w:hAnsi="Arial" w:cs="Arial"/>
        </w:rPr>
        <w:t xml:space="preserve">za Smlouvou stanovených podmínek </w:t>
      </w:r>
      <w:r w:rsidR="009C0276" w:rsidRPr="00CE70F0">
        <w:rPr>
          <w:rFonts w:ascii="Arial" w:hAnsi="Arial" w:cs="Arial"/>
        </w:rPr>
        <w:t>Limitovanou k</w:t>
      </w:r>
      <w:r w:rsidR="00230581" w:rsidRPr="00CE70F0">
        <w:rPr>
          <w:rFonts w:ascii="Arial" w:hAnsi="Arial" w:cs="Arial"/>
        </w:rPr>
        <w:t>ompenzaci</w:t>
      </w:r>
      <w:r w:rsidR="009C0276" w:rsidRPr="00CE70F0">
        <w:rPr>
          <w:rFonts w:ascii="Arial" w:hAnsi="Arial" w:cs="Arial"/>
        </w:rPr>
        <w:t xml:space="preserve"> dokud Celkový náklad na Přípravek nedosáhne Limitu</w:t>
      </w:r>
      <w:r w:rsidR="00584188" w:rsidRPr="00CE70F0">
        <w:rPr>
          <w:rFonts w:ascii="Arial" w:hAnsi="Arial" w:cs="Arial"/>
        </w:rPr>
        <w:t xml:space="preserve"> (včetně </w:t>
      </w:r>
      <w:r w:rsidR="00584188" w:rsidRPr="00CE70F0">
        <w:rPr>
          <w:rFonts w:ascii="Arial" w:hAnsi="Arial" w:cs="Arial"/>
        </w:rPr>
        <w:lastRenderedPageBreak/>
        <w:t>hodnoty Limitu)</w:t>
      </w:r>
      <w:r w:rsidR="009C0276" w:rsidRPr="00CE70F0">
        <w:rPr>
          <w:rFonts w:ascii="Arial" w:hAnsi="Arial" w:cs="Arial"/>
        </w:rPr>
        <w:t xml:space="preserve"> </w:t>
      </w:r>
      <w:r w:rsidR="00375FB4" w:rsidRPr="00CE70F0">
        <w:rPr>
          <w:rFonts w:ascii="Arial" w:hAnsi="Arial" w:cs="Arial"/>
        </w:rPr>
        <w:t>a Zpětnou platbu</w:t>
      </w:r>
      <w:r w:rsidR="005E2BFF" w:rsidRPr="00CE70F0">
        <w:rPr>
          <w:rFonts w:ascii="Arial" w:hAnsi="Arial" w:cs="Arial"/>
        </w:rPr>
        <w:t xml:space="preserve"> v</w:t>
      </w:r>
      <w:r w:rsidR="009C0276" w:rsidRPr="00CE70F0">
        <w:rPr>
          <w:rFonts w:ascii="Arial" w:hAnsi="Arial" w:cs="Arial"/>
        </w:rPr>
        <w:t> </w:t>
      </w:r>
      <w:r w:rsidR="005E2BFF" w:rsidRPr="00CE70F0">
        <w:rPr>
          <w:rFonts w:ascii="Arial" w:hAnsi="Arial" w:cs="Arial"/>
        </w:rPr>
        <w:t>případě</w:t>
      </w:r>
      <w:r w:rsidR="009C0276" w:rsidRPr="00CE70F0">
        <w:rPr>
          <w:rFonts w:ascii="Arial" w:hAnsi="Arial" w:cs="Arial"/>
        </w:rPr>
        <w:t>, že Celkový náklad Pojišťovny na Přípravek překročí stanovený Limit</w:t>
      </w:r>
      <w:r w:rsidR="005D0A1B" w:rsidRPr="00CE70F0">
        <w:rPr>
          <w:rFonts w:ascii="Arial" w:hAnsi="Arial" w:cs="Arial"/>
        </w:rPr>
        <w:t>,</w:t>
      </w:r>
      <w:r w:rsidR="00CB3618" w:rsidRPr="00CE70F0">
        <w:rPr>
          <w:rFonts w:ascii="Arial" w:hAnsi="Arial" w:cs="Arial"/>
        </w:rPr>
        <w:t xml:space="preserve"> a tímto zajistit dosažení úspory nákladů vynaložených na Příprav</w:t>
      </w:r>
      <w:r w:rsidR="00230581" w:rsidRPr="00CE70F0">
        <w:rPr>
          <w:rFonts w:ascii="Arial" w:hAnsi="Arial" w:cs="Arial"/>
        </w:rPr>
        <w:t>ek</w:t>
      </w:r>
      <w:r w:rsidR="00CB3618" w:rsidRPr="00CE70F0">
        <w:rPr>
          <w:rFonts w:ascii="Arial" w:hAnsi="Arial" w:cs="Arial"/>
        </w:rPr>
        <w:t xml:space="preserve">, a závazek Pojišťovny náklady vynaložené na Přípravek </w:t>
      </w:r>
      <w:r w:rsidR="00FE05A7" w:rsidRPr="00CE70F0">
        <w:rPr>
          <w:rFonts w:ascii="Arial" w:hAnsi="Arial" w:cs="Arial"/>
        </w:rPr>
        <w:t>Držiteli</w:t>
      </w:r>
      <w:r w:rsidR="00CB3618" w:rsidRPr="00CE70F0">
        <w:rPr>
          <w:rFonts w:ascii="Arial" w:hAnsi="Arial" w:cs="Arial"/>
        </w:rPr>
        <w:t xml:space="preserve"> prokázat způsobem vymezeným v této Smlouvě</w:t>
      </w:r>
      <w:r w:rsidR="001E1B87" w:rsidRPr="00CE70F0">
        <w:rPr>
          <w:rFonts w:ascii="Arial" w:hAnsi="Arial" w:cs="Arial"/>
        </w:rPr>
        <w:t xml:space="preserve">. </w:t>
      </w:r>
    </w:p>
    <w:p w:rsidR="00375FB4" w:rsidRPr="00CE70F0" w:rsidRDefault="00375FB4" w:rsidP="00CE70F0">
      <w:pPr>
        <w:contextualSpacing/>
        <w:jc w:val="center"/>
        <w:rPr>
          <w:rFonts w:ascii="Arial" w:hAnsi="Arial" w:cs="Arial"/>
          <w:b/>
        </w:rPr>
      </w:pPr>
    </w:p>
    <w:p w:rsidR="00375FB4" w:rsidRPr="00CE70F0" w:rsidRDefault="00375FB4" w:rsidP="00CE70F0">
      <w:pPr>
        <w:contextualSpacing/>
        <w:jc w:val="center"/>
        <w:rPr>
          <w:rFonts w:ascii="Arial" w:hAnsi="Arial" w:cs="Arial"/>
          <w:b/>
        </w:rPr>
      </w:pPr>
    </w:p>
    <w:p w:rsidR="00CD61CC" w:rsidRPr="00CE70F0" w:rsidRDefault="00CD61CC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C21F9E" w:rsidRPr="00CE70F0">
        <w:rPr>
          <w:rFonts w:ascii="Arial" w:hAnsi="Arial" w:cs="Arial"/>
          <w:b/>
        </w:rPr>
        <w:t>I</w:t>
      </w:r>
      <w:r w:rsidR="00A977B9" w:rsidRPr="00CE70F0">
        <w:rPr>
          <w:rFonts w:ascii="Arial" w:hAnsi="Arial" w:cs="Arial"/>
          <w:b/>
        </w:rPr>
        <w:t>V</w:t>
      </w:r>
      <w:r w:rsidRPr="00CE70F0">
        <w:rPr>
          <w:rFonts w:ascii="Arial" w:hAnsi="Arial" w:cs="Arial"/>
          <w:b/>
        </w:rPr>
        <w:t>.</w:t>
      </w:r>
    </w:p>
    <w:p w:rsidR="00CD61CC" w:rsidRPr="00CE70F0" w:rsidRDefault="005D0A1B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Limitovan</w:t>
      </w:r>
      <w:r w:rsidR="00000917">
        <w:rPr>
          <w:rFonts w:ascii="Arial" w:hAnsi="Arial" w:cs="Arial"/>
          <w:b/>
        </w:rPr>
        <w:t>á</w:t>
      </w:r>
      <w:r w:rsidRPr="00CE70F0">
        <w:rPr>
          <w:rFonts w:ascii="Arial" w:hAnsi="Arial" w:cs="Arial"/>
          <w:b/>
        </w:rPr>
        <w:t xml:space="preserve"> k</w:t>
      </w:r>
      <w:r w:rsidR="00230581" w:rsidRPr="00CE70F0">
        <w:rPr>
          <w:rFonts w:ascii="Arial" w:hAnsi="Arial" w:cs="Arial"/>
          <w:b/>
        </w:rPr>
        <w:t>ompenzace</w:t>
      </w:r>
    </w:p>
    <w:p w:rsidR="009C1EE8" w:rsidRPr="00CE70F0" w:rsidRDefault="00FE05A7" w:rsidP="005905BE">
      <w:pPr>
        <w:pStyle w:val="ListParagraph"/>
        <w:numPr>
          <w:ilvl w:val="0"/>
          <w:numId w:val="14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CD61CC" w:rsidRPr="00CE70F0">
        <w:rPr>
          <w:rFonts w:ascii="Arial" w:hAnsi="Arial" w:cs="Arial"/>
        </w:rPr>
        <w:t xml:space="preserve"> se zavazuje poskyt</w:t>
      </w:r>
      <w:r w:rsidR="00324E3C" w:rsidRPr="00CE70F0">
        <w:rPr>
          <w:rFonts w:ascii="Arial" w:hAnsi="Arial" w:cs="Arial"/>
        </w:rPr>
        <w:t>ovat</w:t>
      </w:r>
      <w:r w:rsidR="00CD61CC" w:rsidRPr="00CE70F0">
        <w:rPr>
          <w:rFonts w:ascii="Arial" w:hAnsi="Arial" w:cs="Arial"/>
        </w:rPr>
        <w:t xml:space="preserve"> Pojišťovně </w:t>
      </w:r>
      <w:r w:rsidR="005D0A1B" w:rsidRPr="00CE70F0">
        <w:rPr>
          <w:rFonts w:ascii="Arial" w:hAnsi="Arial" w:cs="Arial"/>
        </w:rPr>
        <w:t>Limitovanou k</w:t>
      </w:r>
      <w:r w:rsidR="00A71762" w:rsidRPr="00CE70F0">
        <w:rPr>
          <w:rFonts w:ascii="Arial" w:hAnsi="Arial" w:cs="Arial"/>
        </w:rPr>
        <w:t>ompenzaci</w:t>
      </w:r>
      <w:r w:rsidR="00CB0A01" w:rsidRPr="00CE70F0">
        <w:rPr>
          <w:rFonts w:ascii="Arial" w:hAnsi="Arial" w:cs="Arial"/>
        </w:rPr>
        <w:t xml:space="preserve"> za podmínek stanovených touto Smlouvou a</w:t>
      </w:r>
      <w:r w:rsidR="00CE68EF" w:rsidRPr="00CE70F0">
        <w:rPr>
          <w:rFonts w:ascii="Arial" w:hAnsi="Arial" w:cs="Arial"/>
        </w:rPr>
        <w:t xml:space="preserve"> </w:t>
      </w:r>
      <w:r w:rsidR="00703BDA" w:rsidRPr="00CE70F0">
        <w:rPr>
          <w:rFonts w:ascii="Arial" w:hAnsi="Arial" w:cs="Arial"/>
        </w:rPr>
        <w:t xml:space="preserve">dále </w:t>
      </w:r>
      <w:r w:rsidR="00CE68EF" w:rsidRPr="00CE70F0">
        <w:rPr>
          <w:rFonts w:ascii="Arial" w:hAnsi="Arial" w:cs="Arial"/>
        </w:rPr>
        <w:t xml:space="preserve">specifikovanou </w:t>
      </w:r>
      <w:r w:rsidR="00A71762" w:rsidRPr="00CE70F0">
        <w:rPr>
          <w:rFonts w:ascii="Arial" w:hAnsi="Arial" w:cs="Arial"/>
        </w:rPr>
        <w:t xml:space="preserve">Přílohou č. </w:t>
      </w:r>
      <w:r w:rsidR="00501DCF" w:rsidRPr="00CE70F0">
        <w:rPr>
          <w:rFonts w:ascii="Arial" w:hAnsi="Arial" w:cs="Arial"/>
        </w:rPr>
        <w:t>1</w:t>
      </w:r>
      <w:r w:rsidR="00CE68EF" w:rsidRPr="00CE70F0">
        <w:rPr>
          <w:rFonts w:ascii="Arial" w:hAnsi="Arial" w:cs="Arial"/>
        </w:rPr>
        <w:t xml:space="preserve"> Smlouvy</w:t>
      </w:r>
      <w:r w:rsidR="00324E3C" w:rsidRPr="00CE70F0">
        <w:rPr>
          <w:rFonts w:ascii="Arial" w:hAnsi="Arial" w:cs="Arial"/>
        </w:rPr>
        <w:t xml:space="preserve"> d</w:t>
      </w:r>
      <w:r w:rsidR="00C5165A" w:rsidRPr="00CE70F0">
        <w:rPr>
          <w:rFonts w:ascii="Arial" w:hAnsi="Arial" w:cs="Arial"/>
        </w:rPr>
        <w:t xml:space="preserve">okud </w:t>
      </w:r>
      <w:r w:rsidR="00324E3C" w:rsidRPr="00CE70F0">
        <w:rPr>
          <w:rFonts w:ascii="Arial" w:hAnsi="Arial" w:cs="Arial"/>
        </w:rPr>
        <w:t>Celkový náklad nepře</w:t>
      </w:r>
      <w:r w:rsidR="00C5165A" w:rsidRPr="00CE70F0">
        <w:rPr>
          <w:rFonts w:ascii="Arial" w:hAnsi="Arial" w:cs="Arial"/>
        </w:rPr>
        <w:t>kročí</w:t>
      </w:r>
      <w:r w:rsidR="005D0A1B" w:rsidRPr="00CE70F0">
        <w:rPr>
          <w:rFonts w:ascii="Arial" w:hAnsi="Arial" w:cs="Arial"/>
        </w:rPr>
        <w:t xml:space="preserve"> </w:t>
      </w:r>
      <w:r w:rsidR="00C5165A" w:rsidRPr="00CE70F0">
        <w:rPr>
          <w:rFonts w:ascii="Arial" w:hAnsi="Arial" w:cs="Arial"/>
        </w:rPr>
        <w:t>Limit</w:t>
      </w:r>
      <w:r w:rsidR="005D0A1B" w:rsidRPr="00CE70F0">
        <w:rPr>
          <w:rFonts w:ascii="Arial" w:hAnsi="Arial" w:cs="Arial"/>
        </w:rPr>
        <w:t xml:space="preserve"> dle článku V. této Smlouvy</w:t>
      </w:r>
      <w:r w:rsidR="00CB0A01" w:rsidRPr="00CE70F0">
        <w:rPr>
          <w:rFonts w:ascii="Arial" w:hAnsi="Arial" w:cs="Arial"/>
        </w:rPr>
        <w:t>.</w:t>
      </w:r>
      <w:r w:rsidR="00A71762" w:rsidRPr="00CE70F0">
        <w:rPr>
          <w:rFonts w:ascii="Arial" w:hAnsi="Arial" w:cs="Arial"/>
        </w:rPr>
        <w:t xml:space="preserve"> </w:t>
      </w:r>
    </w:p>
    <w:p w:rsidR="00D50C18" w:rsidRPr="00CE70F0" w:rsidRDefault="00D50C18" w:rsidP="00CE70F0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:rsidR="009C1EE8" w:rsidRPr="00CE70F0" w:rsidRDefault="00CD61CC" w:rsidP="005905BE">
      <w:pPr>
        <w:pStyle w:val="ListParagraph"/>
        <w:numPr>
          <w:ilvl w:val="0"/>
          <w:numId w:val="14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Podrobné fakturační a platební podmínky pro poskytnutí </w:t>
      </w:r>
      <w:r w:rsidR="00C5165A" w:rsidRPr="00CE70F0">
        <w:rPr>
          <w:rFonts w:ascii="Arial" w:hAnsi="Arial" w:cs="Arial"/>
        </w:rPr>
        <w:t>Limitované k</w:t>
      </w:r>
      <w:r w:rsidR="00CE68EF" w:rsidRPr="00CE70F0">
        <w:rPr>
          <w:rFonts w:ascii="Arial" w:hAnsi="Arial" w:cs="Arial"/>
        </w:rPr>
        <w:t>ompenzace</w:t>
      </w:r>
      <w:r w:rsidRPr="00CE70F0">
        <w:rPr>
          <w:rFonts w:ascii="Arial" w:hAnsi="Arial" w:cs="Arial"/>
        </w:rPr>
        <w:t xml:space="preserve"> jsou uvedeny v </w:t>
      </w:r>
      <w:r w:rsidR="00A354A2" w:rsidRPr="00CE70F0">
        <w:rPr>
          <w:rFonts w:ascii="Arial" w:hAnsi="Arial" w:cs="Arial"/>
        </w:rPr>
        <w:t>č</w:t>
      </w:r>
      <w:r w:rsidRPr="00CE70F0">
        <w:rPr>
          <w:rFonts w:ascii="Arial" w:hAnsi="Arial" w:cs="Arial"/>
        </w:rPr>
        <w:t xml:space="preserve">lánku </w:t>
      </w:r>
      <w:r w:rsidR="00F25365" w:rsidRPr="00CE70F0">
        <w:rPr>
          <w:rFonts w:ascii="Arial" w:hAnsi="Arial" w:cs="Arial"/>
        </w:rPr>
        <w:t>V</w:t>
      </w:r>
      <w:r w:rsidR="00675BD4" w:rsidRPr="00CE70F0">
        <w:rPr>
          <w:rFonts w:ascii="Arial" w:hAnsi="Arial" w:cs="Arial"/>
        </w:rPr>
        <w:t>I</w:t>
      </w:r>
      <w:r w:rsidR="00F25365" w:rsidRPr="00CE70F0">
        <w:rPr>
          <w:rFonts w:ascii="Arial" w:hAnsi="Arial" w:cs="Arial"/>
        </w:rPr>
        <w:t>I</w:t>
      </w:r>
      <w:r w:rsidRPr="00CE70F0">
        <w:rPr>
          <w:rFonts w:ascii="Arial" w:hAnsi="Arial" w:cs="Arial"/>
        </w:rPr>
        <w:t>. této</w:t>
      </w:r>
      <w:r w:rsidR="00CB3532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>Smlouvy.</w:t>
      </w:r>
    </w:p>
    <w:p w:rsidR="00CD61CC" w:rsidRPr="00CE70F0" w:rsidRDefault="00CD61CC" w:rsidP="00CE70F0">
      <w:pPr>
        <w:spacing w:before="120"/>
        <w:contextualSpacing/>
        <w:jc w:val="both"/>
        <w:rPr>
          <w:rFonts w:ascii="Arial" w:hAnsi="Arial" w:cs="Arial"/>
        </w:rPr>
      </w:pPr>
    </w:p>
    <w:p w:rsidR="00584188" w:rsidRPr="00CE70F0" w:rsidRDefault="00584188" w:rsidP="00CE70F0">
      <w:pPr>
        <w:spacing w:before="12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V.</w:t>
      </w:r>
    </w:p>
    <w:p w:rsidR="00584188" w:rsidRPr="00CE70F0" w:rsidRDefault="00584188" w:rsidP="00CE70F0">
      <w:pPr>
        <w:spacing w:before="12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Limit a Zpětná platba</w:t>
      </w:r>
    </w:p>
    <w:p w:rsidR="00584188" w:rsidRPr="00CE70F0" w:rsidRDefault="00584188" w:rsidP="00CE70F0">
      <w:pPr>
        <w:spacing w:before="120"/>
        <w:contextualSpacing/>
        <w:jc w:val="center"/>
        <w:rPr>
          <w:rFonts w:ascii="Arial" w:hAnsi="Arial" w:cs="Arial"/>
          <w:b/>
        </w:rPr>
      </w:pPr>
    </w:p>
    <w:p w:rsidR="008165A8" w:rsidRPr="00CE70F0" w:rsidRDefault="008165A8" w:rsidP="005905BE">
      <w:pPr>
        <w:pStyle w:val="ListParagraph"/>
        <w:numPr>
          <w:ilvl w:val="0"/>
          <w:numId w:val="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se dohodly, že Limity pro dílčí období </w:t>
      </w:r>
      <w:r w:rsidR="00953BBF">
        <w:rPr>
          <w:rFonts w:ascii="Arial" w:hAnsi="Arial" w:cs="Arial"/>
        </w:rPr>
        <w:t>trvání smlouvy</w:t>
      </w:r>
      <w:r w:rsidRPr="00CE70F0">
        <w:rPr>
          <w:rFonts w:ascii="Arial" w:hAnsi="Arial" w:cs="Arial"/>
        </w:rPr>
        <w:t xml:space="preserve"> činí částky, jejichž výše je specifikována Přílohou č. 1 této Smlouvy.</w:t>
      </w:r>
    </w:p>
    <w:p w:rsidR="008165A8" w:rsidRPr="00CE70F0" w:rsidRDefault="008165A8" w:rsidP="00CE70F0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:rsidR="00F55350" w:rsidRPr="00CE70F0" w:rsidRDefault="00584188" w:rsidP="005905B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Limit</w:t>
      </w:r>
      <w:r w:rsidR="008165A8" w:rsidRPr="00CE70F0">
        <w:rPr>
          <w:rFonts w:ascii="Arial" w:hAnsi="Arial" w:cs="Arial"/>
        </w:rPr>
        <w:t>y</w:t>
      </w:r>
      <w:r w:rsidRPr="00CE70F0">
        <w:rPr>
          <w:rFonts w:ascii="Arial" w:hAnsi="Arial" w:cs="Arial"/>
        </w:rPr>
        <w:t xml:space="preserve"> </w:t>
      </w:r>
      <w:r w:rsidR="00605494">
        <w:rPr>
          <w:rFonts w:ascii="Arial" w:hAnsi="Arial" w:cs="Arial"/>
        </w:rPr>
        <w:t xml:space="preserve">specifikované Přílohou č. 1 této Smlouvy </w:t>
      </w:r>
      <w:r w:rsidR="008165A8" w:rsidRPr="00CE70F0">
        <w:rPr>
          <w:rFonts w:ascii="Arial" w:hAnsi="Arial" w:cs="Arial"/>
        </w:rPr>
        <w:t>jsou</w:t>
      </w:r>
      <w:r w:rsidRPr="00CE70F0">
        <w:rPr>
          <w:rFonts w:ascii="Arial" w:hAnsi="Arial" w:cs="Arial"/>
        </w:rPr>
        <w:t xml:space="preserve"> sjednán</w:t>
      </w:r>
      <w:r w:rsidR="008165A8" w:rsidRPr="00CE70F0">
        <w:rPr>
          <w:rFonts w:ascii="Arial" w:hAnsi="Arial" w:cs="Arial"/>
        </w:rPr>
        <w:t>y</w:t>
      </w:r>
      <w:r w:rsidRPr="00CE70F0">
        <w:rPr>
          <w:rFonts w:ascii="Arial" w:hAnsi="Arial" w:cs="Arial"/>
        </w:rPr>
        <w:t xml:space="preserve"> jako konečn</w:t>
      </w:r>
      <w:r w:rsidR="008165A8" w:rsidRPr="00CE70F0">
        <w:rPr>
          <w:rFonts w:ascii="Arial" w:hAnsi="Arial" w:cs="Arial"/>
        </w:rPr>
        <w:t>é</w:t>
      </w:r>
      <w:r w:rsidRPr="00CE70F0">
        <w:rPr>
          <w:rFonts w:ascii="Arial" w:hAnsi="Arial" w:cs="Arial"/>
        </w:rPr>
        <w:t>. Smluvní strany se dohodly, že v</w:t>
      </w:r>
      <w:r w:rsidR="008165A8" w:rsidRPr="00CE70F0">
        <w:rPr>
          <w:rFonts w:ascii="Arial" w:hAnsi="Arial" w:cs="Arial"/>
        </w:rPr>
        <w:t xml:space="preserve">e vztahu k dohodnuté výši </w:t>
      </w:r>
      <w:r w:rsidRPr="00CE70F0">
        <w:rPr>
          <w:rFonts w:ascii="Arial" w:hAnsi="Arial" w:cs="Arial"/>
        </w:rPr>
        <w:t>Limit</w:t>
      </w:r>
      <w:r w:rsidR="008165A8" w:rsidRPr="00CE70F0">
        <w:rPr>
          <w:rFonts w:ascii="Arial" w:hAnsi="Arial" w:cs="Arial"/>
        </w:rPr>
        <w:t>ů</w:t>
      </w:r>
      <w:r w:rsidRPr="00CE70F0">
        <w:rPr>
          <w:rFonts w:ascii="Arial" w:hAnsi="Arial" w:cs="Arial"/>
        </w:rPr>
        <w:t xml:space="preserve"> přebírají dle § 1765 občanského zákoníku riziko změn okolností s výjimkou uvedenou v článku </w:t>
      </w:r>
      <w:r w:rsidR="002D5AAB">
        <w:rPr>
          <w:rFonts w:ascii="Arial" w:hAnsi="Arial" w:cs="Arial"/>
        </w:rPr>
        <w:t>IX</w:t>
      </w:r>
      <w:r w:rsidR="006846AC" w:rsidRPr="00CE70F0">
        <w:rPr>
          <w:rFonts w:ascii="Arial" w:hAnsi="Arial" w:cs="Arial"/>
        </w:rPr>
        <w:t xml:space="preserve">. odst. 1 písm. c. této Smlouvy. </w:t>
      </w:r>
    </w:p>
    <w:p w:rsidR="00F55350" w:rsidRPr="00CE70F0" w:rsidRDefault="00F55350" w:rsidP="00CE70F0">
      <w:pPr>
        <w:pStyle w:val="ListParagraph"/>
        <w:rPr>
          <w:rFonts w:ascii="Arial" w:hAnsi="Arial" w:cs="Arial"/>
        </w:rPr>
      </w:pPr>
    </w:p>
    <w:p w:rsidR="00F55350" w:rsidRPr="00CE70F0" w:rsidRDefault="00F55350" w:rsidP="005905BE">
      <w:pPr>
        <w:pStyle w:val="ListParagraph"/>
        <w:numPr>
          <w:ilvl w:val="0"/>
          <w:numId w:val="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Držitel se zavazuje poskytnout Pojišťovně Zpětnou platbu při překročení Limitu</w:t>
      </w:r>
      <w:r w:rsidR="008165A8" w:rsidRPr="00CE70F0">
        <w:rPr>
          <w:rFonts w:ascii="Arial" w:hAnsi="Arial" w:cs="Arial"/>
        </w:rPr>
        <w:t xml:space="preserve"> v každém dílčím období</w:t>
      </w:r>
      <w:r w:rsidRPr="00CE70F0">
        <w:rPr>
          <w:rFonts w:ascii="Arial" w:hAnsi="Arial" w:cs="Arial"/>
        </w:rPr>
        <w:t xml:space="preserve">. Zpětnou platbu bude Pojišťovna na Držiteli uplatňovat v termínech fakturace dle článku VII. odst. 1 Smlouvy ve výši Celkového nákladu vynaloženého Pojišťovnou v příslušném </w:t>
      </w:r>
      <w:r w:rsidR="003F0C60" w:rsidRPr="00CE70F0">
        <w:rPr>
          <w:rFonts w:ascii="Arial" w:hAnsi="Arial" w:cs="Arial"/>
        </w:rPr>
        <w:t>fakturačním období.</w:t>
      </w:r>
    </w:p>
    <w:p w:rsidR="00584188" w:rsidRPr="00CE70F0" w:rsidRDefault="00584188" w:rsidP="00CE70F0">
      <w:pPr>
        <w:pStyle w:val="ListParagraph"/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Arial" w:hAnsi="Arial" w:cs="Arial"/>
        </w:rPr>
      </w:pPr>
    </w:p>
    <w:p w:rsidR="00584188" w:rsidRPr="00CE70F0" w:rsidRDefault="00584188" w:rsidP="005905B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Podrobné fakturační a platební podmínky pro poskytnutí Zpětné platby jsou uvedeny v článku VI</w:t>
      </w:r>
      <w:r w:rsidR="002D5AAB">
        <w:rPr>
          <w:rFonts w:ascii="Arial" w:hAnsi="Arial" w:cs="Arial"/>
        </w:rPr>
        <w:t>I. této Smlouvy.</w:t>
      </w:r>
    </w:p>
    <w:p w:rsidR="007904FE" w:rsidRPr="00CE70F0" w:rsidRDefault="007904FE" w:rsidP="00CE70F0">
      <w:pPr>
        <w:ind w:left="426" w:hanging="426"/>
        <w:contextualSpacing/>
        <w:jc w:val="center"/>
        <w:rPr>
          <w:rFonts w:ascii="Arial" w:hAnsi="Arial" w:cs="Arial"/>
          <w:b/>
        </w:rPr>
      </w:pPr>
    </w:p>
    <w:p w:rsidR="0017428C" w:rsidRPr="00CE70F0" w:rsidRDefault="0017428C" w:rsidP="00CE70F0">
      <w:pPr>
        <w:ind w:left="426" w:hanging="426"/>
        <w:contextualSpacing/>
        <w:jc w:val="center"/>
        <w:rPr>
          <w:rFonts w:ascii="Arial" w:hAnsi="Arial" w:cs="Arial"/>
          <w:b/>
        </w:rPr>
      </w:pPr>
    </w:p>
    <w:p w:rsidR="00A977B9" w:rsidRPr="00CE70F0" w:rsidRDefault="00A977B9" w:rsidP="00CE70F0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V</w:t>
      </w:r>
      <w:r w:rsidR="00584188" w:rsidRPr="00CE70F0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A977B9" w:rsidRPr="00CE70F0" w:rsidRDefault="00A977B9" w:rsidP="00CE70F0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Přehled</w:t>
      </w:r>
    </w:p>
    <w:p w:rsidR="00A977B9" w:rsidRPr="00CE70F0" w:rsidRDefault="00A977B9" w:rsidP="00CE70F0">
      <w:pPr>
        <w:ind w:left="426" w:hanging="426"/>
        <w:contextualSpacing/>
        <w:jc w:val="center"/>
        <w:rPr>
          <w:rFonts w:ascii="Arial" w:hAnsi="Arial" w:cs="Arial"/>
          <w:b/>
        </w:rPr>
      </w:pPr>
    </w:p>
    <w:p w:rsidR="00E74B41" w:rsidRPr="00CE70F0" w:rsidRDefault="00762835" w:rsidP="005905BE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Přehledem se rozumí doklad ve formátu .xlsx (excel) s daty z vnitřních účtovacích systémů Pojišťovny vyčíslující Celkový náklad vynaložený na terapii </w:t>
      </w:r>
      <w:r w:rsidR="00274F95">
        <w:rPr>
          <w:rFonts w:ascii="Arial" w:hAnsi="Arial" w:cs="Arial"/>
        </w:rPr>
        <w:t xml:space="preserve">Přípravkem </w:t>
      </w:r>
      <w:r w:rsidRPr="00CE70F0">
        <w:rPr>
          <w:rFonts w:ascii="Arial" w:hAnsi="Arial" w:cs="Arial"/>
        </w:rPr>
        <w:t>Indikovaných pacientů Pojišťovnou v příslušném fakturačním období. Pro vyloučení pochybností se uvádí, že do Přehledu nejsou zahrnuty náklady na Přípravek, které nebyly přiznány Poskytovateli na základě revizní kontroly Pojišťovny.</w:t>
      </w:r>
    </w:p>
    <w:p w:rsidR="00E74B41" w:rsidRPr="00CE70F0" w:rsidRDefault="00E74B41" w:rsidP="00CE70F0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:rsidR="00A977B9" w:rsidRPr="00CE70F0" w:rsidRDefault="00A977B9" w:rsidP="005905BE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Přehled bude obsahovat níže uvedené údaje: </w:t>
      </w:r>
    </w:p>
    <w:p w:rsidR="00AB4D69" w:rsidRPr="00CE70F0" w:rsidRDefault="00757009" w:rsidP="005905BE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n</w:t>
      </w:r>
      <w:r w:rsidR="00AB4D69" w:rsidRPr="00CE70F0">
        <w:rPr>
          <w:rFonts w:ascii="Arial" w:hAnsi="Arial" w:cs="Arial"/>
        </w:rPr>
        <w:t>ázev Přípravku;</w:t>
      </w:r>
    </w:p>
    <w:p w:rsidR="00646151" w:rsidRPr="00CE70F0" w:rsidRDefault="00EA3A6C" w:rsidP="005905BE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počet UOP, u kterých byla poskytnuta terapie Přípravkem v příslušném </w:t>
      </w:r>
      <w:r w:rsidR="00762835" w:rsidRPr="00CE70F0">
        <w:rPr>
          <w:rFonts w:ascii="Arial" w:hAnsi="Arial" w:cs="Arial"/>
        </w:rPr>
        <w:t>fakturačním období</w:t>
      </w:r>
      <w:r w:rsidR="00445829" w:rsidRPr="00CE70F0">
        <w:rPr>
          <w:rFonts w:ascii="Arial" w:hAnsi="Arial" w:cs="Arial"/>
        </w:rPr>
        <w:t>;</w:t>
      </w:r>
    </w:p>
    <w:p w:rsidR="00A977B9" w:rsidRPr="00CE70F0" w:rsidRDefault="00A977B9" w:rsidP="005905BE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počet </w:t>
      </w:r>
      <w:r w:rsidR="00187A08" w:rsidRPr="00CE70F0">
        <w:rPr>
          <w:rFonts w:ascii="Arial" w:hAnsi="Arial" w:cs="Arial"/>
        </w:rPr>
        <w:t xml:space="preserve">uhrazených </w:t>
      </w:r>
      <w:r w:rsidRPr="00CE70F0">
        <w:rPr>
          <w:rFonts w:ascii="Arial" w:hAnsi="Arial" w:cs="Arial"/>
        </w:rPr>
        <w:t>balení Přípravku</w:t>
      </w:r>
      <w:r w:rsidR="005116DA" w:rsidRPr="00CE70F0">
        <w:rPr>
          <w:rFonts w:ascii="Arial" w:hAnsi="Arial" w:cs="Arial"/>
        </w:rPr>
        <w:t xml:space="preserve"> v příslušném </w:t>
      </w:r>
      <w:r w:rsidR="00762835" w:rsidRPr="00CE70F0">
        <w:rPr>
          <w:rFonts w:ascii="Arial" w:hAnsi="Arial" w:cs="Arial"/>
        </w:rPr>
        <w:t>fakturačním období</w:t>
      </w:r>
      <w:r w:rsidR="00187A08" w:rsidRPr="00CE70F0">
        <w:rPr>
          <w:rFonts w:ascii="Arial" w:hAnsi="Arial" w:cs="Arial"/>
        </w:rPr>
        <w:t>;</w:t>
      </w:r>
    </w:p>
    <w:p w:rsidR="00A977B9" w:rsidRPr="00CE70F0" w:rsidRDefault="00A977B9" w:rsidP="005905BE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celková částka</w:t>
      </w:r>
      <w:r w:rsidR="00780571" w:rsidRPr="00CE70F0">
        <w:rPr>
          <w:rFonts w:ascii="Arial" w:hAnsi="Arial" w:cs="Arial"/>
        </w:rPr>
        <w:t xml:space="preserve"> Limitované kompenzace nebo </w:t>
      </w:r>
      <w:r w:rsidR="00DA1852" w:rsidRPr="00CE70F0">
        <w:rPr>
          <w:rFonts w:ascii="Arial" w:hAnsi="Arial" w:cs="Arial"/>
        </w:rPr>
        <w:t xml:space="preserve">po překročení Limitu </w:t>
      </w:r>
      <w:r w:rsidR="00780571" w:rsidRPr="00CE70F0">
        <w:rPr>
          <w:rFonts w:ascii="Arial" w:hAnsi="Arial" w:cs="Arial"/>
        </w:rPr>
        <w:t>Zpětné platby,</w:t>
      </w:r>
      <w:r w:rsidRPr="00CE70F0">
        <w:rPr>
          <w:rFonts w:ascii="Arial" w:hAnsi="Arial" w:cs="Arial"/>
        </w:rPr>
        <w:t xml:space="preserve"> na jejíž úhradu Pojišťovně </w:t>
      </w:r>
      <w:r w:rsidR="00757009" w:rsidRPr="00CE70F0">
        <w:rPr>
          <w:rFonts w:ascii="Arial" w:hAnsi="Arial" w:cs="Arial"/>
        </w:rPr>
        <w:t>vzni</w:t>
      </w:r>
      <w:r w:rsidR="00BB2A0A" w:rsidRPr="00CE70F0">
        <w:rPr>
          <w:rFonts w:ascii="Arial" w:hAnsi="Arial" w:cs="Arial"/>
        </w:rPr>
        <w:t>kne</w:t>
      </w:r>
      <w:r w:rsidR="00757009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>právo</w:t>
      </w:r>
      <w:r w:rsidR="008C2B8E" w:rsidRPr="00CE70F0">
        <w:rPr>
          <w:rFonts w:ascii="Arial" w:hAnsi="Arial" w:cs="Arial"/>
        </w:rPr>
        <w:t xml:space="preserve"> za příslušné </w:t>
      </w:r>
      <w:r w:rsidR="00762835" w:rsidRPr="00CE70F0">
        <w:rPr>
          <w:rFonts w:ascii="Arial" w:hAnsi="Arial" w:cs="Arial"/>
        </w:rPr>
        <w:t xml:space="preserve">fakturační období </w:t>
      </w:r>
      <w:r w:rsidR="00BB2A0A" w:rsidRPr="00CE70F0">
        <w:rPr>
          <w:rFonts w:ascii="Arial" w:hAnsi="Arial" w:cs="Arial"/>
        </w:rPr>
        <w:t>za podmínek uvedených v této Smlouvě.</w:t>
      </w:r>
    </w:p>
    <w:p w:rsidR="00A977B9" w:rsidRPr="00CE70F0" w:rsidRDefault="00A977B9" w:rsidP="00CE70F0">
      <w:pPr>
        <w:pStyle w:val="ListParagraph"/>
        <w:ind w:left="426" w:hanging="426"/>
        <w:jc w:val="both"/>
        <w:rPr>
          <w:rFonts w:ascii="Arial" w:hAnsi="Arial" w:cs="Arial"/>
        </w:rPr>
      </w:pPr>
    </w:p>
    <w:p w:rsidR="00A977B9" w:rsidRPr="00D83B8B" w:rsidRDefault="00AB670F" w:rsidP="005905BE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D83B8B">
        <w:rPr>
          <w:rFonts w:ascii="Arial" w:hAnsi="Arial" w:cs="Arial"/>
        </w:rPr>
        <w:t xml:space="preserve">Pojišťovna se zavazuje zasílat Přehled </w:t>
      </w:r>
      <w:r w:rsidR="00A012EF" w:rsidRPr="00D83B8B">
        <w:rPr>
          <w:rFonts w:ascii="Arial" w:hAnsi="Arial" w:cs="Arial"/>
        </w:rPr>
        <w:t>pololetně</w:t>
      </w:r>
      <w:r w:rsidRPr="00D83B8B">
        <w:rPr>
          <w:rFonts w:ascii="Arial" w:hAnsi="Arial" w:cs="Arial"/>
        </w:rPr>
        <w:t xml:space="preserve"> elektronickou poštou na e</w:t>
      </w:r>
      <w:r w:rsidR="00556FDC" w:rsidRPr="00D83B8B">
        <w:rPr>
          <w:rFonts w:ascii="Arial" w:hAnsi="Arial" w:cs="Arial"/>
        </w:rPr>
        <w:t>-</w:t>
      </w:r>
      <w:r w:rsidRPr="00D83B8B">
        <w:rPr>
          <w:rFonts w:ascii="Arial" w:hAnsi="Arial" w:cs="Arial"/>
        </w:rPr>
        <w:t xml:space="preserve">mailovou adresu </w:t>
      </w:r>
      <w:r w:rsidR="00FE05A7" w:rsidRPr="00D83B8B">
        <w:rPr>
          <w:rFonts w:ascii="Arial" w:hAnsi="Arial" w:cs="Arial"/>
        </w:rPr>
        <w:t>Držitelem</w:t>
      </w:r>
      <w:r w:rsidRPr="00D83B8B">
        <w:rPr>
          <w:rFonts w:ascii="Arial" w:hAnsi="Arial" w:cs="Arial"/>
        </w:rPr>
        <w:t xml:space="preserve"> určené kontaktní osoby, a to: do 15. 9. (data za měsíce </w:t>
      </w:r>
      <w:r w:rsidR="00A012EF" w:rsidRPr="00D83B8B">
        <w:rPr>
          <w:rFonts w:ascii="Arial" w:hAnsi="Arial" w:cs="Arial"/>
        </w:rPr>
        <w:t>leden</w:t>
      </w:r>
      <w:r w:rsidRPr="00D83B8B">
        <w:rPr>
          <w:rFonts w:ascii="Arial" w:hAnsi="Arial" w:cs="Arial"/>
        </w:rPr>
        <w:t xml:space="preserve"> až červen) a do 15. 3. (data za měsíce </w:t>
      </w:r>
      <w:r w:rsidR="00A012EF" w:rsidRPr="00D83B8B">
        <w:rPr>
          <w:rFonts w:ascii="Arial" w:hAnsi="Arial" w:cs="Arial"/>
        </w:rPr>
        <w:t>červenec</w:t>
      </w:r>
      <w:r w:rsidRPr="00D83B8B">
        <w:rPr>
          <w:rFonts w:ascii="Arial" w:hAnsi="Arial" w:cs="Arial"/>
        </w:rPr>
        <w:t xml:space="preserve"> až </w:t>
      </w:r>
      <w:r w:rsidR="00A977B9" w:rsidRPr="00D83B8B">
        <w:rPr>
          <w:rFonts w:ascii="Arial" w:hAnsi="Arial" w:cs="Arial"/>
        </w:rPr>
        <w:t>prosinec).</w:t>
      </w:r>
      <w:r w:rsidR="001749DD" w:rsidRPr="00D83B8B">
        <w:rPr>
          <w:rFonts w:ascii="Arial" w:hAnsi="Arial" w:cs="Arial"/>
        </w:rPr>
        <w:t xml:space="preserve"> Období jsou modifikována s ohledem na </w:t>
      </w:r>
      <w:r w:rsidR="002C2A06" w:rsidRPr="00D83B8B">
        <w:rPr>
          <w:rFonts w:ascii="Arial" w:hAnsi="Arial" w:cs="Arial"/>
        </w:rPr>
        <w:t xml:space="preserve">dobu </w:t>
      </w:r>
      <w:r w:rsidR="001749DD" w:rsidRPr="00D83B8B">
        <w:rPr>
          <w:rFonts w:ascii="Arial" w:hAnsi="Arial" w:cs="Arial"/>
        </w:rPr>
        <w:t xml:space="preserve">trvání </w:t>
      </w:r>
      <w:r w:rsidR="005955B8" w:rsidRPr="00D83B8B">
        <w:rPr>
          <w:rFonts w:ascii="Arial" w:hAnsi="Arial" w:cs="Arial"/>
        </w:rPr>
        <w:t>S</w:t>
      </w:r>
      <w:r w:rsidR="001749DD" w:rsidRPr="00D83B8B">
        <w:rPr>
          <w:rFonts w:ascii="Arial" w:hAnsi="Arial" w:cs="Arial"/>
        </w:rPr>
        <w:t>mlouvy.</w:t>
      </w:r>
    </w:p>
    <w:p w:rsidR="00A977B9" w:rsidRPr="00CE70F0" w:rsidRDefault="00A977B9" w:rsidP="00CE70F0">
      <w:pPr>
        <w:pStyle w:val="ListParagraph"/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</w:rPr>
      </w:pPr>
    </w:p>
    <w:p w:rsidR="002913EC" w:rsidRPr="00CE70F0" w:rsidRDefault="00FE05A7" w:rsidP="005905BE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A977B9" w:rsidRPr="00CE70F0">
        <w:rPr>
          <w:rFonts w:ascii="Arial" w:hAnsi="Arial" w:cs="Arial"/>
        </w:rPr>
        <w:t xml:space="preserve"> se zavazuje posky</w:t>
      </w:r>
      <w:r w:rsidR="004C30ED" w:rsidRPr="00CE70F0">
        <w:rPr>
          <w:rFonts w:ascii="Arial" w:hAnsi="Arial" w:cs="Arial"/>
        </w:rPr>
        <w:t xml:space="preserve">tnutý Přehled řádně prostudovat. V případě, že </w:t>
      </w:r>
      <w:r w:rsidRPr="00CE70F0">
        <w:rPr>
          <w:rFonts w:ascii="Arial" w:hAnsi="Arial" w:cs="Arial"/>
        </w:rPr>
        <w:t>Držitel</w:t>
      </w:r>
      <w:r w:rsidR="004C30ED" w:rsidRPr="00CE70F0">
        <w:rPr>
          <w:rFonts w:ascii="Arial" w:hAnsi="Arial" w:cs="Arial"/>
        </w:rPr>
        <w:t xml:space="preserve"> bude mít proti obsahu Přehledu námitky, je oprávněn požadovat po Pojišťovně vysvětlení. P</w:t>
      </w:r>
      <w:r w:rsidR="00A977B9" w:rsidRPr="00CE70F0">
        <w:rPr>
          <w:rFonts w:ascii="Arial" w:hAnsi="Arial" w:cs="Arial"/>
        </w:rPr>
        <w:t>okud proti jeho obsahu námitky</w:t>
      </w:r>
      <w:r w:rsidR="004C30ED" w:rsidRPr="00CE70F0">
        <w:rPr>
          <w:rFonts w:ascii="Arial" w:hAnsi="Arial" w:cs="Arial"/>
        </w:rPr>
        <w:t xml:space="preserve"> neshledá</w:t>
      </w:r>
      <w:r w:rsidR="00EA13A4" w:rsidRPr="00CE70F0">
        <w:rPr>
          <w:rFonts w:ascii="Arial" w:hAnsi="Arial" w:cs="Arial"/>
        </w:rPr>
        <w:t>,</w:t>
      </w:r>
      <w:r w:rsidR="00A977B9" w:rsidRPr="00CE70F0">
        <w:rPr>
          <w:rFonts w:ascii="Arial" w:hAnsi="Arial" w:cs="Arial"/>
        </w:rPr>
        <w:t xml:space="preserve"> </w:t>
      </w:r>
      <w:r w:rsidR="00AB3793" w:rsidRPr="00CE70F0">
        <w:rPr>
          <w:rFonts w:ascii="Arial" w:hAnsi="Arial" w:cs="Arial"/>
        </w:rPr>
        <w:t xml:space="preserve">v přiměřené lhůtě </w:t>
      </w:r>
      <w:r w:rsidR="002913EC" w:rsidRPr="00CE70F0">
        <w:rPr>
          <w:rFonts w:ascii="Arial" w:hAnsi="Arial" w:cs="Arial"/>
        </w:rPr>
        <w:t xml:space="preserve">jej odsouhlasit, nejpozději však do 25. dne měsíce, </w:t>
      </w:r>
      <w:r w:rsidR="002913EC" w:rsidRPr="00CE70F0">
        <w:rPr>
          <w:rFonts w:ascii="Arial" w:hAnsi="Arial" w:cs="Arial"/>
        </w:rPr>
        <w:lastRenderedPageBreak/>
        <w:t>ve kterém Přehled obdržel,</w:t>
      </w:r>
      <w:r w:rsidR="00A977B9" w:rsidRPr="00CE70F0">
        <w:rPr>
          <w:rFonts w:ascii="Arial" w:hAnsi="Arial" w:cs="Arial"/>
        </w:rPr>
        <w:t xml:space="preserve"> prostřednictvím elektronické pošty na e</w:t>
      </w:r>
      <w:r w:rsidR="00556FDC">
        <w:rPr>
          <w:rFonts w:ascii="Arial" w:hAnsi="Arial" w:cs="Arial"/>
        </w:rPr>
        <w:t>-</w:t>
      </w:r>
      <w:r w:rsidR="00A977B9" w:rsidRPr="00CE70F0">
        <w:rPr>
          <w:rFonts w:ascii="Arial" w:hAnsi="Arial" w:cs="Arial"/>
        </w:rPr>
        <w:t>mailovou adresu Pojišťovnou určené kontaktní osoby</w:t>
      </w:r>
      <w:r w:rsidR="002913EC" w:rsidRPr="00CE70F0">
        <w:rPr>
          <w:rFonts w:ascii="Arial" w:hAnsi="Arial" w:cs="Arial"/>
        </w:rPr>
        <w:t>.</w:t>
      </w:r>
      <w:r w:rsidR="00A977B9" w:rsidRPr="00CE70F0">
        <w:rPr>
          <w:rFonts w:ascii="Arial" w:hAnsi="Arial" w:cs="Arial"/>
        </w:rPr>
        <w:t xml:space="preserve"> Za projevení souhlasu s obsahem Přehledu se má i proplacení faktury.</w:t>
      </w:r>
      <w:r w:rsidR="00F10065" w:rsidRPr="00CE70F0">
        <w:rPr>
          <w:rFonts w:ascii="Arial" w:hAnsi="Arial" w:cs="Arial"/>
        </w:rPr>
        <w:t xml:space="preserve"> </w:t>
      </w:r>
    </w:p>
    <w:p w:rsidR="001749DD" w:rsidRDefault="001749DD" w:rsidP="00CE70F0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</w:rPr>
      </w:pPr>
    </w:p>
    <w:p w:rsidR="005701D5" w:rsidRPr="00CE70F0" w:rsidRDefault="005701D5" w:rsidP="00CE70F0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</w:rPr>
      </w:pPr>
    </w:p>
    <w:p w:rsidR="00A977B9" w:rsidRPr="00CE70F0" w:rsidRDefault="00A977B9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VI</w:t>
      </w:r>
      <w:r w:rsidR="00584188" w:rsidRPr="00CE70F0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A977B9" w:rsidRPr="00CE70F0" w:rsidRDefault="00A977B9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Fakturační a platební podmínky</w:t>
      </w:r>
    </w:p>
    <w:p w:rsidR="00A977B9" w:rsidRPr="00CE70F0" w:rsidRDefault="00A977B9" w:rsidP="00CE70F0">
      <w:pPr>
        <w:spacing w:before="120"/>
        <w:ind w:left="567"/>
        <w:contextualSpacing/>
        <w:jc w:val="both"/>
        <w:rPr>
          <w:rFonts w:ascii="Arial" w:hAnsi="Arial" w:cs="Arial"/>
        </w:rPr>
      </w:pPr>
    </w:p>
    <w:p w:rsidR="00A977B9" w:rsidRPr="00CE70F0" w:rsidRDefault="00FE05A7" w:rsidP="005905BE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CC6B50" w:rsidRPr="00CE70F0">
        <w:rPr>
          <w:rFonts w:ascii="Arial" w:hAnsi="Arial" w:cs="Arial"/>
        </w:rPr>
        <w:t xml:space="preserve"> poskytne Pojišťovně </w:t>
      </w:r>
      <w:r w:rsidR="00780571" w:rsidRPr="00CE70F0">
        <w:rPr>
          <w:rFonts w:ascii="Arial" w:hAnsi="Arial" w:cs="Arial"/>
        </w:rPr>
        <w:t>Limitovanou k</w:t>
      </w:r>
      <w:r w:rsidR="002D7DB4" w:rsidRPr="00CE70F0">
        <w:rPr>
          <w:rFonts w:ascii="Arial" w:hAnsi="Arial" w:cs="Arial"/>
        </w:rPr>
        <w:t>ompenzaci</w:t>
      </w:r>
      <w:r w:rsidR="00CC6B50" w:rsidRPr="00CE70F0">
        <w:rPr>
          <w:rFonts w:ascii="Arial" w:hAnsi="Arial" w:cs="Arial"/>
        </w:rPr>
        <w:t xml:space="preserve"> </w:t>
      </w:r>
      <w:r w:rsidR="00780571" w:rsidRPr="00CE70F0">
        <w:rPr>
          <w:rFonts w:ascii="Arial" w:hAnsi="Arial" w:cs="Arial"/>
        </w:rPr>
        <w:t xml:space="preserve">nebo Zpětnou platbu </w:t>
      </w:r>
      <w:r w:rsidR="00CC6B50" w:rsidRPr="00CE70F0">
        <w:rPr>
          <w:rFonts w:ascii="Arial" w:hAnsi="Arial" w:cs="Arial"/>
        </w:rPr>
        <w:t>ve výši a v termínu určeném touto Smlouvou</w:t>
      </w:r>
      <w:r w:rsidR="00E523A1" w:rsidRPr="00CE70F0">
        <w:rPr>
          <w:rFonts w:ascii="Arial" w:hAnsi="Arial" w:cs="Arial"/>
        </w:rPr>
        <w:t>.</w:t>
      </w:r>
      <w:r w:rsidR="00CC6B50" w:rsidRPr="00CE70F0">
        <w:rPr>
          <w:rFonts w:ascii="Arial" w:hAnsi="Arial" w:cs="Arial"/>
        </w:rPr>
        <w:t xml:space="preserve"> </w:t>
      </w:r>
      <w:r w:rsidR="00A977B9" w:rsidRPr="00CE70F0">
        <w:rPr>
          <w:rFonts w:ascii="Arial" w:hAnsi="Arial" w:cs="Arial"/>
        </w:rPr>
        <w:t xml:space="preserve">Smluvní strany se dohodly, že </w:t>
      </w:r>
      <w:r w:rsidR="00D666F9" w:rsidRPr="00CE70F0">
        <w:rPr>
          <w:rFonts w:ascii="Arial" w:hAnsi="Arial" w:cs="Arial"/>
        </w:rPr>
        <w:t>úhradu</w:t>
      </w:r>
      <w:r w:rsidR="00E82C4E" w:rsidRPr="00CE70F0">
        <w:rPr>
          <w:rFonts w:ascii="Arial" w:hAnsi="Arial" w:cs="Arial"/>
        </w:rPr>
        <w:t xml:space="preserve"> </w:t>
      </w:r>
      <w:r w:rsidR="00780571" w:rsidRPr="00CE70F0">
        <w:rPr>
          <w:rFonts w:ascii="Arial" w:hAnsi="Arial" w:cs="Arial"/>
        </w:rPr>
        <w:t>Limitované k</w:t>
      </w:r>
      <w:r w:rsidR="002D7DB4" w:rsidRPr="00CE70F0">
        <w:rPr>
          <w:rFonts w:ascii="Arial" w:hAnsi="Arial" w:cs="Arial"/>
        </w:rPr>
        <w:t>ompenzace</w:t>
      </w:r>
      <w:r w:rsidR="00D666F9" w:rsidRPr="00CE70F0">
        <w:rPr>
          <w:rFonts w:ascii="Arial" w:hAnsi="Arial" w:cs="Arial"/>
        </w:rPr>
        <w:t xml:space="preserve"> dle </w:t>
      </w:r>
      <w:r w:rsidR="007E031D" w:rsidRPr="00CE70F0">
        <w:rPr>
          <w:rFonts w:ascii="Arial" w:hAnsi="Arial" w:cs="Arial"/>
        </w:rPr>
        <w:t>č</w:t>
      </w:r>
      <w:r w:rsidR="00D666F9" w:rsidRPr="00CE70F0">
        <w:rPr>
          <w:rFonts w:ascii="Arial" w:hAnsi="Arial" w:cs="Arial"/>
        </w:rPr>
        <w:t>lánku IV. této Smlouvy</w:t>
      </w:r>
      <w:r w:rsidR="00780571" w:rsidRPr="00CE70F0">
        <w:rPr>
          <w:rFonts w:ascii="Arial" w:hAnsi="Arial" w:cs="Arial"/>
        </w:rPr>
        <w:t xml:space="preserve"> a úhradu Zpětné platby dle článku V. této Smlouvy</w:t>
      </w:r>
      <w:r w:rsidR="00D666F9" w:rsidRPr="00CE70F0">
        <w:rPr>
          <w:rFonts w:ascii="Arial" w:hAnsi="Arial" w:cs="Arial"/>
        </w:rPr>
        <w:t xml:space="preserve"> </w:t>
      </w:r>
      <w:r w:rsidR="00A977B9" w:rsidRPr="00CE70F0">
        <w:rPr>
          <w:rFonts w:ascii="Arial" w:hAnsi="Arial" w:cs="Arial"/>
        </w:rPr>
        <w:t>bude Pojišťovna</w:t>
      </w:r>
      <w:r w:rsidR="00E82C4E" w:rsidRPr="00CE70F0">
        <w:rPr>
          <w:rFonts w:ascii="Arial" w:hAnsi="Arial" w:cs="Arial"/>
        </w:rPr>
        <w:t xml:space="preserve"> </w:t>
      </w:r>
      <w:r w:rsidR="001749DD" w:rsidRPr="00CE70F0">
        <w:rPr>
          <w:rFonts w:ascii="Arial" w:hAnsi="Arial" w:cs="Arial"/>
        </w:rPr>
        <w:t>vůči</w:t>
      </w:r>
      <w:r w:rsidR="00E82C4E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>Držiteli</w:t>
      </w:r>
      <w:r w:rsidR="00A977B9" w:rsidRPr="00CE70F0">
        <w:rPr>
          <w:rFonts w:ascii="Arial" w:hAnsi="Arial" w:cs="Arial"/>
        </w:rPr>
        <w:t xml:space="preserve"> uplatňovat </w:t>
      </w:r>
      <w:r w:rsidR="00CC6B50" w:rsidRPr="00CE70F0">
        <w:rPr>
          <w:rFonts w:ascii="Arial" w:hAnsi="Arial" w:cs="Arial"/>
        </w:rPr>
        <w:t>půlročně</w:t>
      </w:r>
      <w:r w:rsidR="00E82C4E" w:rsidRPr="00CE70F0">
        <w:rPr>
          <w:rFonts w:ascii="Arial" w:hAnsi="Arial" w:cs="Arial"/>
        </w:rPr>
        <w:t>,</w:t>
      </w:r>
      <w:r w:rsidR="001749DD" w:rsidRPr="00CE70F0">
        <w:rPr>
          <w:rFonts w:ascii="Arial" w:hAnsi="Arial" w:cs="Arial"/>
        </w:rPr>
        <w:t xml:space="preserve"> </w:t>
      </w:r>
      <w:r w:rsidR="005C0B1E" w:rsidRPr="00CE70F0">
        <w:rPr>
          <w:rFonts w:ascii="Arial" w:hAnsi="Arial" w:cs="Arial"/>
        </w:rPr>
        <w:t xml:space="preserve">a to v termínech do 30. 9. (za </w:t>
      </w:r>
      <w:r w:rsidR="00762835" w:rsidRPr="00CE70F0">
        <w:rPr>
          <w:rFonts w:ascii="Arial" w:hAnsi="Arial" w:cs="Arial"/>
        </w:rPr>
        <w:t xml:space="preserve">fakturační </w:t>
      </w:r>
      <w:r w:rsidR="005C0B1E" w:rsidRPr="00CE70F0">
        <w:rPr>
          <w:rFonts w:ascii="Arial" w:hAnsi="Arial" w:cs="Arial"/>
        </w:rPr>
        <w:t>období leden – červen) a do 3</w:t>
      </w:r>
      <w:r w:rsidR="00683BB7" w:rsidRPr="00CE70F0">
        <w:rPr>
          <w:rFonts w:ascii="Arial" w:hAnsi="Arial" w:cs="Arial"/>
        </w:rPr>
        <w:t>1</w:t>
      </w:r>
      <w:r w:rsidR="005C0B1E" w:rsidRPr="00CE70F0">
        <w:rPr>
          <w:rFonts w:ascii="Arial" w:hAnsi="Arial" w:cs="Arial"/>
        </w:rPr>
        <w:t xml:space="preserve">. 3. (za </w:t>
      </w:r>
      <w:r w:rsidR="00762835" w:rsidRPr="00CE70F0">
        <w:rPr>
          <w:rFonts w:ascii="Arial" w:hAnsi="Arial" w:cs="Arial"/>
        </w:rPr>
        <w:t xml:space="preserve">fakturační </w:t>
      </w:r>
      <w:r w:rsidR="005C0B1E" w:rsidRPr="00CE70F0">
        <w:rPr>
          <w:rFonts w:ascii="Arial" w:hAnsi="Arial" w:cs="Arial"/>
        </w:rPr>
        <w:t>období červenec – prosinec)</w:t>
      </w:r>
      <w:r w:rsidR="00E82C4E" w:rsidRPr="00CE70F0">
        <w:rPr>
          <w:rFonts w:ascii="Arial" w:hAnsi="Arial" w:cs="Arial"/>
        </w:rPr>
        <w:t>.</w:t>
      </w:r>
      <w:r w:rsidR="007E031D" w:rsidRPr="00CE70F0">
        <w:rPr>
          <w:rFonts w:ascii="Arial" w:hAnsi="Arial" w:cs="Arial"/>
        </w:rPr>
        <w:t xml:space="preserve"> Pojišťovna zašle fakturu </w:t>
      </w:r>
      <w:r w:rsidR="00F778E4">
        <w:rPr>
          <w:rFonts w:ascii="Arial" w:hAnsi="Arial" w:cs="Arial"/>
        </w:rPr>
        <w:t xml:space="preserve">Celgene s.r.o. Novodvorská 994/138, </w:t>
      </w:r>
      <w:r w:rsidR="00D83B8B">
        <w:rPr>
          <w:rFonts w:ascii="Arial" w:hAnsi="Arial" w:cs="Arial"/>
        </w:rPr>
        <w:t xml:space="preserve">142 00 </w:t>
      </w:r>
      <w:r w:rsidR="00F778E4">
        <w:rPr>
          <w:rFonts w:ascii="Arial" w:hAnsi="Arial" w:cs="Arial"/>
        </w:rPr>
        <w:t>Praha 4</w:t>
      </w:r>
      <w:r w:rsidR="002775EE" w:rsidRPr="00CE70F0">
        <w:rPr>
          <w:rFonts w:ascii="Arial" w:hAnsi="Arial" w:cs="Arial"/>
        </w:rPr>
        <w:t>.</w:t>
      </w:r>
    </w:p>
    <w:p w:rsidR="009C1EE8" w:rsidRPr="00CE70F0" w:rsidRDefault="009C1EE8" w:rsidP="00CE70F0">
      <w:pPr>
        <w:pStyle w:val="ListParagraph"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</w:rPr>
      </w:pPr>
    </w:p>
    <w:p w:rsidR="00A977B9" w:rsidRPr="00CE70F0" w:rsidRDefault="00A977B9" w:rsidP="005905BE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se dohodly, že Pojišťovna je oprávněna provést dodatečné vyúčtování částky k</w:t>
      </w:r>
      <w:r w:rsidR="00BB2A0A" w:rsidRPr="00CE70F0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 xml:space="preserve">úhradě </w:t>
      </w:r>
      <w:r w:rsidR="00780571" w:rsidRPr="00CE70F0">
        <w:rPr>
          <w:rFonts w:ascii="Arial" w:hAnsi="Arial" w:cs="Arial"/>
        </w:rPr>
        <w:t>Limitované k</w:t>
      </w:r>
      <w:r w:rsidR="002775EE" w:rsidRPr="00CE70F0">
        <w:rPr>
          <w:rFonts w:ascii="Arial" w:hAnsi="Arial" w:cs="Arial"/>
        </w:rPr>
        <w:t>ompenzace</w:t>
      </w:r>
      <w:r w:rsidR="00E168D5" w:rsidRPr="00CE70F0">
        <w:rPr>
          <w:rFonts w:ascii="Arial" w:hAnsi="Arial" w:cs="Arial"/>
        </w:rPr>
        <w:t xml:space="preserve"> nebo Zpětné platby</w:t>
      </w:r>
      <w:r w:rsidRPr="00CE70F0">
        <w:rPr>
          <w:rFonts w:ascii="Arial" w:hAnsi="Arial" w:cs="Arial"/>
        </w:rPr>
        <w:t xml:space="preserve">, pokud jí náklady na Přípravek </w:t>
      </w:r>
      <w:r w:rsidR="00BB2A0A" w:rsidRPr="00CE70F0">
        <w:rPr>
          <w:rFonts w:ascii="Arial" w:hAnsi="Arial" w:cs="Arial"/>
        </w:rPr>
        <w:t xml:space="preserve">podaný Indikovaným pacientům </w:t>
      </w:r>
      <w:r w:rsidRPr="00CE70F0">
        <w:rPr>
          <w:rFonts w:ascii="Arial" w:hAnsi="Arial" w:cs="Arial"/>
        </w:rPr>
        <w:t xml:space="preserve">byly </w:t>
      </w:r>
      <w:r w:rsidR="000C4600" w:rsidRPr="00CE70F0">
        <w:rPr>
          <w:rFonts w:ascii="Arial" w:hAnsi="Arial" w:cs="Arial"/>
        </w:rPr>
        <w:t>P</w:t>
      </w:r>
      <w:r w:rsidRPr="00CE70F0">
        <w:rPr>
          <w:rFonts w:ascii="Arial" w:hAnsi="Arial" w:cs="Arial"/>
        </w:rPr>
        <w:t xml:space="preserve">oskytovatelem vykázány po termínu stanoveném touto Smlouvou pro zaslání Přehledu </w:t>
      </w:r>
      <w:r w:rsidR="00C96242" w:rsidRPr="00CE70F0">
        <w:rPr>
          <w:rFonts w:ascii="Arial" w:hAnsi="Arial" w:cs="Arial"/>
        </w:rPr>
        <w:t>Držiteli</w:t>
      </w:r>
      <w:r w:rsidRPr="00CE70F0">
        <w:rPr>
          <w:rFonts w:ascii="Arial" w:hAnsi="Arial" w:cs="Arial"/>
        </w:rPr>
        <w:t xml:space="preserve"> a nebyly tak Pojišťovně </w:t>
      </w:r>
      <w:r w:rsidR="00A13D3C" w:rsidRPr="00CE70F0">
        <w:rPr>
          <w:rFonts w:ascii="Arial" w:hAnsi="Arial" w:cs="Arial"/>
        </w:rPr>
        <w:t xml:space="preserve">dříve </w:t>
      </w:r>
      <w:r w:rsidRPr="00CE70F0">
        <w:rPr>
          <w:rFonts w:ascii="Arial" w:hAnsi="Arial" w:cs="Arial"/>
        </w:rPr>
        <w:t>známy.</w:t>
      </w:r>
      <w:r w:rsidR="00B6352A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 xml:space="preserve">Dodatečné vyúčtování dle tohoto odstavce bude provedeno nejpozději do 31. 3. kalendářního roku následujícím po roce, ve kterém byl </w:t>
      </w:r>
      <w:r w:rsidR="00E168D5" w:rsidRPr="00CE70F0">
        <w:rPr>
          <w:rFonts w:ascii="Arial" w:hAnsi="Arial" w:cs="Arial"/>
        </w:rPr>
        <w:t>P</w:t>
      </w:r>
      <w:r w:rsidRPr="00CE70F0">
        <w:rPr>
          <w:rFonts w:ascii="Arial" w:hAnsi="Arial" w:cs="Arial"/>
        </w:rPr>
        <w:t>řípravek Pojišťovně skutečně vyúčtován k úhradě.</w:t>
      </w:r>
      <w:r w:rsidR="00A13D3C" w:rsidRPr="00CE70F0">
        <w:rPr>
          <w:rFonts w:ascii="Arial" w:hAnsi="Arial" w:cs="Arial"/>
        </w:rPr>
        <w:t xml:space="preserve"> Při provedení dodatečného vyúčtování Pojišťovna doloží </w:t>
      </w:r>
      <w:r w:rsidR="00C96242" w:rsidRPr="00CE70F0">
        <w:rPr>
          <w:rFonts w:ascii="Arial" w:hAnsi="Arial" w:cs="Arial"/>
        </w:rPr>
        <w:t>Držiteli</w:t>
      </w:r>
      <w:r w:rsidR="00A13D3C" w:rsidRPr="00CE70F0">
        <w:rPr>
          <w:rFonts w:ascii="Arial" w:hAnsi="Arial" w:cs="Arial"/>
        </w:rPr>
        <w:t xml:space="preserve"> údaje vztahující se k účtované částce v rozsahu podle článku V</w:t>
      </w:r>
      <w:r w:rsidR="00E168D5" w:rsidRPr="00CE70F0">
        <w:rPr>
          <w:rFonts w:ascii="Arial" w:hAnsi="Arial" w:cs="Arial"/>
        </w:rPr>
        <w:t>I</w:t>
      </w:r>
      <w:r w:rsidR="00A13D3C" w:rsidRPr="00CE70F0">
        <w:rPr>
          <w:rFonts w:ascii="Arial" w:hAnsi="Arial" w:cs="Arial"/>
        </w:rPr>
        <w:t>. odst. 2 Smlouvy.</w:t>
      </w:r>
    </w:p>
    <w:p w:rsidR="00A13D3C" w:rsidRPr="00CE70F0" w:rsidRDefault="00A13D3C" w:rsidP="00CE70F0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</w:rPr>
      </w:pPr>
    </w:p>
    <w:p w:rsidR="00A977B9" w:rsidRPr="00CE70F0" w:rsidRDefault="00A977B9" w:rsidP="005905BE">
      <w:pPr>
        <w:numPr>
          <w:ilvl w:val="0"/>
          <w:numId w:val="9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se dohodly na lhůtě splatnosti každé faktury 30 dnů od data jejího vystavení. </w:t>
      </w:r>
    </w:p>
    <w:p w:rsidR="00A977B9" w:rsidRPr="00CE70F0" w:rsidRDefault="00A977B9" w:rsidP="00CE70F0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:rsidR="00A977B9" w:rsidRPr="00CE70F0" w:rsidRDefault="00C96242" w:rsidP="005905BE">
      <w:pPr>
        <w:numPr>
          <w:ilvl w:val="0"/>
          <w:numId w:val="9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A977B9" w:rsidRPr="00CE70F0">
        <w:rPr>
          <w:rFonts w:ascii="Arial" w:hAnsi="Arial" w:cs="Arial"/>
        </w:rPr>
        <w:t xml:space="preserve"> je oprávněn vrátit bez zaplacení fakturu, která nebude obsahovat zákonem stanovené náležitosti nebo bude obsahovat nesprávné údaje, tj. údaje v rozporu s </w:t>
      </w:r>
      <w:r w:rsidRPr="00CE70F0">
        <w:rPr>
          <w:rFonts w:ascii="Arial" w:hAnsi="Arial" w:cs="Arial"/>
        </w:rPr>
        <w:t>Držitelem</w:t>
      </w:r>
      <w:r w:rsidR="00A977B9" w:rsidRPr="00CE70F0">
        <w:rPr>
          <w:rFonts w:ascii="Arial" w:hAnsi="Arial" w:cs="Arial"/>
        </w:rPr>
        <w:t xml:space="preserve"> schváleným Přehledem, se specifikací důvodu vrácení. Pojišťovna je povinna podle povahy nesprávnosti fakturu opravit. Splatnost </w:t>
      </w:r>
      <w:r w:rsidR="00350292" w:rsidRPr="00CE70F0">
        <w:rPr>
          <w:rFonts w:ascii="Arial" w:hAnsi="Arial" w:cs="Arial"/>
        </w:rPr>
        <w:t xml:space="preserve">opravené či </w:t>
      </w:r>
      <w:r w:rsidR="00A977B9" w:rsidRPr="00CE70F0">
        <w:rPr>
          <w:rFonts w:ascii="Arial" w:hAnsi="Arial" w:cs="Arial"/>
        </w:rPr>
        <w:t xml:space="preserve">nově vystavené faktury bude </w:t>
      </w:r>
      <w:r w:rsidR="00900C26" w:rsidRPr="00CE70F0">
        <w:rPr>
          <w:rFonts w:ascii="Arial" w:hAnsi="Arial" w:cs="Arial"/>
        </w:rPr>
        <w:t xml:space="preserve">stanovena tak, že původní </w:t>
      </w:r>
      <w:r w:rsidR="00350292" w:rsidRPr="00CE70F0">
        <w:rPr>
          <w:rFonts w:ascii="Arial" w:hAnsi="Arial" w:cs="Arial"/>
        </w:rPr>
        <w:t>splatnost Držitelem vrácené faktury</w:t>
      </w:r>
      <w:r w:rsidR="00900C26" w:rsidRPr="00CE70F0">
        <w:rPr>
          <w:rFonts w:ascii="Arial" w:hAnsi="Arial" w:cs="Arial"/>
        </w:rPr>
        <w:t xml:space="preserve"> bude prodloužena o 10 dní.</w:t>
      </w:r>
    </w:p>
    <w:p w:rsidR="00A977B9" w:rsidRPr="00CE70F0" w:rsidRDefault="00A977B9" w:rsidP="00CE70F0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:rsidR="00A977B9" w:rsidRPr="00CE70F0" w:rsidRDefault="00A977B9" w:rsidP="005905BE">
      <w:pPr>
        <w:numPr>
          <w:ilvl w:val="0"/>
          <w:numId w:val="9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E70F0">
        <w:rPr>
          <w:rFonts w:ascii="Arial" w:hAnsi="Arial" w:cs="Arial"/>
        </w:rPr>
        <w:t>Závazek k úhradě faktury je splněn dnem, kdy byla příslušná částka připsána na účet Pojišťovny</w:t>
      </w:r>
      <w:r w:rsidR="000C4600" w:rsidRPr="00CE70F0">
        <w:rPr>
          <w:rFonts w:ascii="Arial" w:hAnsi="Arial" w:cs="Arial"/>
        </w:rPr>
        <w:t>.</w:t>
      </w:r>
    </w:p>
    <w:p w:rsidR="00A977B9" w:rsidRPr="00CE70F0" w:rsidRDefault="00A977B9" w:rsidP="00CE70F0">
      <w:p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</w:p>
    <w:p w:rsidR="00A977B9" w:rsidRPr="00CE70F0" w:rsidRDefault="00A977B9" w:rsidP="005905BE">
      <w:pPr>
        <w:numPr>
          <w:ilvl w:val="0"/>
          <w:numId w:val="9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E70F0">
        <w:rPr>
          <w:rFonts w:ascii="Arial" w:hAnsi="Arial" w:cs="Arial"/>
        </w:rPr>
        <w:t xml:space="preserve">Pojišťovna prohlašuje, že číslo bankovního účtu základního fondu je </w:t>
      </w:r>
      <w:r w:rsidRPr="00CE70F0">
        <w:rPr>
          <w:rFonts w:ascii="Arial" w:hAnsi="Arial" w:cs="Arial"/>
          <w:b/>
        </w:rPr>
        <w:t>189066053/0600</w:t>
      </w:r>
      <w:r w:rsidRPr="00CE70F0">
        <w:rPr>
          <w:rFonts w:ascii="Arial" w:hAnsi="Arial" w:cs="Arial"/>
        </w:rPr>
        <w:t>. Ohlášení tohoto účtu nepodléhá povinnosti dle § 96 odst. 1 zákona č. 235/2004 Sb., o dani z přidané hodnoty, ve znění pozdějších předpisů.</w:t>
      </w:r>
      <w:r w:rsidRPr="00CE70F0">
        <w:rPr>
          <w:rFonts w:ascii="Arial" w:eastAsia="Calibri" w:hAnsi="Arial" w:cs="Arial"/>
        </w:rPr>
        <w:t xml:space="preserve"> </w:t>
      </w:r>
      <w:r w:rsidR="005F33B8" w:rsidRPr="00CE70F0">
        <w:rPr>
          <w:rFonts w:ascii="Arial" w:eastAsia="Calibri" w:hAnsi="Arial" w:cs="Arial"/>
        </w:rPr>
        <w:t>Z</w:t>
      </w:r>
      <w:r w:rsidR="00142985" w:rsidRPr="00CE70F0">
        <w:rPr>
          <w:rFonts w:ascii="Arial" w:eastAsia="Calibri" w:hAnsi="Arial" w:cs="Arial"/>
        </w:rPr>
        <w:t>měn</w:t>
      </w:r>
      <w:r w:rsidR="005F33B8" w:rsidRPr="00CE70F0">
        <w:rPr>
          <w:rFonts w:ascii="Arial" w:eastAsia="Calibri" w:hAnsi="Arial" w:cs="Arial"/>
        </w:rPr>
        <w:t>u</w:t>
      </w:r>
      <w:r w:rsidR="00142985" w:rsidRPr="00CE70F0">
        <w:rPr>
          <w:rFonts w:ascii="Arial" w:eastAsia="Calibri" w:hAnsi="Arial" w:cs="Arial"/>
        </w:rPr>
        <w:t xml:space="preserve"> čísla účtu</w:t>
      </w:r>
      <w:r w:rsidR="005F33B8" w:rsidRPr="00CE70F0">
        <w:rPr>
          <w:rFonts w:ascii="Arial" w:eastAsia="Calibri" w:hAnsi="Arial" w:cs="Arial"/>
        </w:rPr>
        <w:t xml:space="preserve"> se Pojišťovna zavazuje oznámit </w:t>
      </w:r>
      <w:r w:rsidR="00C96242" w:rsidRPr="00CE70F0">
        <w:rPr>
          <w:rFonts w:ascii="Arial" w:eastAsia="Calibri" w:hAnsi="Arial" w:cs="Arial"/>
        </w:rPr>
        <w:t>Držiteli</w:t>
      </w:r>
      <w:r w:rsidR="005F33B8" w:rsidRPr="00CE70F0">
        <w:rPr>
          <w:rFonts w:ascii="Arial" w:eastAsia="Calibri" w:hAnsi="Arial" w:cs="Arial"/>
        </w:rPr>
        <w:t xml:space="preserve"> e</w:t>
      </w:r>
      <w:r w:rsidR="00142985" w:rsidRPr="00CE70F0">
        <w:rPr>
          <w:rFonts w:ascii="Arial" w:eastAsia="Calibri" w:hAnsi="Arial" w:cs="Arial"/>
        </w:rPr>
        <w:t xml:space="preserve">lektronickou poštou na e-mailovou adresu </w:t>
      </w:r>
      <w:r w:rsidR="00C96242" w:rsidRPr="00CE70F0">
        <w:rPr>
          <w:rFonts w:ascii="Arial" w:eastAsia="Calibri" w:hAnsi="Arial" w:cs="Arial"/>
        </w:rPr>
        <w:t>Držitelem</w:t>
      </w:r>
      <w:r w:rsidR="00142985" w:rsidRPr="00CE70F0">
        <w:rPr>
          <w:rFonts w:ascii="Arial" w:eastAsia="Calibri" w:hAnsi="Arial" w:cs="Arial"/>
        </w:rPr>
        <w:t xml:space="preserve"> označené kontaktní osoby</w:t>
      </w:r>
      <w:r w:rsidR="005F33B8" w:rsidRPr="00CE70F0">
        <w:rPr>
          <w:rFonts w:ascii="Arial" w:eastAsia="Calibri" w:hAnsi="Arial" w:cs="Arial"/>
        </w:rPr>
        <w:t>, přičemž toto oznámení musí být opatřeno zaručeným elektronickým podpisem osoby pověřené k zastoupení Pojišťovny.</w:t>
      </w:r>
      <w:r w:rsidR="00142985" w:rsidRPr="00CE70F0">
        <w:rPr>
          <w:rFonts w:ascii="Arial" w:eastAsia="Calibri" w:hAnsi="Arial" w:cs="Arial"/>
        </w:rPr>
        <w:t xml:space="preserve"> </w:t>
      </w:r>
    </w:p>
    <w:p w:rsidR="0017428C" w:rsidRDefault="0017428C" w:rsidP="00CE70F0">
      <w:pPr>
        <w:overflowPunct/>
        <w:autoSpaceDE/>
        <w:autoSpaceDN/>
        <w:adjustRightInd/>
        <w:spacing w:before="240"/>
        <w:contextualSpacing/>
        <w:jc w:val="both"/>
        <w:textAlignment w:val="auto"/>
        <w:rPr>
          <w:rFonts w:ascii="Arial" w:eastAsia="Calibri" w:hAnsi="Arial" w:cs="Arial"/>
        </w:rPr>
      </w:pPr>
    </w:p>
    <w:p w:rsidR="005352E2" w:rsidRPr="00CE70F0" w:rsidRDefault="005352E2" w:rsidP="00CE70F0">
      <w:pPr>
        <w:overflowPunct/>
        <w:autoSpaceDE/>
        <w:autoSpaceDN/>
        <w:adjustRightInd/>
        <w:spacing w:before="240"/>
        <w:contextualSpacing/>
        <w:jc w:val="both"/>
        <w:textAlignment w:val="auto"/>
        <w:rPr>
          <w:rFonts w:ascii="Arial" w:eastAsia="Calibri" w:hAnsi="Arial" w:cs="Arial"/>
        </w:rPr>
      </w:pPr>
    </w:p>
    <w:p w:rsidR="0017428C" w:rsidRPr="00CE70F0" w:rsidRDefault="0017428C" w:rsidP="00CE70F0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>Článek</w:t>
      </w:r>
      <w:r w:rsidR="006450E7" w:rsidRPr="00CE70F0">
        <w:rPr>
          <w:rFonts w:ascii="Arial" w:eastAsia="Calibri" w:hAnsi="Arial" w:cs="Arial"/>
          <w:b/>
        </w:rPr>
        <w:t xml:space="preserve"> </w:t>
      </w:r>
      <w:r w:rsidR="00953BBF">
        <w:rPr>
          <w:rFonts w:ascii="Arial" w:eastAsia="Calibri" w:hAnsi="Arial" w:cs="Arial"/>
          <w:b/>
        </w:rPr>
        <w:t>VIII</w:t>
      </w:r>
      <w:r w:rsidR="006450E7" w:rsidRPr="00CE70F0">
        <w:rPr>
          <w:rFonts w:ascii="Arial" w:eastAsia="Calibri" w:hAnsi="Arial" w:cs="Arial"/>
          <w:b/>
        </w:rPr>
        <w:t>.</w:t>
      </w:r>
    </w:p>
    <w:p w:rsidR="005352E2" w:rsidRDefault="0017428C" w:rsidP="00CE70F0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>Uveřejnění Smlouvy</w:t>
      </w:r>
      <w:r w:rsidR="005352E2">
        <w:rPr>
          <w:rFonts w:ascii="Arial" w:eastAsia="Calibri" w:hAnsi="Arial" w:cs="Arial"/>
          <w:b/>
        </w:rPr>
        <w:t xml:space="preserve"> v registru smluv</w:t>
      </w:r>
    </w:p>
    <w:p w:rsidR="0017428C" w:rsidRPr="00CE70F0" w:rsidRDefault="005352E2" w:rsidP="00CE70F0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 podání informace dle zákona o svobodném přístupu k informacím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Stylpravidel"/>
        <w:numPr>
          <w:ilvl w:val="0"/>
          <w:numId w:val="8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Smluvní strany jsou si plně vědomy zákonné povinnosti uveřejnit</w:t>
      </w:r>
      <w:r w:rsidR="0056101A" w:rsidRPr="00CE70F0">
        <w:rPr>
          <w:rFonts w:ascii="Arial" w:hAnsi="Arial" w:cs="Arial"/>
          <w:sz w:val="20"/>
        </w:rPr>
        <w:t xml:space="preserve"> tuto Smlouvu</w:t>
      </w:r>
      <w:r w:rsidRPr="00CE70F0">
        <w:rPr>
          <w:rFonts w:ascii="Arial" w:hAnsi="Arial" w:cs="Arial"/>
          <w:sz w:val="20"/>
        </w:rPr>
        <w:t xml:space="preserve"> dle </w:t>
      </w:r>
      <w:r w:rsidR="008910B3" w:rsidRPr="00CE70F0">
        <w:rPr>
          <w:rFonts w:ascii="Arial" w:hAnsi="Arial" w:cs="Arial"/>
          <w:sz w:val="20"/>
        </w:rPr>
        <w:t>zákona č. 340/2015 Sb., o zvláštních podmínkách účinnosti některých smluv, uveřejňování těchto smluv a o registru smluv (dále jen „zákon o registru smluv")</w:t>
      </w:r>
      <w:r w:rsidR="0056101A" w:rsidRPr="00CE70F0">
        <w:rPr>
          <w:rFonts w:ascii="Arial" w:hAnsi="Arial" w:cs="Arial"/>
          <w:sz w:val="20"/>
        </w:rPr>
        <w:t>, a to</w:t>
      </w:r>
      <w:r w:rsidRPr="00CE70F0">
        <w:rPr>
          <w:rFonts w:ascii="Arial" w:hAnsi="Arial" w:cs="Arial"/>
          <w:sz w:val="20"/>
        </w:rPr>
        <w:t xml:space="preserve"> včetně všech případných dohod, kterými se tato Smlouva doplňuje, mění, nahrazuje nebo ruší</w:t>
      </w:r>
      <w:r w:rsidR="008910B3" w:rsidRPr="00CE70F0">
        <w:rPr>
          <w:rFonts w:ascii="Arial" w:hAnsi="Arial" w:cs="Arial"/>
          <w:sz w:val="20"/>
        </w:rPr>
        <w:t>.</w:t>
      </w:r>
      <w:r w:rsidRPr="00CE70F0">
        <w:rPr>
          <w:rFonts w:ascii="Arial" w:hAnsi="Arial" w:cs="Arial"/>
          <w:sz w:val="20"/>
        </w:rPr>
        <w:t xml:space="preserve"> Uveřejněním </w:t>
      </w:r>
      <w:r w:rsidR="00BC4DE0">
        <w:rPr>
          <w:rFonts w:ascii="Arial" w:hAnsi="Arial" w:cs="Arial"/>
          <w:sz w:val="20"/>
        </w:rPr>
        <w:t>S</w:t>
      </w:r>
      <w:r w:rsidRPr="00CE70F0">
        <w:rPr>
          <w:rFonts w:ascii="Arial" w:hAnsi="Arial" w:cs="Arial"/>
          <w:sz w:val="20"/>
        </w:rPr>
        <w:t xml:space="preserve">mlouvy dle tohoto </w:t>
      </w:r>
      <w:r w:rsidR="001C50F2">
        <w:rPr>
          <w:rFonts w:ascii="Arial" w:hAnsi="Arial" w:cs="Arial"/>
          <w:sz w:val="20"/>
        </w:rPr>
        <w:t>článku</w:t>
      </w:r>
      <w:r w:rsidRPr="00CE70F0">
        <w:rPr>
          <w:rFonts w:ascii="Arial" w:hAnsi="Arial" w:cs="Arial"/>
          <w:sz w:val="20"/>
        </w:rPr>
        <w:t xml:space="preserve"> se rozumí vložení elektronického obrazu textového obsahu Smlouvy v otevřeném a strojově čitelném formátu a rovněž metadat podle § 5 odst. 5 zákona o registru smluv do registru smluv. </w:t>
      </w:r>
    </w:p>
    <w:p w:rsidR="0017428C" w:rsidRPr="00CE70F0" w:rsidRDefault="0017428C" w:rsidP="00CE70F0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:rsidR="00E6072E" w:rsidRDefault="00E6072E" w:rsidP="005905BE">
      <w:pPr>
        <w:pStyle w:val="Stylpravidel"/>
        <w:numPr>
          <w:ilvl w:val="0"/>
          <w:numId w:val="8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Držitel dále prohlašuje, že si je plně vědom skutečnosti, že Pojišťovna patří mezi subjekty, které jsou povinny poskytnout informace na základě žádosti dle zákona č. 106/1999 Sb. o svobodném přístupu k</w:t>
      </w:r>
      <w:r w:rsidR="005352E2"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>informacím</w:t>
      </w:r>
      <w:r w:rsidR="005352E2">
        <w:rPr>
          <w:rFonts w:ascii="Arial" w:hAnsi="Arial" w:cs="Arial"/>
          <w:sz w:val="20"/>
        </w:rPr>
        <w:t xml:space="preserve"> (dále jen „zákon o svobodném přístupu k informacím“)</w:t>
      </w:r>
      <w:r w:rsidR="0056101A" w:rsidRPr="00CE70F0">
        <w:rPr>
          <w:rFonts w:ascii="Arial" w:hAnsi="Arial" w:cs="Arial"/>
          <w:sz w:val="20"/>
        </w:rPr>
        <w:t>.</w:t>
      </w:r>
      <w:r w:rsidRPr="00CE70F0">
        <w:rPr>
          <w:rFonts w:ascii="Arial" w:hAnsi="Arial" w:cs="Arial"/>
          <w:sz w:val="20"/>
        </w:rPr>
        <w:t xml:space="preserve"> </w:t>
      </w:r>
      <w:r w:rsidR="00EF2D58">
        <w:rPr>
          <w:rFonts w:ascii="Arial" w:hAnsi="Arial" w:cs="Arial"/>
          <w:sz w:val="20"/>
        </w:rPr>
        <w:t xml:space="preserve">Pojišťovna se zavazuje informovat Držitele o případném požadavku na podání informace </w:t>
      </w:r>
      <w:r w:rsidR="005352E2">
        <w:rPr>
          <w:rFonts w:ascii="Arial" w:hAnsi="Arial" w:cs="Arial"/>
          <w:sz w:val="20"/>
        </w:rPr>
        <w:t>dle zákona o svobodném přístupu k informacím týkající se této Smlouvy před podáním vyžádané informace</w:t>
      </w:r>
      <w:r w:rsidR="006E092B">
        <w:rPr>
          <w:rFonts w:ascii="Arial" w:hAnsi="Arial" w:cs="Arial"/>
          <w:sz w:val="20"/>
        </w:rPr>
        <w:t xml:space="preserve"> a</w:t>
      </w:r>
      <w:r w:rsidR="006E092B" w:rsidRPr="00C0115A">
        <w:rPr>
          <w:rFonts w:ascii="Arial" w:hAnsi="Arial" w:cs="Arial"/>
          <w:sz w:val="20"/>
        </w:rPr>
        <w:t xml:space="preserve"> prodiskutovat s ním obsah podávané informace před jejím zasláním žadateli.</w:t>
      </w:r>
    </w:p>
    <w:p w:rsidR="005701D5" w:rsidRDefault="005701D5" w:rsidP="005701D5">
      <w:pPr>
        <w:pStyle w:val="ListParagraph"/>
        <w:rPr>
          <w:rFonts w:ascii="Arial" w:hAnsi="Arial" w:cs="Arial"/>
        </w:rPr>
      </w:pPr>
    </w:p>
    <w:p w:rsidR="005701D5" w:rsidRPr="00CE70F0" w:rsidRDefault="005701D5" w:rsidP="005701D5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:rsidR="0017428C" w:rsidRPr="00CE70F0" w:rsidRDefault="0017428C" w:rsidP="005905BE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Smluvní strany</w:t>
      </w:r>
      <w:r w:rsidRPr="00CE70F0">
        <w:rPr>
          <w:rFonts w:ascii="Arial" w:hAnsi="Arial" w:cs="Arial"/>
        </w:rPr>
        <w:t xml:space="preserve"> se zavazují:</w:t>
      </w:r>
    </w:p>
    <w:p w:rsidR="0017428C" w:rsidRPr="00CE70F0" w:rsidRDefault="0017428C" w:rsidP="005905BE">
      <w:pPr>
        <w:pStyle w:val="ListParagraph"/>
        <w:numPr>
          <w:ilvl w:val="0"/>
          <w:numId w:val="18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prodiskutovat s druhou smluvní stranou správnost obsahu zveřejňovaných dokumentů (formou e-mailové korespondence) před zasláním datové zprávy správci registru smluv s elektronickým obrazem textového obsahu Smlouvy společně s povinnými metadaty po znečitelnění údajů, které mají být vyloučeny ze zveřejnění;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ListParagraph"/>
        <w:numPr>
          <w:ilvl w:val="0"/>
          <w:numId w:val="18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informovat druhou smluvní stranu o jakýchkoli dalších podáních učiněných vůči registru smluv z vlastní iniciativy nebo k výzvě správce registru smluv či vůči dalším subjektům státní správy v souvislosti se zveřejněním Smlouvy v registru smluv</w:t>
      </w:r>
      <w:r w:rsidR="00EF2D58">
        <w:rPr>
          <w:rFonts w:ascii="Arial" w:hAnsi="Arial" w:cs="Arial"/>
        </w:rPr>
        <w:t xml:space="preserve"> před učiněním takového podání</w:t>
      </w:r>
      <w:r w:rsidRPr="00CE70F0">
        <w:rPr>
          <w:rFonts w:ascii="Arial" w:hAnsi="Arial" w:cs="Arial"/>
        </w:rPr>
        <w:t>;</w:t>
      </w:r>
    </w:p>
    <w:p w:rsidR="0017428C" w:rsidRPr="00CE70F0" w:rsidRDefault="0017428C" w:rsidP="00CE70F0">
      <w:pPr>
        <w:pStyle w:val="ListParagraph"/>
        <w:rPr>
          <w:rFonts w:ascii="Arial" w:hAnsi="Arial" w:cs="Arial"/>
        </w:rPr>
      </w:pPr>
    </w:p>
    <w:p w:rsidR="00F778E4" w:rsidRDefault="0017428C" w:rsidP="005905BE">
      <w:pPr>
        <w:pStyle w:val="ListParagraph"/>
        <w:numPr>
          <w:ilvl w:val="0"/>
          <w:numId w:val="18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dodržovat tímto článkem zakotvené postupy související se zveřejněním Smlouvy</w:t>
      </w:r>
      <w:r w:rsidR="00BC4DE0">
        <w:rPr>
          <w:rFonts w:ascii="Arial" w:hAnsi="Arial" w:cs="Arial"/>
        </w:rPr>
        <w:t xml:space="preserve"> v registru smluv</w:t>
      </w:r>
      <w:r w:rsidRPr="00CE70F0">
        <w:rPr>
          <w:rFonts w:ascii="Arial" w:hAnsi="Arial" w:cs="Arial"/>
        </w:rPr>
        <w:t xml:space="preserve"> i v případě uzavření jakýchkoli dalších dohod, kterými se tato Smlouva bude případně doplňovat, měnit, nahrazovat nebo rušit</w:t>
      </w:r>
      <w:r w:rsidR="00227892">
        <w:rPr>
          <w:rFonts w:ascii="Arial" w:hAnsi="Arial" w:cs="Arial"/>
        </w:rPr>
        <w:t>.</w:t>
      </w:r>
    </w:p>
    <w:p w:rsidR="00C26935" w:rsidRPr="00C26935" w:rsidRDefault="00C26935" w:rsidP="00C26935">
      <w:pPr>
        <w:pStyle w:val="ListParagraph"/>
        <w:rPr>
          <w:rFonts w:ascii="Arial" w:hAnsi="Arial" w:cs="Arial"/>
        </w:rPr>
      </w:pPr>
    </w:p>
    <w:p w:rsidR="00C26935" w:rsidRPr="00C26935" w:rsidRDefault="00C26935" w:rsidP="005905BE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26935">
        <w:rPr>
          <w:rFonts w:ascii="Arial" w:hAnsi="Arial" w:cs="Arial"/>
          <w:u w:val="single"/>
        </w:rPr>
        <w:t>Držitel</w:t>
      </w:r>
      <w:r>
        <w:rPr>
          <w:rFonts w:ascii="Arial" w:hAnsi="Arial" w:cs="Arial"/>
        </w:rPr>
        <w:t xml:space="preserve"> se zavazuje:</w:t>
      </w:r>
    </w:p>
    <w:p w:rsidR="00737E07" w:rsidRDefault="00C26935" w:rsidP="005905BE">
      <w:pPr>
        <w:pStyle w:val="ListParagraph"/>
        <w:numPr>
          <w:ilvl w:val="0"/>
          <w:numId w:val="22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zabezpečit uveřejnění Smlouvy </w:t>
      </w:r>
      <w:r w:rsidR="00BC4DE0">
        <w:rPr>
          <w:rFonts w:ascii="Arial" w:hAnsi="Arial" w:cs="Arial"/>
        </w:rPr>
        <w:t xml:space="preserve">v registru smluv </w:t>
      </w:r>
      <w:r w:rsidRPr="00CE70F0">
        <w:rPr>
          <w:rFonts w:ascii="Arial" w:hAnsi="Arial" w:cs="Arial"/>
        </w:rPr>
        <w:t xml:space="preserve">v rozsahu modifikovaném s ohledem na obchodní tajemství dle této Smlouvy a další údaje, které mají být ze zveřejnění vyloučeny, </w:t>
      </w:r>
      <w:r w:rsidR="00737E07">
        <w:rPr>
          <w:rFonts w:ascii="Arial" w:hAnsi="Arial" w:cs="Arial"/>
        </w:rPr>
        <w:t>n</w:t>
      </w:r>
      <w:r w:rsidRPr="00CE70F0">
        <w:rPr>
          <w:rFonts w:ascii="Arial" w:hAnsi="Arial" w:cs="Arial"/>
        </w:rPr>
        <w:t>ejpozději do 14 dnů od uzavření Smlouvy</w:t>
      </w:r>
      <w:r w:rsidR="00737E07">
        <w:rPr>
          <w:rFonts w:ascii="Arial" w:hAnsi="Arial" w:cs="Arial"/>
        </w:rPr>
        <w:t>;</w:t>
      </w:r>
    </w:p>
    <w:p w:rsidR="00737E07" w:rsidRDefault="00737E07" w:rsidP="00737E07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:rsidR="00C26935" w:rsidRPr="00CE70F0" w:rsidRDefault="00C26935" w:rsidP="005905BE">
      <w:pPr>
        <w:pStyle w:val="ListParagraph"/>
        <w:numPr>
          <w:ilvl w:val="0"/>
          <w:numId w:val="22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neprodleně předat </w:t>
      </w:r>
      <w:r w:rsidR="00737E07">
        <w:rPr>
          <w:rFonts w:ascii="Arial" w:hAnsi="Arial" w:cs="Arial"/>
        </w:rPr>
        <w:t xml:space="preserve">Pojišťovně </w:t>
      </w:r>
      <w:r w:rsidRPr="00CE70F0">
        <w:rPr>
          <w:rFonts w:ascii="Arial" w:hAnsi="Arial" w:cs="Arial"/>
        </w:rPr>
        <w:t>potvrzení správce registru smluv ve smyslu § 5 odst. 4 zákona o registru smluv, pakliže Pojišťovna nebude vyrozuměna přímo správcem registru smluv na základě zadání automatické notifikace uveřejnění Pojišťovně při odeslání smlouvy k uveřejnění.</w:t>
      </w:r>
    </w:p>
    <w:p w:rsidR="0017428C" w:rsidRPr="00CE70F0" w:rsidRDefault="0017428C" w:rsidP="00CE70F0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:rsidR="00E6072E" w:rsidRDefault="008D4A7D" w:rsidP="005905BE">
      <w:pPr>
        <w:pStyle w:val="Stylpravidel"/>
        <w:numPr>
          <w:ilvl w:val="0"/>
          <w:numId w:val="8"/>
        </w:numPr>
        <w:spacing w:before="0" w:line="240" w:lineRule="auto"/>
        <w:contextualSpacing/>
        <w:textAlignment w:val="auto"/>
        <w:rPr>
          <w:rFonts w:ascii="Arial" w:hAnsi="Arial" w:cs="Arial"/>
          <w:sz w:val="20"/>
        </w:rPr>
      </w:pPr>
      <w:r w:rsidRPr="008D4A7D">
        <w:rPr>
          <w:rFonts w:ascii="Arial" w:hAnsi="Arial" w:cs="Arial"/>
          <w:sz w:val="20"/>
          <w:u w:val="single"/>
        </w:rPr>
        <w:t>Pojišťovna</w:t>
      </w:r>
      <w:r>
        <w:rPr>
          <w:rFonts w:ascii="Arial" w:hAnsi="Arial" w:cs="Arial"/>
          <w:sz w:val="20"/>
        </w:rPr>
        <w:t xml:space="preserve"> se zavazuje:</w:t>
      </w:r>
    </w:p>
    <w:p w:rsidR="008D4A7D" w:rsidRDefault="008D4A7D" w:rsidP="005905BE">
      <w:pPr>
        <w:pStyle w:val="ListParagraph"/>
        <w:numPr>
          <w:ilvl w:val="0"/>
          <w:numId w:val="23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 xml:space="preserve">v případě nesplnění povinnosti Držitelem dle odstavce </w:t>
      </w:r>
      <w:r w:rsidR="00BC4DE0">
        <w:rPr>
          <w:rFonts w:ascii="Arial" w:hAnsi="Arial" w:cs="Arial"/>
        </w:rPr>
        <w:t>4</w:t>
      </w:r>
      <w:r w:rsidRPr="008D4A7D">
        <w:rPr>
          <w:rFonts w:ascii="Arial" w:hAnsi="Arial" w:cs="Arial"/>
        </w:rPr>
        <w:t xml:space="preserve">. písm. </w:t>
      </w:r>
      <w:r w:rsidR="00737E07">
        <w:rPr>
          <w:rFonts w:ascii="Arial" w:hAnsi="Arial" w:cs="Arial"/>
        </w:rPr>
        <w:t>a</w:t>
      </w:r>
      <w:r w:rsidRPr="008D4A7D">
        <w:rPr>
          <w:rFonts w:ascii="Arial" w:hAnsi="Arial" w:cs="Arial"/>
        </w:rPr>
        <w:t xml:space="preserve">. tohoto článku přistoupit ke zveřejnění Smlouvy v registru smluv v rozsahu modifikovaném s ohledem na obchodní tajemství dle této Smlouvy a další údaje, které mají být ze zveřejnění vyloučeny, tak, aby byla zachována lhůta dle § 5 odst. 2 zákona o registru smluv. </w:t>
      </w:r>
      <w:r w:rsidR="0000102D">
        <w:rPr>
          <w:rFonts w:ascii="Arial" w:hAnsi="Arial" w:cs="Arial"/>
        </w:rPr>
        <w:t xml:space="preserve">V takovém případě </w:t>
      </w:r>
      <w:r w:rsidRPr="008D4A7D">
        <w:rPr>
          <w:rFonts w:ascii="Arial" w:hAnsi="Arial" w:cs="Arial"/>
        </w:rPr>
        <w:t>pak neprodleně před</w:t>
      </w:r>
      <w:r w:rsidR="0000102D">
        <w:rPr>
          <w:rFonts w:ascii="Arial" w:hAnsi="Arial" w:cs="Arial"/>
        </w:rPr>
        <w:t>at</w:t>
      </w:r>
      <w:r w:rsidRPr="008D4A7D">
        <w:rPr>
          <w:rFonts w:ascii="Arial" w:hAnsi="Arial" w:cs="Arial"/>
        </w:rPr>
        <w:t xml:space="preserve"> Držiteli potvrzení správce registru smluv ve smyslu § 5 odst. 4 zákona o registru smluv, pakliže Držitel nebude vyrozuměn přímo správcem registru smluv na základě zadání automatické notifikace uveřejnění </w:t>
      </w:r>
      <w:r w:rsidR="00534A87">
        <w:rPr>
          <w:rFonts w:ascii="Arial" w:hAnsi="Arial" w:cs="Arial"/>
        </w:rPr>
        <w:t>Držitele</w:t>
      </w:r>
      <w:r w:rsidRPr="008D4A7D">
        <w:rPr>
          <w:rFonts w:ascii="Arial" w:hAnsi="Arial" w:cs="Arial"/>
        </w:rPr>
        <w:t xml:space="preserve"> při odeslání smlouvy k uveřejnění.</w:t>
      </w:r>
    </w:p>
    <w:p w:rsidR="008D4A7D" w:rsidRDefault="008D4A7D" w:rsidP="008D4A7D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:rsidR="008D4A7D" w:rsidRPr="008D4A7D" w:rsidRDefault="008D4A7D" w:rsidP="005905BE">
      <w:pPr>
        <w:pStyle w:val="ListParagraph"/>
        <w:numPr>
          <w:ilvl w:val="0"/>
          <w:numId w:val="23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>bezodkladně, nejpozději však do 3 dnů od obdržení notifikace správce registru o uveřejnění Smlouvy, provést kontrolu řádného uveřejnění a v případě zjištění nesouladu Držitele</w:t>
      </w:r>
      <w:r w:rsidR="0000102D">
        <w:rPr>
          <w:rFonts w:ascii="Arial" w:hAnsi="Arial" w:cs="Arial"/>
        </w:rPr>
        <w:t xml:space="preserve"> ihned informovat. Obdobně je povinen postupovat i Držitel, pokud dojde ke zveřejnění Smlouvy Pojišťovnou.</w:t>
      </w:r>
    </w:p>
    <w:p w:rsidR="008D4A7D" w:rsidRDefault="008D4A7D" w:rsidP="008D4A7D">
      <w:pPr>
        <w:pStyle w:val="Stylpravidel"/>
        <w:spacing w:before="0" w:line="240" w:lineRule="auto"/>
        <w:contextualSpacing/>
        <w:textAlignment w:val="auto"/>
        <w:rPr>
          <w:rFonts w:ascii="Arial" w:hAnsi="Arial" w:cs="Arial"/>
          <w:sz w:val="20"/>
        </w:rPr>
      </w:pPr>
    </w:p>
    <w:p w:rsidR="005701D5" w:rsidRPr="00CE70F0" w:rsidRDefault="005701D5" w:rsidP="005905BE">
      <w:pPr>
        <w:pStyle w:val="Stylpravidel"/>
        <w:numPr>
          <w:ilvl w:val="0"/>
          <w:numId w:val="8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Smluvní strany prohlašují, že se dohodly na všech částech smlouvy, které budou pro účely jejího uveřejnění prostřednictvím registru smluv znečitelněny.</w:t>
      </w:r>
    </w:p>
    <w:p w:rsidR="008D4A7D" w:rsidRDefault="008D4A7D" w:rsidP="005701D5">
      <w:pPr>
        <w:pStyle w:val="Stylpravidel"/>
        <w:spacing w:before="0" w:line="240" w:lineRule="auto"/>
        <w:ind w:left="360"/>
        <w:contextualSpacing/>
        <w:textAlignment w:val="auto"/>
        <w:rPr>
          <w:rFonts w:ascii="Arial" w:hAnsi="Arial" w:cs="Arial"/>
          <w:sz w:val="20"/>
        </w:rPr>
      </w:pPr>
    </w:p>
    <w:p w:rsidR="005701D5" w:rsidRPr="00CE70F0" w:rsidRDefault="005701D5" w:rsidP="005701D5">
      <w:pPr>
        <w:pStyle w:val="Stylpravidel"/>
        <w:spacing w:before="0" w:line="240" w:lineRule="auto"/>
        <w:ind w:left="360"/>
        <w:contextualSpacing/>
        <w:textAlignment w:val="auto"/>
        <w:rPr>
          <w:rFonts w:ascii="Arial" w:hAnsi="Arial" w:cs="Arial"/>
          <w:sz w:val="20"/>
        </w:rPr>
      </w:pPr>
    </w:p>
    <w:p w:rsidR="0017428C" w:rsidRPr="00CE70F0" w:rsidRDefault="0017428C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953BBF">
        <w:rPr>
          <w:rFonts w:ascii="Arial" w:hAnsi="Arial" w:cs="Arial"/>
          <w:b/>
        </w:rPr>
        <w:t>IX</w:t>
      </w:r>
      <w:r w:rsidRPr="00CE70F0">
        <w:rPr>
          <w:rFonts w:ascii="Arial" w:hAnsi="Arial" w:cs="Arial"/>
          <w:b/>
        </w:rPr>
        <w:t>.</w:t>
      </w:r>
    </w:p>
    <w:p w:rsidR="0017428C" w:rsidRPr="00CE70F0" w:rsidRDefault="0017428C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Další práva a povinnosti smluvních stran</w:t>
      </w:r>
    </w:p>
    <w:p w:rsidR="0017428C" w:rsidRPr="00CE70F0" w:rsidRDefault="0017428C" w:rsidP="00CE70F0">
      <w:pPr>
        <w:contextualSpacing/>
        <w:rPr>
          <w:rFonts w:ascii="Arial" w:hAnsi="Arial" w:cs="Arial"/>
          <w:b/>
        </w:rPr>
      </w:pPr>
    </w:p>
    <w:p w:rsidR="0017428C" w:rsidRPr="00CE70F0" w:rsidRDefault="0017428C" w:rsidP="005905BE">
      <w:pPr>
        <w:pStyle w:val="ListParagraph"/>
        <w:numPr>
          <w:ilvl w:val="0"/>
          <w:numId w:val="2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Držitel</w:t>
      </w:r>
      <w:r w:rsidRPr="00CE70F0">
        <w:rPr>
          <w:rFonts w:ascii="Arial" w:hAnsi="Arial" w:cs="Arial"/>
        </w:rPr>
        <w:t xml:space="preserve"> se zavazuje:</w:t>
      </w:r>
    </w:p>
    <w:p w:rsidR="0017428C" w:rsidRPr="00CE70F0" w:rsidRDefault="0017428C" w:rsidP="005905B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neprodleně informovat Pojišťovnu o převodu registrace Přípravku na jinou osobu, přičemž v rámci tohoto převodu zajistí i převzetí závazku z této Smlouvy třetí osobou;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neprodleně informovat Pojišťovnu o změně osoby, kterou zmocnila k zastoupení ve věcech týkajících se Přípravku na území České republiky;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neprodleně informovat Pojišťovnu o změně rozhodnutí o registraci Přípravku. Pokud by změnou registrace Přípravku zároveň došlo ke změně, která má dopad na dohodnutou Limitovanou kompenzaci nebo výši Limitu, zejména jde-li o změnu ve velikosti balení, obsahu léčivé látky, cesty podání nebo lékové formy Přípravku, smluvní strany se zavazují uzavřít písemný dodatek ke Smlouvě zohledňující tuto změnu (dále jen „Dodatek“), a to do </w:t>
      </w:r>
      <w:r w:rsidRPr="00CE70F0">
        <w:rPr>
          <w:rFonts w:ascii="Arial" w:hAnsi="Arial" w:cs="Arial"/>
        </w:rPr>
        <w:lastRenderedPageBreak/>
        <w:t xml:space="preserve">30 dnů ode dne, kdy kterákoli ze smluvních stran vyzve stranu druhou k uzavření takového Dodatku. Dodatkem bude kompenzován dopad příslušných změn již od účinnosti těchto změn, nebude-li stranami dohodnuto </w:t>
      </w:r>
      <w:r w:rsidR="008D4A7D">
        <w:rPr>
          <w:rFonts w:ascii="Arial" w:hAnsi="Arial" w:cs="Arial"/>
        </w:rPr>
        <w:t>jinak.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ListParagraph"/>
        <w:numPr>
          <w:ilvl w:val="0"/>
          <w:numId w:val="2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Pojišťovna</w:t>
      </w:r>
      <w:r w:rsidRPr="00CE70F0">
        <w:rPr>
          <w:rFonts w:ascii="Arial" w:hAnsi="Arial" w:cs="Arial"/>
        </w:rPr>
        <w:t xml:space="preserve"> se zavazuje:</w:t>
      </w:r>
    </w:p>
    <w:p w:rsidR="0017428C" w:rsidRPr="00CE70F0" w:rsidRDefault="0017428C" w:rsidP="005905BE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k zajištění informovanosti o nákladech na terapii Indikovaných pacientů Přípravkem poskytnout Držiteli tzv. Přehled dle článku VI. této Smlouvy, přičemž tato listina je smluvními stranami zároveň považována za doklad prokazující nárok na poskytnutí </w:t>
      </w:r>
      <w:r w:rsidR="00293120">
        <w:rPr>
          <w:rFonts w:ascii="Arial" w:hAnsi="Arial" w:cs="Arial"/>
        </w:rPr>
        <w:t>Limitované kompenzace nebo</w:t>
      </w:r>
      <w:r w:rsidRPr="00CE70F0">
        <w:rPr>
          <w:rFonts w:ascii="Arial" w:hAnsi="Arial" w:cs="Arial"/>
        </w:rPr>
        <w:t xml:space="preserve"> </w:t>
      </w:r>
      <w:r w:rsidR="00293120">
        <w:rPr>
          <w:rFonts w:ascii="Arial" w:hAnsi="Arial" w:cs="Arial"/>
        </w:rPr>
        <w:t xml:space="preserve">Zpětné platby a </w:t>
      </w:r>
      <w:r w:rsidRPr="00CE70F0">
        <w:rPr>
          <w:rFonts w:ascii="Arial" w:hAnsi="Arial" w:cs="Arial"/>
        </w:rPr>
        <w:t>tvoří podklad pro fakturaci;</w:t>
      </w:r>
    </w:p>
    <w:p w:rsidR="0017428C" w:rsidRPr="00CE70F0" w:rsidRDefault="0017428C" w:rsidP="00CE70F0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:rsidR="0017428C" w:rsidRPr="00CE70F0" w:rsidRDefault="0017428C" w:rsidP="005905BE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že jakmile zjistí, že Celkový náklad na Přípravek v průběh</w:t>
      </w:r>
      <w:r w:rsidR="00293120">
        <w:rPr>
          <w:rFonts w:ascii="Arial" w:hAnsi="Arial" w:cs="Arial"/>
        </w:rPr>
        <w:t>u trvání každého dílčího období specifikované</w:t>
      </w:r>
      <w:r w:rsidR="008A14C9">
        <w:rPr>
          <w:rFonts w:ascii="Arial" w:hAnsi="Arial" w:cs="Arial"/>
        </w:rPr>
        <w:t>ho</w:t>
      </w:r>
      <w:r w:rsidR="00293120">
        <w:rPr>
          <w:rFonts w:ascii="Arial" w:hAnsi="Arial" w:cs="Arial"/>
        </w:rPr>
        <w:t xml:space="preserve"> Přílohou č. 1 Smlouvy</w:t>
      </w:r>
      <w:r w:rsidRPr="00CE70F0">
        <w:rPr>
          <w:rFonts w:ascii="Arial" w:hAnsi="Arial" w:cs="Arial"/>
        </w:rPr>
        <w:t xml:space="preserve"> překročí hodnotu Limitu, je povinna neprodleně, nejpozději do 15 dnů od takového zjištění, Držitele informovat na e</w:t>
      </w:r>
      <w:r w:rsidR="008A14C9">
        <w:rPr>
          <w:rFonts w:ascii="Arial" w:hAnsi="Arial" w:cs="Arial"/>
        </w:rPr>
        <w:t>-</w:t>
      </w:r>
      <w:r w:rsidRPr="00CE70F0">
        <w:rPr>
          <w:rFonts w:ascii="Arial" w:hAnsi="Arial" w:cs="Arial"/>
        </w:rPr>
        <w:t>mailovou adresu Držitelem určené kontaktní osoby. Obdobně postupuje v tomto případě i Držitel vůči Pojišťovně.</w:t>
      </w:r>
    </w:p>
    <w:p w:rsidR="0017428C" w:rsidRDefault="0017428C" w:rsidP="00302D58">
      <w:pPr>
        <w:rPr>
          <w:rFonts w:ascii="Arial" w:hAnsi="Arial" w:cs="Arial"/>
        </w:rPr>
      </w:pPr>
    </w:p>
    <w:p w:rsidR="00302D58" w:rsidRPr="00302D58" w:rsidRDefault="00302D58" w:rsidP="00302D58">
      <w:pPr>
        <w:rPr>
          <w:rFonts w:ascii="Arial" w:hAnsi="Arial" w:cs="Arial"/>
        </w:rPr>
      </w:pPr>
    </w:p>
    <w:p w:rsidR="00A977B9" w:rsidRPr="00CE70F0" w:rsidRDefault="00A977B9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584188" w:rsidRPr="00CE70F0">
        <w:rPr>
          <w:rFonts w:ascii="Arial" w:hAnsi="Arial" w:cs="Arial"/>
          <w:b/>
        </w:rPr>
        <w:t>X</w:t>
      </w:r>
      <w:r w:rsidR="009D2846" w:rsidRPr="00CE70F0">
        <w:rPr>
          <w:rFonts w:ascii="Arial" w:hAnsi="Arial" w:cs="Arial"/>
          <w:b/>
        </w:rPr>
        <w:t>.</w:t>
      </w:r>
    </w:p>
    <w:p w:rsidR="00A977B9" w:rsidRPr="00CE70F0" w:rsidRDefault="00A977B9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Závazek mlčenlivosti</w:t>
      </w:r>
      <w:r w:rsidR="002F41A3" w:rsidRPr="00CE70F0">
        <w:rPr>
          <w:rFonts w:ascii="Arial" w:hAnsi="Arial" w:cs="Arial"/>
          <w:b/>
        </w:rPr>
        <w:t>, ochrana důvěrných informací</w:t>
      </w:r>
    </w:p>
    <w:p w:rsidR="00A977B9" w:rsidRPr="00CE70F0" w:rsidRDefault="00A977B9" w:rsidP="00CE70F0">
      <w:pPr>
        <w:contextualSpacing/>
        <w:jc w:val="both"/>
        <w:rPr>
          <w:rFonts w:ascii="Arial" w:hAnsi="Arial" w:cs="Arial"/>
        </w:rPr>
      </w:pPr>
    </w:p>
    <w:p w:rsidR="004364D6" w:rsidRPr="00CE70F0" w:rsidRDefault="004364D6" w:rsidP="005905BE">
      <w:pPr>
        <w:numPr>
          <w:ilvl w:val="0"/>
          <w:numId w:val="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prohlašují, že z</w:t>
      </w:r>
      <w:r w:rsidR="00FD7B41" w:rsidRPr="00CE70F0">
        <w:rPr>
          <w:rFonts w:ascii="Arial" w:hAnsi="Arial" w:cs="Arial"/>
        </w:rPr>
        <w:t>a důvěrné informace pro účely této Smlouvy</w:t>
      </w:r>
    </w:p>
    <w:p w:rsidR="00B01A8A" w:rsidRPr="00CE70F0" w:rsidRDefault="00FD7B41" w:rsidP="005905BE">
      <w:pPr>
        <w:pStyle w:val="ListParagraph"/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považují</w:t>
      </w:r>
      <w:r w:rsidRPr="00CE70F0">
        <w:rPr>
          <w:rFonts w:ascii="Arial" w:hAnsi="Arial" w:cs="Arial"/>
        </w:rPr>
        <w:t xml:space="preserve"> veškeré informace, které jsou jako</w:t>
      </w:r>
      <w:r w:rsidR="0038066F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 xml:space="preserve">takové označeny anebo jsou takového charakteru, že jejich </w:t>
      </w:r>
      <w:r w:rsidR="00BD11F9" w:rsidRPr="00CE70F0">
        <w:rPr>
          <w:rFonts w:ascii="Arial" w:hAnsi="Arial" w:cs="Arial"/>
        </w:rPr>
        <w:t xml:space="preserve">vyzrazení či </w:t>
      </w:r>
      <w:r w:rsidRPr="00CE70F0">
        <w:rPr>
          <w:rFonts w:ascii="Arial" w:hAnsi="Arial" w:cs="Arial"/>
        </w:rPr>
        <w:t>zveřejnění může přivodit kterékoliv smluvní straně újmu</w:t>
      </w:r>
      <w:r w:rsidR="0068612A" w:rsidRPr="00CE70F0">
        <w:rPr>
          <w:rFonts w:ascii="Arial" w:hAnsi="Arial" w:cs="Arial"/>
        </w:rPr>
        <w:t xml:space="preserve">. </w:t>
      </w:r>
      <w:r w:rsidRPr="00CE70F0">
        <w:rPr>
          <w:rFonts w:ascii="Arial" w:hAnsi="Arial" w:cs="Arial"/>
        </w:rPr>
        <w:t>Pro</w:t>
      </w:r>
      <w:r w:rsidR="00F06BCD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 xml:space="preserve">účely této Smlouvy </w:t>
      </w:r>
      <w:r w:rsidR="00A70AF4" w:rsidRPr="00CE70F0">
        <w:rPr>
          <w:rFonts w:ascii="Arial" w:hAnsi="Arial" w:cs="Arial"/>
        </w:rPr>
        <w:t>považují smluvní strany</w:t>
      </w:r>
      <w:r w:rsidRPr="00CE70F0">
        <w:rPr>
          <w:rFonts w:ascii="Arial" w:hAnsi="Arial" w:cs="Arial"/>
        </w:rPr>
        <w:t xml:space="preserve"> za důvěrné informace </w:t>
      </w:r>
      <w:r w:rsidR="00B01A8A" w:rsidRPr="00CE70F0">
        <w:rPr>
          <w:rFonts w:ascii="Arial" w:hAnsi="Arial" w:cs="Arial"/>
        </w:rPr>
        <w:t xml:space="preserve">veškeré </w:t>
      </w:r>
      <w:r w:rsidRPr="00CE70F0">
        <w:rPr>
          <w:rFonts w:ascii="Arial" w:hAnsi="Arial" w:cs="Arial"/>
        </w:rPr>
        <w:t>informace</w:t>
      </w:r>
      <w:r w:rsidR="00B01A8A" w:rsidRPr="00CE70F0">
        <w:rPr>
          <w:rFonts w:ascii="Arial" w:hAnsi="Arial" w:cs="Arial"/>
        </w:rPr>
        <w:t>,</w:t>
      </w:r>
      <w:r w:rsidRPr="00CE70F0">
        <w:rPr>
          <w:rFonts w:ascii="Arial" w:hAnsi="Arial" w:cs="Arial"/>
        </w:rPr>
        <w:t xml:space="preserve"> údaje</w:t>
      </w:r>
      <w:r w:rsidR="00B01A8A" w:rsidRPr="00CE70F0">
        <w:rPr>
          <w:rFonts w:ascii="Arial" w:hAnsi="Arial" w:cs="Arial"/>
        </w:rPr>
        <w:t xml:space="preserve"> a </w:t>
      </w:r>
      <w:r w:rsidR="002E077A" w:rsidRPr="00CE70F0">
        <w:rPr>
          <w:rFonts w:ascii="Arial" w:hAnsi="Arial" w:cs="Arial"/>
        </w:rPr>
        <w:t>dokumenty</w:t>
      </w:r>
      <w:r w:rsidRPr="00CE70F0">
        <w:rPr>
          <w:rFonts w:ascii="Arial" w:hAnsi="Arial" w:cs="Arial"/>
        </w:rPr>
        <w:t xml:space="preserve"> poskytnuté </w:t>
      </w:r>
      <w:r w:rsidR="00B01A8A" w:rsidRPr="00CE70F0">
        <w:rPr>
          <w:rFonts w:ascii="Arial" w:hAnsi="Arial" w:cs="Arial"/>
        </w:rPr>
        <w:t xml:space="preserve">nebo </w:t>
      </w:r>
      <w:r w:rsidR="00E921A0" w:rsidRPr="00CE70F0">
        <w:rPr>
          <w:rFonts w:ascii="Arial" w:hAnsi="Arial" w:cs="Arial"/>
        </w:rPr>
        <w:t>získané</w:t>
      </w:r>
      <w:r w:rsidR="00B01A8A" w:rsidRPr="00CE70F0">
        <w:rPr>
          <w:rFonts w:ascii="Arial" w:hAnsi="Arial" w:cs="Arial"/>
        </w:rPr>
        <w:t xml:space="preserve"> stranami v jakékoli formě, pokud se týkají obsahu či účelu Smlouvy</w:t>
      </w:r>
      <w:r w:rsidR="00E6072E" w:rsidRPr="00CE70F0">
        <w:rPr>
          <w:rFonts w:ascii="Arial" w:hAnsi="Arial" w:cs="Arial"/>
        </w:rPr>
        <w:t>.</w:t>
      </w:r>
    </w:p>
    <w:p w:rsidR="00B01A8A" w:rsidRPr="00CE70F0" w:rsidRDefault="00D02700" w:rsidP="00CE70F0">
      <w:pPr>
        <w:pStyle w:val="ListParagraph"/>
        <w:ind w:left="709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 </w:t>
      </w:r>
    </w:p>
    <w:p w:rsidR="00FD7B41" w:rsidRPr="00CE70F0" w:rsidRDefault="00FD7B41" w:rsidP="005905BE">
      <w:pPr>
        <w:pStyle w:val="ListParagraph"/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ne</w:t>
      </w:r>
      <w:r w:rsidR="00D02700" w:rsidRPr="00CE70F0">
        <w:rPr>
          <w:rFonts w:ascii="Arial" w:hAnsi="Arial" w:cs="Arial"/>
          <w:u w:val="single"/>
        </w:rPr>
        <w:t>považují</w:t>
      </w:r>
      <w:r w:rsidR="00D02700" w:rsidRPr="00CE70F0">
        <w:rPr>
          <w:rFonts w:ascii="Arial" w:hAnsi="Arial" w:cs="Arial"/>
        </w:rPr>
        <w:t xml:space="preserve"> </w:t>
      </w:r>
      <w:r w:rsidRPr="00CE70F0">
        <w:rPr>
          <w:rFonts w:ascii="Arial" w:hAnsi="Arial" w:cs="Arial"/>
        </w:rPr>
        <w:t>obecn</w:t>
      </w:r>
      <w:r w:rsidR="00736927" w:rsidRPr="00CE70F0">
        <w:rPr>
          <w:rFonts w:ascii="Arial" w:hAnsi="Arial" w:cs="Arial"/>
        </w:rPr>
        <w:t>ou</w:t>
      </w:r>
      <w:r w:rsidRPr="00CE70F0">
        <w:rPr>
          <w:rFonts w:ascii="Arial" w:hAnsi="Arial" w:cs="Arial"/>
        </w:rPr>
        <w:t xml:space="preserve"> informac</w:t>
      </w:r>
      <w:r w:rsidR="00736927" w:rsidRPr="00CE70F0">
        <w:rPr>
          <w:rFonts w:ascii="Arial" w:hAnsi="Arial" w:cs="Arial"/>
        </w:rPr>
        <w:t>i</w:t>
      </w:r>
      <w:r w:rsidRPr="00CE70F0">
        <w:rPr>
          <w:rFonts w:ascii="Arial" w:hAnsi="Arial" w:cs="Arial"/>
        </w:rPr>
        <w:t xml:space="preserve"> o tom, že mezi smluvními stranami byla uzavřena </w:t>
      </w:r>
      <w:r w:rsidR="00736927" w:rsidRPr="00CE70F0">
        <w:rPr>
          <w:rFonts w:ascii="Arial" w:hAnsi="Arial" w:cs="Arial"/>
        </w:rPr>
        <w:t>S</w:t>
      </w:r>
      <w:r w:rsidRPr="00CE70F0">
        <w:rPr>
          <w:rFonts w:ascii="Arial" w:hAnsi="Arial" w:cs="Arial"/>
        </w:rPr>
        <w:t xml:space="preserve">mlouva a dále informace, které jsou veřejně </w:t>
      </w:r>
      <w:r w:rsidR="00BA6907" w:rsidRPr="00CE70F0">
        <w:rPr>
          <w:rFonts w:ascii="Arial" w:hAnsi="Arial" w:cs="Arial"/>
        </w:rPr>
        <w:t>do</w:t>
      </w:r>
      <w:r w:rsidRPr="00CE70F0">
        <w:rPr>
          <w:rFonts w:ascii="Arial" w:hAnsi="Arial" w:cs="Arial"/>
        </w:rPr>
        <w:t>stupné</w:t>
      </w:r>
      <w:r w:rsidR="00736927" w:rsidRPr="00CE70F0">
        <w:rPr>
          <w:rFonts w:ascii="Arial" w:hAnsi="Arial" w:cs="Arial"/>
        </w:rPr>
        <w:t xml:space="preserve"> </w:t>
      </w:r>
      <w:r w:rsidR="00E40B47" w:rsidRPr="00CE70F0">
        <w:rPr>
          <w:rFonts w:ascii="Arial" w:hAnsi="Arial" w:cs="Arial"/>
        </w:rPr>
        <w:t xml:space="preserve">či </w:t>
      </w:r>
      <w:r w:rsidR="00BA6907" w:rsidRPr="00CE70F0">
        <w:rPr>
          <w:rFonts w:ascii="Arial" w:hAnsi="Arial" w:cs="Arial"/>
        </w:rPr>
        <w:t xml:space="preserve">jsou </w:t>
      </w:r>
      <w:r w:rsidR="00E40B47" w:rsidRPr="00CE70F0">
        <w:rPr>
          <w:rFonts w:ascii="Arial" w:hAnsi="Arial" w:cs="Arial"/>
        </w:rPr>
        <w:t>zveřejněn</w:t>
      </w:r>
      <w:r w:rsidR="00BA6907" w:rsidRPr="00CE70F0">
        <w:rPr>
          <w:rFonts w:ascii="Arial" w:hAnsi="Arial" w:cs="Arial"/>
        </w:rPr>
        <w:t>y</w:t>
      </w:r>
      <w:r w:rsidR="00E40B47" w:rsidRPr="00CE70F0">
        <w:rPr>
          <w:rFonts w:ascii="Arial" w:hAnsi="Arial" w:cs="Arial"/>
        </w:rPr>
        <w:t xml:space="preserve"> na základě zákonné povinnosti</w:t>
      </w:r>
      <w:r w:rsidRPr="00CE70F0">
        <w:rPr>
          <w:rFonts w:ascii="Arial" w:hAnsi="Arial" w:cs="Arial"/>
        </w:rPr>
        <w:t>.</w:t>
      </w:r>
      <w:r w:rsidR="00562AF7" w:rsidRPr="00CE70F0">
        <w:rPr>
          <w:rFonts w:ascii="Arial" w:hAnsi="Arial" w:cs="Arial"/>
        </w:rPr>
        <w:t xml:space="preserve"> </w:t>
      </w:r>
    </w:p>
    <w:p w:rsidR="00175DFD" w:rsidRPr="00CE70F0" w:rsidRDefault="00175DFD" w:rsidP="00CE70F0">
      <w:pPr>
        <w:pStyle w:val="ListParagraph"/>
        <w:rPr>
          <w:rFonts w:ascii="Arial" w:hAnsi="Arial" w:cs="Arial"/>
        </w:rPr>
      </w:pPr>
    </w:p>
    <w:p w:rsidR="00FD7B41" w:rsidRPr="00CE70F0" w:rsidRDefault="00FD7B41" w:rsidP="005905BE">
      <w:pPr>
        <w:numPr>
          <w:ilvl w:val="0"/>
          <w:numId w:val="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se zavazují zachovávat mlčenlivost</w:t>
      </w:r>
      <w:r w:rsidR="00C616BA" w:rsidRPr="00CE70F0">
        <w:rPr>
          <w:rFonts w:ascii="Arial" w:hAnsi="Arial" w:cs="Arial"/>
        </w:rPr>
        <w:t xml:space="preserve"> ohledně důvěrných informací vymezených odst. 1 tohoto článku</w:t>
      </w:r>
      <w:r w:rsidRPr="00CE70F0">
        <w:rPr>
          <w:rFonts w:ascii="Arial" w:hAnsi="Arial" w:cs="Arial"/>
        </w:rPr>
        <w:t xml:space="preserve"> </w:t>
      </w:r>
      <w:r w:rsidR="00E40B47" w:rsidRPr="00CE70F0">
        <w:rPr>
          <w:rFonts w:ascii="Arial" w:hAnsi="Arial" w:cs="Arial"/>
        </w:rPr>
        <w:t xml:space="preserve">v období platnosti této Smlouvy, tak po jejím </w:t>
      </w:r>
      <w:r w:rsidR="00E921A0" w:rsidRPr="00CE70F0">
        <w:rPr>
          <w:rFonts w:ascii="Arial" w:hAnsi="Arial" w:cs="Arial"/>
        </w:rPr>
        <w:t>skončení,</w:t>
      </w:r>
      <w:r w:rsidRPr="00CE70F0">
        <w:rPr>
          <w:rFonts w:ascii="Arial" w:hAnsi="Arial" w:cs="Arial"/>
        </w:rPr>
        <w:t xml:space="preserve"> bez ohledu na to, zda si je poskytly před nebo po datu uzavření Smlouvy, a to i v případě, že k uzavření </w:t>
      </w:r>
      <w:r w:rsidR="00C30E1A" w:rsidRPr="00CE70F0">
        <w:rPr>
          <w:rFonts w:ascii="Arial" w:hAnsi="Arial" w:cs="Arial"/>
        </w:rPr>
        <w:t>S</w:t>
      </w:r>
      <w:r w:rsidRPr="00CE70F0">
        <w:rPr>
          <w:rFonts w:ascii="Arial" w:hAnsi="Arial" w:cs="Arial"/>
        </w:rPr>
        <w:t>mlouvy nedojde.</w:t>
      </w:r>
    </w:p>
    <w:p w:rsidR="00FD7B41" w:rsidRPr="00CE70F0" w:rsidRDefault="00FD7B41" w:rsidP="00CE70F0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:rsidR="00FD7B41" w:rsidRPr="00CE70F0" w:rsidRDefault="00FD7B41" w:rsidP="005905BE">
      <w:pPr>
        <w:numPr>
          <w:ilvl w:val="0"/>
          <w:numId w:val="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se zavazují použít důvěrné informace pouze pro účely plnění této Smlouvy. </w:t>
      </w:r>
    </w:p>
    <w:p w:rsidR="00FD7B41" w:rsidRPr="00CE70F0" w:rsidRDefault="00FD7B41" w:rsidP="00CE70F0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:rsidR="00FD7B41" w:rsidRPr="00CE70F0" w:rsidRDefault="009E1830" w:rsidP="005905BE">
      <w:pPr>
        <w:numPr>
          <w:ilvl w:val="0"/>
          <w:numId w:val="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se zavazují učinit taková opatření, aby jejich zástupci</w:t>
      </w:r>
      <w:r w:rsidR="00FE66AE" w:rsidRPr="00CE70F0">
        <w:rPr>
          <w:rFonts w:ascii="Arial" w:hAnsi="Arial" w:cs="Arial"/>
        </w:rPr>
        <w:t>, zaměstnanc</w:t>
      </w:r>
      <w:r w:rsidR="00ED03E8" w:rsidRPr="00CE70F0">
        <w:rPr>
          <w:rFonts w:ascii="Arial" w:hAnsi="Arial" w:cs="Arial"/>
        </w:rPr>
        <w:t>i</w:t>
      </w:r>
      <w:r w:rsidR="007D0EC7" w:rsidRPr="00CE70F0">
        <w:rPr>
          <w:rFonts w:ascii="Arial" w:hAnsi="Arial" w:cs="Arial"/>
        </w:rPr>
        <w:t xml:space="preserve"> a</w:t>
      </w:r>
      <w:r w:rsidRPr="00CE70F0">
        <w:rPr>
          <w:rFonts w:ascii="Arial" w:hAnsi="Arial" w:cs="Arial"/>
        </w:rPr>
        <w:t xml:space="preserve"> další osoby, které se podílejí na realizaci závazků z této Smlouvy a důvěrné informace jim tak budou zpřístupněny, zachovávali mlčenlivost </w:t>
      </w:r>
      <w:r w:rsidR="007D0EC7" w:rsidRPr="00CE70F0">
        <w:rPr>
          <w:rFonts w:ascii="Arial" w:hAnsi="Arial" w:cs="Arial"/>
        </w:rPr>
        <w:t>o veškerých důvěrných informacích</w:t>
      </w:r>
      <w:r w:rsidR="00C30E1A" w:rsidRPr="00CE70F0">
        <w:rPr>
          <w:rFonts w:ascii="Arial" w:hAnsi="Arial" w:cs="Arial"/>
        </w:rPr>
        <w:t xml:space="preserve"> vymezených touto Smlouvou</w:t>
      </w:r>
      <w:r w:rsidR="007D0EC7" w:rsidRPr="00CE70F0">
        <w:rPr>
          <w:rFonts w:ascii="Arial" w:hAnsi="Arial" w:cs="Arial"/>
        </w:rPr>
        <w:t>.</w:t>
      </w:r>
    </w:p>
    <w:p w:rsidR="00BE2340" w:rsidRPr="00CE70F0" w:rsidRDefault="00BE2340" w:rsidP="00CE70F0">
      <w:pPr>
        <w:pStyle w:val="ListParagraph"/>
        <w:rPr>
          <w:rFonts w:ascii="Arial" w:hAnsi="Arial" w:cs="Arial"/>
        </w:rPr>
      </w:pPr>
    </w:p>
    <w:p w:rsidR="00BE2340" w:rsidRPr="00CE70F0" w:rsidRDefault="002D5D15" w:rsidP="005905BE">
      <w:pPr>
        <w:numPr>
          <w:ilvl w:val="0"/>
          <w:numId w:val="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výslovně prohlašují, že po</w:t>
      </w:r>
      <w:r w:rsidR="00FF23DA" w:rsidRPr="00CE70F0">
        <w:rPr>
          <w:rFonts w:ascii="Arial" w:hAnsi="Arial" w:cs="Arial"/>
        </w:rPr>
        <w:t>rušení</w:t>
      </w:r>
      <w:r w:rsidRPr="00CE70F0">
        <w:rPr>
          <w:rFonts w:ascii="Arial" w:hAnsi="Arial" w:cs="Arial"/>
        </w:rPr>
        <w:t>m</w:t>
      </w:r>
      <w:r w:rsidR="00FF23DA" w:rsidRPr="00CE70F0">
        <w:rPr>
          <w:rFonts w:ascii="Arial" w:hAnsi="Arial" w:cs="Arial"/>
        </w:rPr>
        <w:t xml:space="preserve"> povinnosti zachovávat mlčenlivost a uchovávat v tajnosti důvěrné informace není</w:t>
      </w:r>
      <w:r w:rsidR="0073583A" w:rsidRPr="00CE70F0">
        <w:rPr>
          <w:rFonts w:ascii="Arial" w:hAnsi="Arial" w:cs="Arial"/>
        </w:rPr>
        <w:t>, pokud</w:t>
      </w:r>
      <w:r w:rsidR="00FF23DA" w:rsidRPr="00CE70F0">
        <w:rPr>
          <w:rFonts w:ascii="Arial" w:hAnsi="Arial" w:cs="Arial"/>
        </w:rPr>
        <w:t>:</w:t>
      </w:r>
    </w:p>
    <w:p w:rsidR="005B7752" w:rsidRPr="00CE70F0" w:rsidRDefault="00562539" w:rsidP="005905BE">
      <w:pPr>
        <w:pStyle w:val="ListParagraph"/>
        <w:numPr>
          <w:ilvl w:val="0"/>
          <w:numId w:val="19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jsou nebo se staly veřejně známé z jiných příčin, než v důsledku porušení povinností stanovených tímto článkem Smlouvy, nebo</w:t>
      </w:r>
    </w:p>
    <w:p w:rsidR="005B7752" w:rsidRPr="00CE70F0" w:rsidRDefault="005B7752" w:rsidP="00CE70F0">
      <w:pPr>
        <w:pStyle w:val="ListParagraph"/>
        <w:spacing w:before="120"/>
        <w:ind w:left="1134" w:hanging="425"/>
        <w:jc w:val="both"/>
        <w:rPr>
          <w:rFonts w:ascii="Arial" w:hAnsi="Arial" w:cs="Arial"/>
        </w:rPr>
      </w:pPr>
    </w:p>
    <w:p w:rsidR="005B7752" w:rsidRPr="00CE70F0" w:rsidRDefault="00562539" w:rsidP="005905BE">
      <w:pPr>
        <w:pStyle w:val="ListParagraph"/>
        <w:numPr>
          <w:ilvl w:val="0"/>
          <w:numId w:val="19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jejich poskytnutí třetí osobě nebo orgánům veřejné moci je povinné podle platného práva a/nebo vykonatelného rozhodnutí soudu či jiného státního orgánu za předpokladu, že druhá strana bude o takovém poskytnutí </w:t>
      </w:r>
      <w:r w:rsidR="00BB27A3" w:rsidRPr="00CE70F0">
        <w:rPr>
          <w:rFonts w:ascii="Arial" w:hAnsi="Arial" w:cs="Arial"/>
        </w:rPr>
        <w:t xml:space="preserve">předem </w:t>
      </w:r>
      <w:r w:rsidRPr="00CE70F0">
        <w:rPr>
          <w:rFonts w:ascii="Arial" w:hAnsi="Arial" w:cs="Arial"/>
        </w:rPr>
        <w:t>písemně informována a poskytnutí informací bude striktně omezeno na požadované informace, údaje a dokumenty, nebo</w:t>
      </w:r>
    </w:p>
    <w:p w:rsidR="005B7752" w:rsidRPr="00CE70F0" w:rsidRDefault="005B7752" w:rsidP="00CE70F0">
      <w:pPr>
        <w:pStyle w:val="ListParagraph"/>
        <w:ind w:left="1134" w:hanging="425"/>
        <w:rPr>
          <w:rFonts w:ascii="Arial" w:hAnsi="Arial" w:cs="Arial"/>
        </w:rPr>
      </w:pPr>
    </w:p>
    <w:p w:rsidR="005B7752" w:rsidRPr="00CE70F0" w:rsidRDefault="00562539" w:rsidP="005905BE">
      <w:pPr>
        <w:pStyle w:val="ListParagraph"/>
        <w:numPr>
          <w:ilvl w:val="0"/>
          <w:numId w:val="19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druhá smluvní strana bude se zpřístupněním důvěrných informací písemně souhlasit. </w:t>
      </w:r>
    </w:p>
    <w:p w:rsidR="00562539" w:rsidRPr="00CE70F0" w:rsidRDefault="00562539" w:rsidP="00CE70F0">
      <w:pPr>
        <w:pStyle w:val="ListParagraph"/>
        <w:spacing w:before="120"/>
        <w:ind w:left="709"/>
        <w:jc w:val="both"/>
        <w:rPr>
          <w:rFonts w:ascii="Arial" w:hAnsi="Arial" w:cs="Arial"/>
        </w:rPr>
      </w:pPr>
    </w:p>
    <w:p w:rsidR="005B7752" w:rsidRPr="00CE70F0" w:rsidRDefault="005B7752" w:rsidP="005905BE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porušení </w:t>
      </w:r>
      <w:r w:rsidR="001E2F29" w:rsidRPr="00CE70F0">
        <w:rPr>
          <w:rFonts w:ascii="Arial" w:hAnsi="Arial" w:cs="Arial"/>
        </w:rPr>
        <w:t>povinností</w:t>
      </w:r>
      <w:r w:rsidRPr="00CE70F0">
        <w:rPr>
          <w:rFonts w:ascii="Arial" w:hAnsi="Arial" w:cs="Arial"/>
        </w:rPr>
        <w:t xml:space="preserve"> uvedených v tomto článku je smluvní strana, která závazek porušila, povinna </w:t>
      </w:r>
      <w:r w:rsidR="001E2F29" w:rsidRPr="00CE70F0">
        <w:rPr>
          <w:rFonts w:ascii="Arial" w:hAnsi="Arial" w:cs="Arial"/>
        </w:rPr>
        <w:t xml:space="preserve">jednorázově </w:t>
      </w:r>
      <w:r w:rsidRPr="00CE70F0">
        <w:rPr>
          <w:rFonts w:ascii="Arial" w:hAnsi="Arial" w:cs="Arial"/>
        </w:rPr>
        <w:t>zaplatit druhé smluvní straně smluvní pokutu ve výši 50.000 Kč (slovy: padesát tisíc korun českých). Ujednáním o smluvní pokutě ani zaplacením smluvní pokuty není dotčeno právo druhé smluvní strany na náhradu škody.</w:t>
      </w:r>
    </w:p>
    <w:p w:rsidR="00562539" w:rsidRPr="00CE70F0" w:rsidRDefault="00562539" w:rsidP="00CE70F0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:rsidR="00E40B47" w:rsidRPr="00CE70F0" w:rsidRDefault="00E40B47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X</w:t>
      </w:r>
      <w:r w:rsidR="00953BBF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E40B47" w:rsidRPr="00CE70F0" w:rsidRDefault="00E40B47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Obchodní tajemství</w:t>
      </w:r>
    </w:p>
    <w:p w:rsidR="00E40B47" w:rsidRPr="00CE70F0" w:rsidRDefault="00E40B47" w:rsidP="00CE70F0">
      <w:pPr>
        <w:contextualSpacing/>
        <w:jc w:val="both"/>
        <w:rPr>
          <w:rFonts w:ascii="Arial" w:hAnsi="Arial" w:cs="Arial"/>
          <w:highlight w:val="cyan"/>
        </w:rPr>
      </w:pPr>
    </w:p>
    <w:p w:rsidR="00E40B47" w:rsidRPr="00CE70F0" w:rsidRDefault="00C96242" w:rsidP="00CE70F0">
      <w:pPr>
        <w:spacing w:before="120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Držitel</w:t>
      </w:r>
      <w:r w:rsidR="00B46F22" w:rsidRPr="00CE70F0">
        <w:rPr>
          <w:rFonts w:ascii="Arial" w:hAnsi="Arial" w:cs="Arial"/>
        </w:rPr>
        <w:t xml:space="preserve"> považuje spe</w:t>
      </w:r>
      <w:r w:rsidR="00DD3821" w:rsidRPr="00CE70F0">
        <w:rPr>
          <w:rFonts w:ascii="Arial" w:hAnsi="Arial" w:cs="Arial"/>
        </w:rPr>
        <w:t xml:space="preserve">cifikaci </w:t>
      </w:r>
      <w:r w:rsidR="00B46F22" w:rsidRPr="00CE70F0">
        <w:rPr>
          <w:rFonts w:ascii="Arial" w:hAnsi="Arial" w:cs="Arial"/>
        </w:rPr>
        <w:t>Přípravku, včetně kódu SÚKL</w:t>
      </w:r>
      <w:r w:rsidR="0009484E">
        <w:rPr>
          <w:rFonts w:ascii="Arial" w:hAnsi="Arial" w:cs="Arial"/>
        </w:rPr>
        <w:t xml:space="preserve">, </w:t>
      </w:r>
      <w:r w:rsidR="00A13D3C" w:rsidRPr="00CE70F0">
        <w:rPr>
          <w:rFonts w:ascii="Arial" w:hAnsi="Arial" w:cs="Arial"/>
        </w:rPr>
        <w:t xml:space="preserve">způsob určení </w:t>
      </w:r>
      <w:r w:rsidR="00E168D5" w:rsidRPr="00CE70F0">
        <w:rPr>
          <w:rFonts w:ascii="Arial" w:hAnsi="Arial" w:cs="Arial"/>
        </w:rPr>
        <w:t>Limitované k</w:t>
      </w:r>
      <w:r w:rsidR="00B46F22" w:rsidRPr="00CE70F0">
        <w:rPr>
          <w:rFonts w:ascii="Arial" w:hAnsi="Arial" w:cs="Arial"/>
        </w:rPr>
        <w:t>ompenzac</w:t>
      </w:r>
      <w:r w:rsidR="00DD3821" w:rsidRPr="00CE70F0">
        <w:rPr>
          <w:rFonts w:ascii="Arial" w:hAnsi="Arial" w:cs="Arial"/>
        </w:rPr>
        <w:t>e</w:t>
      </w:r>
      <w:r w:rsidR="0009484E">
        <w:rPr>
          <w:rFonts w:ascii="Arial" w:hAnsi="Arial" w:cs="Arial"/>
        </w:rPr>
        <w:t xml:space="preserve"> a výše Limitů pro </w:t>
      </w:r>
      <w:r w:rsidR="00AB3E57">
        <w:rPr>
          <w:rFonts w:ascii="Arial" w:hAnsi="Arial" w:cs="Arial"/>
        </w:rPr>
        <w:t xml:space="preserve">jednotlivá </w:t>
      </w:r>
      <w:r w:rsidR="0009484E">
        <w:rPr>
          <w:rFonts w:ascii="Arial" w:hAnsi="Arial" w:cs="Arial"/>
        </w:rPr>
        <w:t>dílčí období</w:t>
      </w:r>
      <w:r w:rsidR="00A13D3C" w:rsidRPr="00CE70F0">
        <w:rPr>
          <w:rFonts w:ascii="Arial" w:hAnsi="Arial" w:cs="Arial"/>
        </w:rPr>
        <w:t>,</w:t>
      </w:r>
      <w:r w:rsidR="003671A3" w:rsidRPr="00CE70F0">
        <w:rPr>
          <w:rFonts w:ascii="Arial" w:hAnsi="Arial" w:cs="Arial"/>
        </w:rPr>
        <w:t xml:space="preserve"> vše specifikované </w:t>
      </w:r>
      <w:r w:rsidR="00DD3821" w:rsidRPr="00CE70F0">
        <w:rPr>
          <w:rFonts w:ascii="Arial" w:hAnsi="Arial" w:cs="Arial"/>
        </w:rPr>
        <w:t xml:space="preserve">Přílohou č. </w:t>
      </w:r>
      <w:r w:rsidR="003671A3" w:rsidRPr="00CE70F0">
        <w:rPr>
          <w:rFonts w:ascii="Arial" w:hAnsi="Arial" w:cs="Arial"/>
        </w:rPr>
        <w:t>1</w:t>
      </w:r>
      <w:r w:rsidR="007F5BCB" w:rsidRPr="00CE70F0">
        <w:rPr>
          <w:rFonts w:ascii="Arial" w:hAnsi="Arial" w:cs="Arial"/>
        </w:rPr>
        <w:t xml:space="preserve"> </w:t>
      </w:r>
      <w:r w:rsidR="00DD3821" w:rsidRPr="00CE70F0">
        <w:rPr>
          <w:rFonts w:ascii="Arial" w:hAnsi="Arial" w:cs="Arial"/>
        </w:rPr>
        <w:t>této</w:t>
      </w:r>
      <w:r w:rsidR="007F5BCB" w:rsidRPr="00CE70F0">
        <w:rPr>
          <w:rFonts w:ascii="Arial" w:hAnsi="Arial" w:cs="Arial"/>
        </w:rPr>
        <w:t xml:space="preserve"> </w:t>
      </w:r>
      <w:r w:rsidR="00DD3821" w:rsidRPr="00CE70F0">
        <w:rPr>
          <w:rFonts w:ascii="Arial" w:hAnsi="Arial" w:cs="Arial"/>
        </w:rPr>
        <w:t>Smlouvy</w:t>
      </w:r>
      <w:r w:rsidR="0060115C">
        <w:rPr>
          <w:rFonts w:ascii="Arial" w:hAnsi="Arial" w:cs="Arial"/>
        </w:rPr>
        <w:t xml:space="preserve"> a specifikaci správního řízení týkající se Přípravku</w:t>
      </w:r>
      <w:r w:rsidR="00857C60" w:rsidRPr="00CE70F0">
        <w:rPr>
          <w:rFonts w:ascii="Arial" w:hAnsi="Arial" w:cs="Arial"/>
        </w:rPr>
        <w:t>,</w:t>
      </w:r>
      <w:r w:rsidR="00122E30" w:rsidRPr="00CE70F0">
        <w:rPr>
          <w:rFonts w:ascii="Arial" w:hAnsi="Arial" w:cs="Arial"/>
        </w:rPr>
        <w:t xml:space="preserve"> </w:t>
      </w:r>
      <w:r w:rsidR="009C1EE8" w:rsidRPr="00CE70F0">
        <w:rPr>
          <w:rFonts w:ascii="Arial" w:hAnsi="Arial" w:cs="Arial"/>
        </w:rPr>
        <w:t>za</w:t>
      </w:r>
      <w:r w:rsidR="00F54005" w:rsidRPr="00CE70F0">
        <w:rPr>
          <w:rFonts w:ascii="Arial" w:hAnsi="Arial" w:cs="Arial"/>
        </w:rPr>
        <w:t xml:space="preserve"> své</w:t>
      </w:r>
      <w:r w:rsidR="009C1EE8" w:rsidRPr="00CE70F0">
        <w:rPr>
          <w:rFonts w:ascii="Arial" w:hAnsi="Arial" w:cs="Arial"/>
        </w:rPr>
        <w:t xml:space="preserve"> obchodní tajemství ve smyslu § 504 </w:t>
      </w:r>
      <w:r w:rsidR="007D0EC7" w:rsidRPr="00CE70F0">
        <w:rPr>
          <w:rFonts w:ascii="Arial" w:hAnsi="Arial" w:cs="Arial"/>
        </w:rPr>
        <w:t>zákona č. 89/2012 Sb., občanského zákoníku (dále jen „občanský zákoník“).</w:t>
      </w:r>
      <w:r w:rsidR="00E40B47" w:rsidRPr="00CE70F0">
        <w:rPr>
          <w:rFonts w:ascii="Arial" w:hAnsi="Arial" w:cs="Arial"/>
        </w:rPr>
        <w:t xml:space="preserve"> Skutečnosti označené takto za obchodní tajemství mohou být zveřejněny jen s předchozím písemným souhlasem </w:t>
      </w:r>
      <w:r w:rsidRPr="00CE70F0">
        <w:rPr>
          <w:rFonts w:ascii="Arial" w:hAnsi="Arial" w:cs="Arial"/>
        </w:rPr>
        <w:t>Držitele</w:t>
      </w:r>
      <w:r w:rsidR="00F54005" w:rsidRPr="00CE70F0">
        <w:rPr>
          <w:rFonts w:ascii="Arial" w:hAnsi="Arial" w:cs="Arial"/>
        </w:rPr>
        <w:t xml:space="preserve"> nebo na základě pravomocného rozhodnutí soudu či správního orgánu, jímž bude stanoveno, že skutečnosti označené </w:t>
      </w:r>
      <w:r w:rsidRPr="00CE70F0">
        <w:rPr>
          <w:rFonts w:ascii="Arial" w:hAnsi="Arial" w:cs="Arial"/>
        </w:rPr>
        <w:t>Držitelem</w:t>
      </w:r>
      <w:r w:rsidR="00F54005" w:rsidRPr="00CE70F0">
        <w:rPr>
          <w:rFonts w:ascii="Arial" w:hAnsi="Arial" w:cs="Arial"/>
        </w:rPr>
        <w:t xml:space="preserve"> za obchodní tajemství nenaplňují definici ve smyslu § 504 ob</w:t>
      </w:r>
      <w:r w:rsidR="00857C60" w:rsidRPr="00CE70F0">
        <w:rPr>
          <w:rFonts w:ascii="Arial" w:hAnsi="Arial" w:cs="Arial"/>
        </w:rPr>
        <w:t xml:space="preserve">čanského </w:t>
      </w:r>
      <w:r w:rsidR="00F54005" w:rsidRPr="00CE70F0">
        <w:rPr>
          <w:rFonts w:ascii="Arial" w:hAnsi="Arial" w:cs="Arial"/>
        </w:rPr>
        <w:t>zákoníku</w:t>
      </w:r>
      <w:r w:rsidR="00E40B47" w:rsidRPr="00CE70F0">
        <w:rPr>
          <w:rFonts w:ascii="Arial" w:hAnsi="Arial" w:cs="Arial"/>
        </w:rPr>
        <w:t>.</w:t>
      </w:r>
    </w:p>
    <w:p w:rsidR="00E40B47" w:rsidRPr="00CE70F0" w:rsidRDefault="00E40B47" w:rsidP="00CE70F0">
      <w:pPr>
        <w:contextualSpacing/>
        <w:jc w:val="both"/>
        <w:rPr>
          <w:rFonts w:ascii="Arial" w:hAnsi="Arial" w:cs="Arial"/>
          <w:highlight w:val="cyan"/>
        </w:rPr>
      </w:pPr>
    </w:p>
    <w:p w:rsidR="00FD7B41" w:rsidRPr="00CE70F0" w:rsidRDefault="00FD7B41" w:rsidP="00CE70F0">
      <w:pPr>
        <w:contextualSpacing/>
        <w:jc w:val="both"/>
        <w:rPr>
          <w:rFonts w:ascii="Arial" w:hAnsi="Arial" w:cs="Arial"/>
          <w:highlight w:val="cyan"/>
        </w:rPr>
      </w:pPr>
    </w:p>
    <w:p w:rsidR="005F3408" w:rsidRPr="00CE70F0" w:rsidRDefault="005F3408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X</w:t>
      </w:r>
      <w:r w:rsidR="00584188" w:rsidRPr="00CE70F0">
        <w:rPr>
          <w:rFonts w:ascii="Arial" w:hAnsi="Arial" w:cs="Arial"/>
          <w:b/>
        </w:rPr>
        <w:t>I</w:t>
      </w:r>
      <w:r w:rsidR="00953BBF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5F3408" w:rsidRPr="00CE70F0" w:rsidRDefault="005F3408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Doba trvání Smlouvy</w:t>
      </w:r>
      <w:r w:rsidR="00670758" w:rsidRPr="00CE70F0">
        <w:rPr>
          <w:rFonts w:ascii="Arial" w:hAnsi="Arial" w:cs="Arial"/>
          <w:b/>
        </w:rPr>
        <w:t xml:space="preserve"> </w:t>
      </w:r>
      <w:r w:rsidRPr="00CE70F0">
        <w:rPr>
          <w:rFonts w:ascii="Arial" w:hAnsi="Arial" w:cs="Arial"/>
          <w:b/>
        </w:rPr>
        <w:t xml:space="preserve">a její ukončení </w:t>
      </w:r>
    </w:p>
    <w:p w:rsidR="005F3408" w:rsidRPr="00CE70F0" w:rsidRDefault="005F3408" w:rsidP="00CE70F0">
      <w:pPr>
        <w:contextualSpacing/>
        <w:jc w:val="center"/>
        <w:rPr>
          <w:rFonts w:ascii="Arial" w:hAnsi="Arial" w:cs="Arial"/>
        </w:rPr>
      </w:pPr>
    </w:p>
    <w:p w:rsidR="005F3408" w:rsidRPr="00CE70F0" w:rsidRDefault="005F3408" w:rsidP="005905BE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Tato Smlouva se uzavírá na dobu určitou do </w:t>
      </w:r>
      <w:r w:rsidR="00B7479B" w:rsidRPr="00CE70F0">
        <w:rPr>
          <w:rFonts w:ascii="Arial" w:hAnsi="Arial" w:cs="Arial"/>
        </w:rPr>
        <w:t>31. 12. 2021</w:t>
      </w:r>
      <w:r w:rsidR="00EF15E0" w:rsidRPr="00CE70F0">
        <w:rPr>
          <w:rFonts w:ascii="Arial" w:hAnsi="Arial" w:cs="Arial"/>
        </w:rPr>
        <w:t xml:space="preserve">. </w:t>
      </w:r>
    </w:p>
    <w:p w:rsidR="005F3408" w:rsidRPr="00CE70F0" w:rsidRDefault="005F3408" w:rsidP="00CE70F0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:rsidR="00847E8D" w:rsidRPr="00CE70F0" w:rsidRDefault="00E43C51" w:rsidP="005905BE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</w:t>
      </w:r>
      <w:r w:rsidR="002C7941" w:rsidRPr="00CE70F0">
        <w:rPr>
          <w:rFonts w:ascii="Arial" w:hAnsi="Arial" w:cs="Arial"/>
        </w:rPr>
        <w:t>se dohodly, ž</w:t>
      </w:r>
      <w:r w:rsidR="00DB3622" w:rsidRPr="00CE70F0">
        <w:rPr>
          <w:rFonts w:ascii="Arial" w:hAnsi="Arial" w:cs="Arial"/>
        </w:rPr>
        <w:t>e není přípustné Smlouvu jednostranně vypovědět.</w:t>
      </w:r>
      <w:r w:rsidR="002C7941" w:rsidRPr="00CE70F0">
        <w:rPr>
          <w:rFonts w:ascii="Arial" w:hAnsi="Arial" w:cs="Arial"/>
        </w:rPr>
        <w:t xml:space="preserve"> </w:t>
      </w:r>
    </w:p>
    <w:p w:rsidR="00847E8D" w:rsidRPr="00CE70F0" w:rsidRDefault="00847E8D" w:rsidP="00CE70F0">
      <w:pPr>
        <w:pStyle w:val="ListParagraph"/>
        <w:rPr>
          <w:rFonts w:ascii="Arial" w:hAnsi="Arial" w:cs="Arial"/>
        </w:rPr>
      </w:pPr>
    </w:p>
    <w:p w:rsidR="00CA192C" w:rsidRPr="00CE70F0" w:rsidRDefault="00847E8D" w:rsidP="005905BE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Smlouva zaniká </w:t>
      </w:r>
      <w:r w:rsidR="00CA192C" w:rsidRPr="00CE70F0">
        <w:rPr>
          <w:rFonts w:ascii="Arial" w:hAnsi="Arial" w:cs="Arial"/>
        </w:rPr>
        <w:t xml:space="preserve">v důsledku porušení ochrany obchodního tajemství Pojišťovnou, a to dnem </w:t>
      </w:r>
      <w:r w:rsidR="00242AE1" w:rsidRPr="00CE70F0">
        <w:rPr>
          <w:rFonts w:ascii="Arial" w:hAnsi="Arial" w:cs="Arial"/>
        </w:rPr>
        <w:t xml:space="preserve">odtajnění </w:t>
      </w:r>
      <w:r w:rsidR="00CA192C" w:rsidRPr="00CE70F0">
        <w:rPr>
          <w:rFonts w:ascii="Arial" w:hAnsi="Arial" w:cs="Arial"/>
        </w:rPr>
        <w:t>informace</w:t>
      </w:r>
      <w:r w:rsidR="00242AE1" w:rsidRPr="00CE70F0">
        <w:rPr>
          <w:rFonts w:ascii="Arial" w:hAnsi="Arial" w:cs="Arial"/>
        </w:rPr>
        <w:t xml:space="preserve"> označené </w:t>
      </w:r>
      <w:r w:rsidR="00C96242" w:rsidRPr="00CE70F0">
        <w:rPr>
          <w:rFonts w:ascii="Arial" w:hAnsi="Arial" w:cs="Arial"/>
        </w:rPr>
        <w:t>Držitelem</w:t>
      </w:r>
      <w:r w:rsidR="00242AE1" w:rsidRPr="00CE70F0">
        <w:rPr>
          <w:rFonts w:ascii="Arial" w:hAnsi="Arial" w:cs="Arial"/>
        </w:rPr>
        <w:t xml:space="preserve"> jako obchodní tajemství dle článku X</w:t>
      </w:r>
      <w:r w:rsidR="00AB3E57">
        <w:rPr>
          <w:rFonts w:ascii="Arial" w:hAnsi="Arial" w:cs="Arial"/>
        </w:rPr>
        <w:t>I</w:t>
      </w:r>
      <w:r w:rsidR="00242AE1" w:rsidRPr="00CE70F0">
        <w:rPr>
          <w:rFonts w:ascii="Arial" w:hAnsi="Arial" w:cs="Arial"/>
        </w:rPr>
        <w:t>. této Smlouvy</w:t>
      </w:r>
      <w:r w:rsidR="00CA192C" w:rsidRPr="00CE70F0">
        <w:rPr>
          <w:rFonts w:ascii="Arial" w:hAnsi="Arial" w:cs="Arial"/>
        </w:rPr>
        <w:t>.</w:t>
      </w:r>
    </w:p>
    <w:p w:rsidR="009C1EE8" w:rsidRPr="00CE70F0" w:rsidRDefault="009C1EE8" w:rsidP="00CE70F0">
      <w:pPr>
        <w:pStyle w:val="ListParagraph"/>
        <w:rPr>
          <w:rFonts w:ascii="Arial" w:hAnsi="Arial" w:cs="Arial"/>
        </w:rPr>
      </w:pPr>
    </w:p>
    <w:p w:rsidR="00CA192C" w:rsidRPr="00CE70F0" w:rsidRDefault="00CA192C" w:rsidP="005905BE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Smlouva dále zaniká</w:t>
      </w:r>
      <w:r w:rsidR="005F1B2D" w:rsidRPr="00CE70F0">
        <w:rPr>
          <w:rFonts w:ascii="Arial" w:hAnsi="Arial" w:cs="Arial"/>
        </w:rPr>
        <w:t xml:space="preserve"> v případě vzniku povinnosti obchodní tajemství</w:t>
      </w:r>
      <w:r w:rsidR="00A007E3" w:rsidRPr="00CE70F0">
        <w:rPr>
          <w:rFonts w:ascii="Arial" w:hAnsi="Arial" w:cs="Arial"/>
        </w:rPr>
        <w:t xml:space="preserve"> </w:t>
      </w:r>
      <w:r w:rsidR="00C96242" w:rsidRPr="00CE70F0">
        <w:rPr>
          <w:rFonts w:ascii="Arial" w:hAnsi="Arial" w:cs="Arial"/>
        </w:rPr>
        <w:t>Držitele</w:t>
      </w:r>
      <w:r w:rsidR="00551538" w:rsidRPr="00CE70F0">
        <w:rPr>
          <w:rFonts w:ascii="Arial" w:hAnsi="Arial" w:cs="Arial"/>
        </w:rPr>
        <w:t xml:space="preserve"> dle článku </w:t>
      </w:r>
      <w:r w:rsidR="00A007E3" w:rsidRPr="00CE70F0">
        <w:rPr>
          <w:rFonts w:ascii="Arial" w:hAnsi="Arial" w:cs="Arial"/>
        </w:rPr>
        <w:t>X</w:t>
      </w:r>
      <w:r w:rsidR="00AB3E57">
        <w:rPr>
          <w:rFonts w:ascii="Arial" w:hAnsi="Arial" w:cs="Arial"/>
        </w:rPr>
        <w:t>I</w:t>
      </w:r>
      <w:r w:rsidR="00A007E3" w:rsidRPr="00CE70F0">
        <w:rPr>
          <w:rFonts w:ascii="Arial" w:hAnsi="Arial" w:cs="Arial"/>
        </w:rPr>
        <w:t xml:space="preserve">. této </w:t>
      </w:r>
      <w:bookmarkStart w:id="0" w:name="_GoBack"/>
      <w:r w:rsidR="00A007E3" w:rsidRPr="00CE70F0">
        <w:rPr>
          <w:rFonts w:ascii="Arial" w:hAnsi="Arial" w:cs="Arial"/>
        </w:rPr>
        <w:t>Smlouvy</w:t>
      </w:r>
      <w:r w:rsidR="005F1B2D" w:rsidRPr="00CE70F0">
        <w:rPr>
          <w:rFonts w:ascii="Arial" w:hAnsi="Arial" w:cs="Arial"/>
        </w:rPr>
        <w:t xml:space="preserve"> zpřístupnit nebo odtajnit</w:t>
      </w:r>
      <w:r w:rsidR="00A007E3" w:rsidRPr="00CE70F0">
        <w:rPr>
          <w:rFonts w:ascii="Arial" w:hAnsi="Arial" w:cs="Arial"/>
        </w:rPr>
        <w:t xml:space="preserve"> </w:t>
      </w:r>
      <w:r w:rsidR="005F1B2D" w:rsidRPr="00CE70F0">
        <w:rPr>
          <w:rFonts w:ascii="Arial" w:hAnsi="Arial" w:cs="Arial"/>
        </w:rPr>
        <w:t xml:space="preserve">na základě rozhodnutí soudu </w:t>
      </w:r>
      <w:r w:rsidR="00A007E3" w:rsidRPr="00CE70F0">
        <w:rPr>
          <w:rFonts w:ascii="Arial" w:hAnsi="Arial" w:cs="Arial"/>
        </w:rPr>
        <w:t>č</w:t>
      </w:r>
      <w:r w:rsidR="005F1B2D" w:rsidRPr="00CE70F0">
        <w:rPr>
          <w:rFonts w:ascii="Arial" w:hAnsi="Arial" w:cs="Arial"/>
        </w:rPr>
        <w:t xml:space="preserve">i správního orgánu, a to dnem </w:t>
      </w:r>
      <w:r w:rsidR="00242AE1" w:rsidRPr="00CE70F0">
        <w:rPr>
          <w:rFonts w:ascii="Arial" w:hAnsi="Arial" w:cs="Arial"/>
        </w:rPr>
        <w:t>pr</w:t>
      </w:r>
      <w:bookmarkEnd w:id="0"/>
      <w:r w:rsidR="00242AE1" w:rsidRPr="00CE70F0">
        <w:rPr>
          <w:rFonts w:ascii="Arial" w:hAnsi="Arial" w:cs="Arial"/>
        </w:rPr>
        <w:t>ávní moc</w:t>
      </w:r>
      <w:r w:rsidR="005F1B2D" w:rsidRPr="00CE70F0">
        <w:rPr>
          <w:rFonts w:ascii="Arial" w:hAnsi="Arial" w:cs="Arial"/>
        </w:rPr>
        <w:t>i takového rozhodnutí.</w:t>
      </w:r>
      <w:r w:rsidRPr="00CE70F0">
        <w:rPr>
          <w:rFonts w:ascii="Arial" w:hAnsi="Arial" w:cs="Arial"/>
        </w:rPr>
        <w:t xml:space="preserve"> </w:t>
      </w:r>
    </w:p>
    <w:p w:rsidR="00E46C9D" w:rsidRPr="00CE70F0" w:rsidRDefault="00E46C9D" w:rsidP="00CE70F0">
      <w:pPr>
        <w:spacing w:before="240"/>
        <w:contextualSpacing/>
        <w:jc w:val="center"/>
        <w:rPr>
          <w:rFonts w:ascii="Arial" w:hAnsi="Arial" w:cs="Arial"/>
          <w:b/>
        </w:rPr>
      </w:pPr>
    </w:p>
    <w:p w:rsidR="005F3408" w:rsidRPr="00CE70F0" w:rsidRDefault="005F3408" w:rsidP="00CE70F0">
      <w:pPr>
        <w:spacing w:before="24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X</w:t>
      </w:r>
      <w:r w:rsidR="00F47354" w:rsidRPr="00CE70F0">
        <w:rPr>
          <w:rFonts w:ascii="Arial" w:hAnsi="Arial" w:cs="Arial"/>
          <w:b/>
        </w:rPr>
        <w:t>I</w:t>
      </w:r>
      <w:r w:rsidR="00584188" w:rsidRPr="00CE70F0">
        <w:rPr>
          <w:rFonts w:ascii="Arial" w:hAnsi="Arial" w:cs="Arial"/>
          <w:b/>
        </w:rPr>
        <w:t>I</w:t>
      </w:r>
      <w:r w:rsidR="00953BBF"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.</w:t>
      </w:r>
    </w:p>
    <w:p w:rsidR="005F3408" w:rsidRDefault="005F3408" w:rsidP="00CE70F0">
      <w:pPr>
        <w:spacing w:before="24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Kontaktní </w:t>
      </w:r>
      <w:r w:rsidR="00695217" w:rsidRPr="00CE70F0">
        <w:rPr>
          <w:rFonts w:ascii="Arial" w:hAnsi="Arial" w:cs="Arial"/>
          <w:b/>
        </w:rPr>
        <w:t>údaje</w:t>
      </w:r>
    </w:p>
    <w:p w:rsidR="00BC64EB" w:rsidRPr="00CE70F0" w:rsidRDefault="00BC64EB" w:rsidP="00CE70F0">
      <w:pPr>
        <w:spacing w:before="240"/>
        <w:contextualSpacing/>
        <w:jc w:val="center"/>
        <w:rPr>
          <w:rFonts w:ascii="Arial" w:hAnsi="Arial" w:cs="Arial"/>
          <w:b/>
        </w:rPr>
      </w:pPr>
    </w:p>
    <w:p w:rsidR="00945428" w:rsidRPr="00BC64EB" w:rsidRDefault="00945428" w:rsidP="005905BE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BC64EB">
        <w:rPr>
          <w:rFonts w:ascii="Arial" w:hAnsi="Arial" w:cs="Arial"/>
        </w:rPr>
        <w:t xml:space="preserve">Písemnosti související s touto </w:t>
      </w:r>
      <w:r w:rsidR="00CE5BF5" w:rsidRPr="00BC64EB">
        <w:rPr>
          <w:rFonts w:ascii="Arial" w:hAnsi="Arial" w:cs="Arial"/>
        </w:rPr>
        <w:t>Smlouvou</w:t>
      </w:r>
      <w:r w:rsidRPr="00BC64EB">
        <w:rPr>
          <w:rFonts w:ascii="Arial" w:hAnsi="Arial" w:cs="Arial"/>
        </w:rPr>
        <w:t xml:space="preserve"> budou doručovány na</w:t>
      </w:r>
      <w:r w:rsidR="00EE1928" w:rsidRPr="00BC64EB">
        <w:rPr>
          <w:rFonts w:ascii="Arial" w:hAnsi="Arial" w:cs="Arial"/>
        </w:rPr>
        <w:t xml:space="preserve"> Celgene s.r.o., k rukám </w:t>
      </w:r>
      <w:r w:rsidR="00FA2D71" w:rsidRPr="005C28B7">
        <w:rPr>
          <w:bCs/>
        </w:rPr>
        <w:t>xxxxxxxxxxxxxxxxxxxx</w:t>
      </w:r>
      <w:r w:rsidR="00EE1928" w:rsidRPr="00BC64EB">
        <w:rPr>
          <w:rFonts w:ascii="Arial" w:hAnsi="Arial" w:cs="Arial"/>
        </w:rPr>
        <w:t xml:space="preserve">, Novodvorská 994/138, 142 00 Praha 4, </w:t>
      </w:r>
      <w:r w:rsidRPr="00BC64EB">
        <w:rPr>
          <w:rFonts w:ascii="Arial" w:hAnsi="Arial" w:cs="Arial"/>
        </w:rPr>
        <w:t xml:space="preserve">resp. na adresu sídla Pojišťovny uvedenou </w:t>
      </w:r>
      <w:r w:rsidR="00CE5BF5" w:rsidRPr="00BC64EB">
        <w:rPr>
          <w:rFonts w:ascii="Arial" w:hAnsi="Arial" w:cs="Arial"/>
        </w:rPr>
        <w:t>v záhlaví Smlouvy</w:t>
      </w:r>
      <w:r w:rsidR="006423BA" w:rsidRPr="00BC64EB">
        <w:rPr>
          <w:rFonts w:ascii="Arial" w:hAnsi="Arial" w:cs="Arial"/>
        </w:rPr>
        <w:t xml:space="preserve"> </w:t>
      </w:r>
      <w:r w:rsidR="00EE1928" w:rsidRPr="00BC64EB">
        <w:rPr>
          <w:rFonts w:ascii="Arial" w:hAnsi="Arial" w:cs="Arial"/>
        </w:rPr>
        <w:t>(</w:t>
      </w:r>
      <w:r w:rsidR="006423BA" w:rsidRPr="00BC64EB">
        <w:rPr>
          <w:rFonts w:ascii="Arial" w:hAnsi="Arial" w:cs="Arial"/>
        </w:rPr>
        <w:t>nebo do datové schránky</w:t>
      </w:r>
      <w:r w:rsidR="00EE1928" w:rsidRPr="00BC64EB">
        <w:rPr>
          <w:rFonts w:ascii="Arial" w:hAnsi="Arial" w:cs="Arial"/>
        </w:rPr>
        <w:t xml:space="preserve"> Pojišťovny)</w:t>
      </w:r>
      <w:r w:rsidRPr="00BC64EB">
        <w:rPr>
          <w:rFonts w:ascii="Arial" w:hAnsi="Arial" w:cs="Arial"/>
        </w:rPr>
        <w:t>, ledaže některá ze smluvních stran písemně oznámí druhé smluvní straně jinou doručovací adresu</w:t>
      </w:r>
      <w:r w:rsidR="006423BA" w:rsidRPr="00BC64EB">
        <w:rPr>
          <w:rFonts w:ascii="Arial" w:hAnsi="Arial" w:cs="Arial"/>
        </w:rPr>
        <w:t>.</w:t>
      </w:r>
    </w:p>
    <w:p w:rsidR="00945428" w:rsidRPr="00CE70F0" w:rsidRDefault="00945428" w:rsidP="00CE70F0">
      <w:pPr>
        <w:pStyle w:val="ListParagraph"/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</w:rPr>
      </w:pPr>
    </w:p>
    <w:p w:rsidR="005F3408" w:rsidRPr="00CE70F0" w:rsidRDefault="005F3408" w:rsidP="005905BE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Kontaktními osobami jsou:</w:t>
      </w:r>
    </w:p>
    <w:p w:rsidR="00643465" w:rsidRPr="00CE70F0" w:rsidRDefault="005F3408" w:rsidP="005905B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Za Pojišťovnu:</w:t>
      </w:r>
      <w:r w:rsidR="00643465" w:rsidRPr="00CE70F0">
        <w:rPr>
          <w:rFonts w:ascii="Arial" w:hAnsi="Arial" w:cs="Arial"/>
        </w:rPr>
        <w:t xml:space="preserve"> </w:t>
      </w:r>
      <w:r w:rsidR="000233A4" w:rsidRPr="005C28B7">
        <w:rPr>
          <w:bCs/>
        </w:rPr>
        <w:t>xxxxxxxxxxxxxxxxxxxxx</w:t>
      </w:r>
      <w:r w:rsidR="00643465" w:rsidRPr="00CE70F0">
        <w:rPr>
          <w:rFonts w:ascii="Arial" w:hAnsi="Arial" w:cs="Arial"/>
        </w:rPr>
        <w:t xml:space="preserve"> </w:t>
      </w:r>
    </w:p>
    <w:p w:rsidR="005F3408" w:rsidRPr="00CE70F0" w:rsidRDefault="005F3408" w:rsidP="005905B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</w:t>
      </w:r>
      <w:r w:rsidR="002D0FF0" w:rsidRPr="00CE70F0">
        <w:rPr>
          <w:rFonts w:ascii="Arial" w:hAnsi="Arial" w:cs="Arial"/>
        </w:rPr>
        <w:t>Držitele</w:t>
      </w:r>
      <w:r w:rsidRPr="00CE70F0">
        <w:rPr>
          <w:rFonts w:ascii="Arial" w:hAnsi="Arial" w:cs="Arial"/>
        </w:rPr>
        <w:t>:</w:t>
      </w:r>
      <w:r w:rsidR="00CE5BF5" w:rsidRPr="00CE70F0">
        <w:rPr>
          <w:rFonts w:ascii="Arial" w:hAnsi="Arial" w:cs="Arial"/>
        </w:rPr>
        <w:t xml:space="preserve"> </w:t>
      </w:r>
      <w:r w:rsidR="000233A4" w:rsidRPr="005C28B7">
        <w:rPr>
          <w:bCs/>
        </w:rPr>
        <w:t>xxxxxxxxxxxxxxxxxxxxx</w:t>
      </w:r>
      <w:r w:rsidR="00EE1928">
        <w:rPr>
          <w:rFonts w:ascii="Arial" w:hAnsi="Arial" w:cs="Arial"/>
        </w:rPr>
        <w:t xml:space="preserve"> </w:t>
      </w:r>
    </w:p>
    <w:p w:rsidR="00B24DDA" w:rsidRPr="00CE70F0" w:rsidRDefault="00B24DDA" w:rsidP="00CE70F0">
      <w:pPr>
        <w:pStyle w:val="ListParagraph"/>
        <w:overflowPunct/>
        <w:autoSpaceDE/>
        <w:autoSpaceDN/>
        <w:adjustRightInd/>
        <w:spacing w:before="240"/>
        <w:ind w:left="993"/>
        <w:jc w:val="both"/>
        <w:textAlignment w:val="auto"/>
        <w:rPr>
          <w:rFonts w:ascii="Arial" w:hAnsi="Arial" w:cs="Arial"/>
        </w:rPr>
      </w:pPr>
    </w:p>
    <w:p w:rsidR="00BB27A3" w:rsidRPr="00CE70F0" w:rsidRDefault="008C2497" w:rsidP="005905BE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E</w:t>
      </w:r>
      <w:r w:rsidR="00695217" w:rsidRPr="00CE70F0">
        <w:rPr>
          <w:rFonts w:ascii="Arial" w:hAnsi="Arial" w:cs="Arial"/>
        </w:rPr>
        <w:t>-mail pro účely notifikace správce</w:t>
      </w:r>
      <w:r w:rsidRPr="00CE70F0">
        <w:rPr>
          <w:rFonts w:ascii="Arial" w:hAnsi="Arial" w:cs="Arial"/>
        </w:rPr>
        <w:t>m</w:t>
      </w:r>
      <w:r w:rsidR="00695217" w:rsidRPr="00CE70F0">
        <w:rPr>
          <w:rFonts w:ascii="Arial" w:hAnsi="Arial" w:cs="Arial"/>
        </w:rPr>
        <w:t xml:space="preserve"> registru smluv o uveřejnění Smlouvy:</w:t>
      </w:r>
    </w:p>
    <w:p w:rsidR="00695217" w:rsidRPr="00CE70F0" w:rsidRDefault="00695217" w:rsidP="005905BE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Pojišťovnu: </w:t>
      </w:r>
      <w:r w:rsidR="000233A4" w:rsidRPr="005C28B7">
        <w:rPr>
          <w:bCs/>
        </w:rPr>
        <w:t>xxxxxxxxxxxxxxxxxxxxx</w:t>
      </w:r>
    </w:p>
    <w:p w:rsidR="00695217" w:rsidRPr="00CE70F0" w:rsidRDefault="00695217" w:rsidP="005905BE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Držitele: </w:t>
      </w:r>
      <w:r w:rsidR="000233A4" w:rsidRPr="005C28B7">
        <w:rPr>
          <w:bCs/>
        </w:rPr>
        <w:t>xxxxxxxxxxxxxxxxxxxxx</w:t>
      </w:r>
    </w:p>
    <w:p w:rsidR="00695217" w:rsidRPr="00CE70F0" w:rsidRDefault="00695217" w:rsidP="00CE70F0">
      <w:pPr>
        <w:pStyle w:val="ListParagraph"/>
        <w:rPr>
          <w:rFonts w:ascii="Arial" w:hAnsi="Arial" w:cs="Arial"/>
        </w:rPr>
      </w:pPr>
    </w:p>
    <w:p w:rsidR="009E1887" w:rsidRPr="00CE70F0" w:rsidRDefault="009E1887" w:rsidP="005905BE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se zavazují, že bez zbytečného odkladu oznámí </w:t>
      </w:r>
      <w:r w:rsidR="00695217" w:rsidRPr="00CE70F0">
        <w:rPr>
          <w:rFonts w:ascii="Arial" w:hAnsi="Arial" w:cs="Arial"/>
        </w:rPr>
        <w:t>změny</w:t>
      </w:r>
      <w:r w:rsidRPr="00CE70F0">
        <w:rPr>
          <w:rFonts w:ascii="Arial" w:hAnsi="Arial" w:cs="Arial"/>
        </w:rPr>
        <w:t xml:space="preserve"> kontaktní</w:t>
      </w:r>
      <w:r w:rsidR="00695217" w:rsidRPr="00CE70F0">
        <w:rPr>
          <w:rFonts w:ascii="Arial" w:hAnsi="Arial" w:cs="Arial"/>
        </w:rPr>
        <w:t>ch údajů.</w:t>
      </w:r>
    </w:p>
    <w:p w:rsidR="009E1887" w:rsidRPr="00CE70F0" w:rsidRDefault="009E1887" w:rsidP="007E6BC2">
      <w:pPr>
        <w:pStyle w:val="ListParagraph"/>
        <w:overflowPunct/>
        <w:autoSpaceDE/>
        <w:autoSpaceDN/>
        <w:adjustRightInd/>
        <w:spacing w:before="240"/>
        <w:ind w:left="0" w:firstLine="426"/>
        <w:textAlignment w:val="auto"/>
        <w:rPr>
          <w:rFonts w:ascii="Arial" w:hAnsi="Arial" w:cs="Arial"/>
        </w:rPr>
      </w:pPr>
    </w:p>
    <w:p w:rsidR="00695217" w:rsidRPr="00CE70F0" w:rsidRDefault="00695217" w:rsidP="007E6BC2">
      <w:pPr>
        <w:spacing w:before="240"/>
        <w:ind w:firstLine="426"/>
        <w:contextualSpacing/>
        <w:rPr>
          <w:rFonts w:ascii="Arial" w:hAnsi="Arial" w:cs="Arial"/>
          <w:b/>
        </w:rPr>
      </w:pPr>
    </w:p>
    <w:p w:rsidR="005B7868" w:rsidRPr="00CE70F0" w:rsidRDefault="005B7868" w:rsidP="00CE70F0">
      <w:pPr>
        <w:spacing w:before="24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953BBF">
        <w:rPr>
          <w:rFonts w:ascii="Arial" w:hAnsi="Arial" w:cs="Arial"/>
          <w:b/>
        </w:rPr>
        <w:t>XIV</w:t>
      </w:r>
      <w:r w:rsidRPr="00CE70F0">
        <w:rPr>
          <w:rFonts w:ascii="Arial" w:hAnsi="Arial" w:cs="Arial"/>
          <w:b/>
        </w:rPr>
        <w:t>.</w:t>
      </w:r>
    </w:p>
    <w:p w:rsidR="005B7868" w:rsidRPr="00CE70F0" w:rsidRDefault="005B7868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Ostatní ujednání</w:t>
      </w:r>
    </w:p>
    <w:p w:rsidR="005B7868" w:rsidRPr="00CE70F0" w:rsidRDefault="005B7868" w:rsidP="00CE70F0">
      <w:pPr>
        <w:contextualSpacing/>
        <w:jc w:val="center"/>
        <w:rPr>
          <w:rFonts w:ascii="Arial" w:hAnsi="Arial" w:cs="Arial"/>
          <w:b/>
        </w:rPr>
      </w:pPr>
    </w:p>
    <w:p w:rsidR="00EA1775" w:rsidRPr="00CE70F0" w:rsidRDefault="00EA1775" w:rsidP="005905BE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Tato Smlouva se vztahuje na všechny dodávky Přípravku na trh v České republice.</w:t>
      </w:r>
    </w:p>
    <w:p w:rsidR="00F95B70" w:rsidRPr="00CE70F0" w:rsidRDefault="00F95B70" w:rsidP="00CE70F0">
      <w:pPr>
        <w:tabs>
          <w:tab w:val="left" w:pos="0"/>
        </w:tabs>
        <w:spacing w:before="120"/>
        <w:ind w:left="426"/>
        <w:contextualSpacing/>
        <w:jc w:val="both"/>
        <w:rPr>
          <w:rFonts w:ascii="Arial" w:hAnsi="Arial" w:cs="Arial"/>
        </w:rPr>
      </w:pPr>
    </w:p>
    <w:p w:rsidR="005B7868" w:rsidRPr="00CE70F0" w:rsidRDefault="005B7868" w:rsidP="005905BE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Právní vztahy mezi smluvními stranami se řídí českým právním řádem, ve věcech neupravených právními předpisy upravujícími veřejné zdravotní p</w:t>
      </w:r>
      <w:r w:rsidR="00C903B9" w:rsidRPr="00CE70F0">
        <w:rPr>
          <w:rFonts w:ascii="Arial" w:hAnsi="Arial" w:cs="Arial"/>
        </w:rPr>
        <w:t>ojištění</w:t>
      </w:r>
      <w:r w:rsidRPr="00CE70F0">
        <w:rPr>
          <w:rFonts w:ascii="Arial" w:hAnsi="Arial" w:cs="Arial"/>
        </w:rPr>
        <w:t xml:space="preserve"> a touto Smlouvou, se </w:t>
      </w:r>
      <w:r w:rsidR="00C903B9" w:rsidRPr="00CE70F0">
        <w:rPr>
          <w:rFonts w:ascii="Arial" w:hAnsi="Arial" w:cs="Arial"/>
        </w:rPr>
        <w:t xml:space="preserve">přiměřeně řídí </w:t>
      </w:r>
      <w:r w:rsidRPr="00CE70F0">
        <w:rPr>
          <w:rFonts w:ascii="Arial" w:hAnsi="Arial" w:cs="Arial"/>
        </w:rPr>
        <w:t>občanským zákoníkem a dalšími příslušnými právními předpisy.</w:t>
      </w:r>
    </w:p>
    <w:p w:rsidR="005B7868" w:rsidRPr="00CE70F0" w:rsidRDefault="005B7868" w:rsidP="00CE70F0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:rsidR="005B7868" w:rsidRPr="00CE70F0" w:rsidRDefault="005B7868" w:rsidP="005905BE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Všechny spory vyplývající z této Smlouvy a s touto Smlouvou související budou řešeny u příslušného soudu v České republice. Smluvní strany se dle § 89a zákona č. 99/1963 Sb., občanského soudního řádu, dohodly na místní příslušnosti soudu, která bude dána místem sídla </w:t>
      </w:r>
      <w:r w:rsidR="00945428" w:rsidRPr="00CE70F0">
        <w:rPr>
          <w:rFonts w:ascii="Arial" w:hAnsi="Arial" w:cs="Arial"/>
        </w:rPr>
        <w:lastRenderedPageBreak/>
        <w:t>Pojišťovny</w:t>
      </w:r>
      <w:r w:rsidRPr="00CE70F0">
        <w:rPr>
          <w:rFonts w:ascii="Arial" w:hAnsi="Arial" w:cs="Arial"/>
        </w:rPr>
        <w:t>. Smluvní strany se zavazují, že vynaloží veškeré rozumné úsilí k tomu, aby jakoukoli spornou záležitost související s touto Smlouvou, vyřešili prioritně smírnou cestou.</w:t>
      </w:r>
    </w:p>
    <w:p w:rsidR="00FB49AD" w:rsidRDefault="00FB49AD" w:rsidP="00CE70F0">
      <w:pPr>
        <w:spacing w:before="240"/>
        <w:contextualSpacing/>
        <w:jc w:val="center"/>
        <w:rPr>
          <w:rFonts w:ascii="Arial" w:hAnsi="Arial" w:cs="Arial"/>
          <w:b/>
        </w:rPr>
      </w:pPr>
    </w:p>
    <w:p w:rsidR="005F3408" w:rsidRPr="00CE70F0" w:rsidRDefault="005F3408" w:rsidP="00CE70F0">
      <w:pPr>
        <w:spacing w:before="240"/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Článek X</w:t>
      </w:r>
      <w:r w:rsidR="00584188" w:rsidRPr="00CE70F0">
        <w:rPr>
          <w:rFonts w:ascii="Arial" w:hAnsi="Arial" w:cs="Arial"/>
          <w:b/>
        </w:rPr>
        <w:t>V</w:t>
      </w:r>
      <w:r w:rsidR="00730807" w:rsidRPr="00CE70F0">
        <w:rPr>
          <w:rFonts w:ascii="Arial" w:hAnsi="Arial" w:cs="Arial"/>
          <w:b/>
        </w:rPr>
        <w:t>.</w:t>
      </w:r>
    </w:p>
    <w:p w:rsidR="005F3408" w:rsidRPr="00CE70F0" w:rsidRDefault="005F3408" w:rsidP="00CE70F0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Závěrečná ustanovení</w:t>
      </w:r>
    </w:p>
    <w:p w:rsidR="005F3408" w:rsidRPr="00CE70F0" w:rsidRDefault="005F3408" w:rsidP="00CE70F0">
      <w:pPr>
        <w:tabs>
          <w:tab w:val="left" w:pos="0"/>
        </w:tabs>
        <w:spacing w:before="120"/>
        <w:ind w:left="567"/>
        <w:contextualSpacing/>
        <w:jc w:val="both"/>
        <w:rPr>
          <w:rFonts w:ascii="Arial" w:hAnsi="Arial" w:cs="Arial"/>
        </w:rPr>
      </w:pPr>
    </w:p>
    <w:p w:rsidR="00E87713" w:rsidRPr="00CE70F0" w:rsidRDefault="005B7868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Tato Smlouva nabývá platnosti dnem </w:t>
      </w:r>
      <w:r w:rsidR="007B72C5" w:rsidRPr="00CE70F0">
        <w:rPr>
          <w:rFonts w:ascii="Arial" w:hAnsi="Arial" w:cs="Arial"/>
        </w:rPr>
        <w:t xml:space="preserve">podpisu </w:t>
      </w:r>
      <w:r w:rsidR="002E7B3A" w:rsidRPr="00CE70F0">
        <w:rPr>
          <w:rFonts w:ascii="Arial" w:hAnsi="Arial" w:cs="Arial"/>
        </w:rPr>
        <w:t xml:space="preserve">druhou </w:t>
      </w:r>
      <w:r w:rsidR="007B72C5" w:rsidRPr="00CE70F0">
        <w:rPr>
          <w:rFonts w:ascii="Arial" w:hAnsi="Arial" w:cs="Arial"/>
        </w:rPr>
        <w:t>smluvní stran</w:t>
      </w:r>
      <w:r w:rsidR="00CC7C9B" w:rsidRPr="00CE70F0">
        <w:rPr>
          <w:rFonts w:ascii="Arial" w:hAnsi="Arial" w:cs="Arial"/>
        </w:rPr>
        <w:t>ou</w:t>
      </w:r>
      <w:r w:rsidR="007D0EC7" w:rsidRPr="00CE70F0">
        <w:rPr>
          <w:rFonts w:ascii="Arial" w:hAnsi="Arial" w:cs="Arial"/>
        </w:rPr>
        <w:t xml:space="preserve"> a účinnosti dnem uveřejnění Smlouvy v registru smluv nebo dnem</w:t>
      </w:r>
      <w:r w:rsidR="0056163D" w:rsidRPr="00CE70F0">
        <w:rPr>
          <w:rFonts w:ascii="Arial" w:hAnsi="Arial" w:cs="Arial"/>
        </w:rPr>
        <w:t xml:space="preserve"> </w:t>
      </w:r>
      <w:r w:rsidR="00612DC0" w:rsidRPr="00CE70F0">
        <w:rPr>
          <w:rFonts w:ascii="Arial" w:hAnsi="Arial" w:cs="Arial"/>
        </w:rPr>
        <w:t xml:space="preserve">vykonatelnosti či </w:t>
      </w:r>
      <w:r w:rsidR="0056163D" w:rsidRPr="00CE70F0">
        <w:rPr>
          <w:rFonts w:ascii="Arial" w:hAnsi="Arial" w:cs="Arial"/>
        </w:rPr>
        <w:t>předběžné vykonatelnosti rozhodnutí Ústavu v </w:t>
      </w:r>
      <w:r w:rsidR="002E7B3A" w:rsidRPr="00CE70F0">
        <w:rPr>
          <w:rFonts w:ascii="Arial" w:hAnsi="Arial" w:cs="Arial"/>
        </w:rPr>
        <w:t>P</w:t>
      </w:r>
      <w:r w:rsidR="0056163D" w:rsidRPr="00CE70F0">
        <w:rPr>
          <w:rFonts w:ascii="Arial" w:hAnsi="Arial" w:cs="Arial"/>
        </w:rPr>
        <w:t>ředmětném správním řízení</w:t>
      </w:r>
      <w:r w:rsidR="00532519">
        <w:rPr>
          <w:rFonts w:ascii="Arial" w:hAnsi="Arial" w:cs="Arial"/>
        </w:rPr>
        <w:t xml:space="preserve">, </w:t>
      </w:r>
      <w:r w:rsidR="007D0EC7" w:rsidRPr="00CE70F0">
        <w:rPr>
          <w:rFonts w:ascii="Arial" w:hAnsi="Arial" w:cs="Arial"/>
        </w:rPr>
        <w:t>nastane-li tento okamžik později.</w:t>
      </w:r>
    </w:p>
    <w:p w:rsidR="00DA027D" w:rsidRPr="00CE70F0" w:rsidRDefault="00DA027D" w:rsidP="00CE70F0">
      <w:pPr>
        <w:spacing w:before="120"/>
        <w:ind w:left="426"/>
        <w:contextualSpacing/>
        <w:jc w:val="both"/>
        <w:rPr>
          <w:rFonts w:ascii="Arial" w:hAnsi="Arial" w:cs="Arial"/>
        </w:rPr>
      </w:pPr>
    </w:p>
    <w:p w:rsidR="00F2678B" w:rsidRPr="00CE70F0" w:rsidRDefault="005F3408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Tato Smlouva může být měněna nebo doplňována pouze formou písemného číslovaného dodatku podepsaného </w:t>
      </w:r>
      <w:r w:rsidR="005B7868" w:rsidRPr="00CE70F0">
        <w:rPr>
          <w:rFonts w:ascii="Arial" w:hAnsi="Arial" w:cs="Arial"/>
        </w:rPr>
        <w:t xml:space="preserve">na znamení souhlasu </w:t>
      </w:r>
      <w:r w:rsidR="00F2678B" w:rsidRPr="00CE70F0">
        <w:rPr>
          <w:rFonts w:ascii="Arial" w:hAnsi="Arial" w:cs="Arial"/>
        </w:rPr>
        <w:t>oběma smluvními stranami.</w:t>
      </w:r>
      <w:r w:rsidR="00945428" w:rsidRPr="00CE70F0">
        <w:rPr>
          <w:rFonts w:ascii="Arial" w:hAnsi="Arial" w:cs="Arial"/>
        </w:rPr>
        <w:t xml:space="preserve"> Za písemnou formu nebude pro tento účel považována výměna e-mailových zpráv.</w:t>
      </w:r>
    </w:p>
    <w:p w:rsidR="00F2678B" w:rsidRPr="00CE70F0" w:rsidRDefault="00F2678B" w:rsidP="00CE70F0">
      <w:pPr>
        <w:pStyle w:val="ListParagraph"/>
        <w:rPr>
          <w:rFonts w:ascii="Arial" w:hAnsi="Arial" w:cs="Arial"/>
        </w:rPr>
      </w:pPr>
    </w:p>
    <w:p w:rsidR="00342C73" w:rsidRPr="00F778E4" w:rsidRDefault="00342C73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778E4">
        <w:rPr>
          <w:rFonts w:ascii="Arial" w:hAnsi="Arial" w:cs="Arial"/>
        </w:rPr>
        <w:t>Smlouva je vyhotovena ve 2 stejnopisech, z nichž každá smluvní strana obdrží 1 vyhotovení.</w:t>
      </w:r>
    </w:p>
    <w:p w:rsidR="005F3408" w:rsidRPr="00CE70F0" w:rsidRDefault="005F3408" w:rsidP="00CE70F0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:rsidR="005F3408" w:rsidRDefault="005F3408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si před podpisem tuto Smlouvu řádně přečetly a svůj souhlas s obsahem jednotlivých ustanovení této Smlouvy stvrzují svým podpisem.</w:t>
      </w:r>
    </w:p>
    <w:p w:rsidR="00BB2A7A" w:rsidRDefault="00BB2A7A" w:rsidP="00BB2A7A">
      <w:pPr>
        <w:spacing w:before="120"/>
        <w:ind w:left="426"/>
        <w:contextualSpacing/>
        <w:jc w:val="both"/>
        <w:rPr>
          <w:rFonts w:ascii="Arial" w:hAnsi="Arial" w:cs="Arial"/>
        </w:rPr>
      </w:pPr>
    </w:p>
    <w:p w:rsidR="00BB2A7A" w:rsidRPr="00CE70F0" w:rsidRDefault="00BB2A7A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 uzavřením Smlouvy je Držitel povinen před</w:t>
      </w:r>
      <w:r w:rsidR="00E44A55">
        <w:rPr>
          <w:rFonts w:ascii="Arial" w:hAnsi="Arial" w:cs="Arial"/>
        </w:rPr>
        <w:t>a</w:t>
      </w:r>
      <w:r>
        <w:rPr>
          <w:rFonts w:ascii="Arial" w:hAnsi="Arial" w:cs="Arial"/>
        </w:rPr>
        <w:t>t Pojišťovně platnou plnou moc, jíž zmoc</w:t>
      </w:r>
      <w:r w:rsidR="00E44A55">
        <w:rPr>
          <w:rFonts w:ascii="Arial" w:hAnsi="Arial" w:cs="Arial"/>
        </w:rPr>
        <w:t>ňuje svého Lokálního zástupce.</w:t>
      </w:r>
      <w:r>
        <w:rPr>
          <w:rFonts w:ascii="Arial" w:hAnsi="Arial" w:cs="Arial"/>
        </w:rPr>
        <w:t xml:space="preserve"> </w:t>
      </w:r>
    </w:p>
    <w:p w:rsidR="005F3408" w:rsidRPr="00CE70F0" w:rsidRDefault="005F3408" w:rsidP="00CE70F0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:rsidR="004572DD" w:rsidRPr="00CE70F0" w:rsidRDefault="005F3408" w:rsidP="005905BE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Nedílnou součástí této Smlouvy jsou následující přílohy: </w:t>
      </w:r>
    </w:p>
    <w:p w:rsidR="004572DD" w:rsidRPr="00CE70F0" w:rsidRDefault="005F3408" w:rsidP="009E397B">
      <w:pPr>
        <w:spacing w:before="120"/>
        <w:ind w:firstLine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Příloha č. 1</w:t>
      </w:r>
      <w:r w:rsidR="006E4612" w:rsidRPr="00CE70F0">
        <w:rPr>
          <w:rFonts w:ascii="Arial" w:hAnsi="Arial" w:cs="Arial"/>
        </w:rPr>
        <w:t xml:space="preserve"> – </w:t>
      </w:r>
      <w:r w:rsidR="00046CE5" w:rsidRPr="00CE70F0">
        <w:rPr>
          <w:rFonts w:ascii="Arial" w:hAnsi="Arial" w:cs="Arial"/>
        </w:rPr>
        <w:t>Specifikace Přípravku</w:t>
      </w:r>
      <w:r w:rsidR="005C51E0">
        <w:rPr>
          <w:rFonts w:ascii="Arial" w:hAnsi="Arial" w:cs="Arial"/>
        </w:rPr>
        <w:t xml:space="preserve"> a způsob určení </w:t>
      </w:r>
      <w:r w:rsidR="00C856CA" w:rsidRPr="00CE70F0">
        <w:rPr>
          <w:rFonts w:ascii="Arial" w:hAnsi="Arial" w:cs="Arial"/>
        </w:rPr>
        <w:t xml:space="preserve">výše </w:t>
      </w:r>
      <w:r w:rsidR="00BB710C" w:rsidRPr="00CE70F0">
        <w:rPr>
          <w:rFonts w:ascii="Arial" w:hAnsi="Arial" w:cs="Arial"/>
        </w:rPr>
        <w:t>Limitované k</w:t>
      </w:r>
      <w:r w:rsidR="006E6329" w:rsidRPr="00CE70F0">
        <w:rPr>
          <w:rFonts w:ascii="Arial" w:hAnsi="Arial" w:cs="Arial"/>
        </w:rPr>
        <w:t>ompenzace</w:t>
      </w:r>
      <w:r w:rsidR="005C51E0">
        <w:rPr>
          <w:rFonts w:ascii="Arial" w:hAnsi="Arial" w:cs="Arial"/>
        </w:rPr>
        <w:t xml:space="preserve"> a Limitu</w:t>
      </w:r>
    </w:p>
    <w:p w:rsidR="003E391C" w:rsidRDefault="003E391C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9E397B" w:rsidRDefault="009E397B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9E397B" w:rsidRDefault="009E397B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953BBF" w:rsidRDefault="00953BBF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953BBF" w:rsidRDefault="00953BBF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E397B" w:rsidRPr="00C53BC8" w:rsidTr="00B94388"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V Praze dne ……………………………….</w:t>
            </w: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V Praze dne 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9E397B" w:rsidRPr="00C53BC8" w:rsidTr="00B94388"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E397B" w:rsidRPr="00C53BC8" w:rsidTr="00B94388"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Za Držitele:</w:t>
            </w:r>
          </w:p>
        </w:tc>
      </w:tr>
      <w:tr w:rsidR="009E397B" w:rsidRPr="00C53BC8" w:rsidTr="00B94388"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BC8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BC8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</w:tr>
      <w:tr w:rsidR="009E397B" w:rsidRPr="00C53BC8" w:rsidTr="00B94388">
        <w:trPr>
          <w:trHeight w:val="1288"/>
        </w:trPr>
        <w:tc>
          <w:tcPr>
            <w:tcW w:w="4606" w:type="dxa"/>
          </w:tcPr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</w:tr>
      <w:tr w:rsidR="009E397B" w:rsidRPr="00C53BC8" w:rsidTr="00B94388"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MUDr. Milan Krotký</w:t>
            </w:r>
          </w:p>
        </w:tc>
        <w:tc>
          <w:tcPr>
            <w:tcW w:w="4606" w:type="dxa"/>
          </w:tcPr>
          <w:p w:rsidR="009E397B" w:rsidRPr="00C53BC8" w:rsidRDefault="0060115C" w:rsidP="00B943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Ivan Ťurek</w:t>
            </w:r>
          </w:p>
        </w:tc>
      </w:tr>
      <w:tr w:rsidR="009E397B" w:rsidRPr="00C53BC8" w:rsidTr="00B94388">
        <w:tc>
          <w:tcPr>
            <w:tcW w:w="4606" w:type="dxa"/>
            <w:vMerge w:val="restart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ředitel Odboru léčiv a zdravotnických prostředků</w:t>
            </w:r>
          </w:p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  <w:r w:rsidRPr="00C53BC8">
              <w:rPr>
                <w:rFonts w:ascii="Arial" w:hAnsi="Arial" w:cs="Arial"/>
              </w:rPr>
              <w:t>VZP ČR</w:t>
            </w:r>
          </w:p>
        </w:tc>
        <w:tc>
          <w:tcPr>
            <w:tcW w:w="4606" w:type="dxa"/>
          </w:tcPr>
          <w:p w:rsidR="009E397B" w:rsidRPr="00C53BC8" w:rsidRDefault="00A37635" w:rsidP="00B943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zmocněnec na základě plné moci</w:t>
            </w:r>
          </w:p>
        </w:tc>
      </w:tr>
      <w:tr w:rsidR="009E397B" w:rsidRPr="00C53BC8" w:rsidTr="00B94388">
        <w:tc>
          <w:tcPr>
            <w:tcW w:w="4606" w:type="dxa"/>
            <w:vMerge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E397B" w:rsidRPr="00C53BC8" w:rsidRDefault="009E397B" w:rsidP="00B943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953BBF" w:rsidRPr="00CE70F0" w:rsidRDefault="00953BBF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DD7E7C" w:rsidRPr="00CE70F0" w:rsidRDefault="00DD7E7C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98426C" w:rsidRDefault="0098426C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p w:rsidR="000233A4" w:rsidRDefault="000233A4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33A4" w:rsidRDefault="000233A4" w:rsidP="000233A4">
      <w:pPr>
        <w:jc w:val="center"/>
        <w:rPr>
          <w:rFonts w:ascii="Arial" w:hAnsi="Arial" w:cs="Arial"/>
          <w:b/>
        </w:rPr>
      </w:pPr>
    </w:p>
    <w:p w:rsidR="000233A4" w:rsidRPr="003362F5" w:rsidRDefault="000233A4" w:rsidP="000233A4">
      <w:pPr>
        <w:jc w:val="center"/>
        <w:rPr>
          <w:rFonts w:ascii="Arial" w:hAnsi="Arial" w:cs="Arial"/>
          <w:b/>
        </w:rPr>
      </w:pPr>
      <w:r w:rsidRPr="003362F5">
        <w:rPr>
          <w:rFonts w:ascii="Arial" w:hAnsi="Arial" w:cs="Arial"/>
          <w:b/>
        </w:rPr>
        <w:t>OBCHODNÍ TAJEMSTVÍ společnosti Celgene Europe Limited</w:t>
      </w:r>
    </w:p>
    <w:p w:rsidR="000233A4" w:rsidRPr="001A5A9D" w:rsidRDefault="000233A4" w:rsidP="000233A4">
      <w:pPr>
        <w:jc w:val="center"/>
        <w:rPr>
          <w:rFonts w:ascii="Arial" w:hAnsi="Arial" w:cs="Arial"/>
          <w:b/>
        </w:rPr>
      </w:pPr>
    </w:p>
    <w:p w:rsidR="000233A4" w:rsidRDefault="000233A4" w:rsidP="000233A4">
      <w:pPr>
        <w:jc w:val="center"/>
        <w:rPr>
          <w:rFonts w:ascii="Arial" w:hAnsi="Arial" w:cs="Arial"/>
          <w:b/>
          <w:sz w:val="24"/>
          <w:szCs w:val="24"/>
        </w:rPr>
      </w:pPr>
      <w:r w:rsidRPr="00C871F8">
        <w:rPr>
          <w:rFonts w:ascii="Arial" w:hAnsi="Arial" w:cs="Arial"/>
          <w:b/>
          <w:sz w:val="24"/>
          <w:szCs w:val="24"/>
        </w:rPr>
        <w:t>Příloha č. 1 – Specifikace Přípravku</w:t>
      </w:r>
    </w:p>
    <w:p w:rsidR="000233A4" w:rsidRPr="00C871F8" w:rsidRDefault="000233A4" w:rsidP="000233A4">
      <w:pPr>
        <w:jc w:val="center"/>
        <w:rPr>
          <w:rFonts w:ascii="Arial" w:hAnsi="Arial" w:cs="Arial"/>
          <w:b/>
          <w:sz w:val="24"/>
          <w:szCs w:val="24"/>
        </w:rPr>
      </w:pPr>
      <w:r w:rsidRPr="00C871F8">
        <w:rPr>
          <w:rFonts w:ascii="Arial" w:hAnsi="Arial" w:cs="Arial"/>
          <w:b/>
          <w:sz w:val="24"/>
          <w:szCs w:val="24"/>
        </w:rPr>
        <w:t xml:space="preserve">a způsob určení Limitované kompenzace a </w:t>
      </w:r>
      <w:r>
        <w:rPr>
          <w:rFonts w:ascii="Arial" w:hAnsi="Arial" w:cs="Arial"/>
          <w:b/>
          <w:sz w:val="24"/>
          <w:szCs w:val="24"/>
        </w:rPr>
        <w:t>Limitu</w:t>
      </w:r>
    </w:p>
    <w:p w:rsidR="000233A4" w:rsidRPr="00C871F8" w:rsidRDefault="000233A4" w:rsidP="000233A4">
      <w:pPr>
        <w:pStyle w:val="Title"/>
        <w:contextualSpacing/>
        <w:rPr>
          <w:rFonts w:ascii="Arial" w:hAnsi="Arial" w:cs="Arial"/>
          <w:b w:val="0"/>
          <w:sz w:val="24"/>
          <w:szCs w:val="24"/>
        </w:rPr>
      </w:pPr>
      <w:r w:rsidRPr="00C871F8">
        <w:rPr>
          <w:rFonts w:ascii="Arial" w:hAnsi="Arial" w:cs="Arial"/>
          <w:sz w:val="24"/>
          <w:szCs w:val="24"/>
        </w:rPr>
        <w:t xml:space="preserve">ke Smlouvě o limitaci rizik spojených s hrazením léčivého přípravku </w:t>
      </w:r>
    </w:p>
    <w:p w:rsidR="000233A4" w:rsidRPr="00C871F8" w:rsidRDefault="000233A4" w:rsidP="000233A4">
      <w:pPr>
        <w:jc w:val="center"/>
        <w:rPr>
          <w:rFonts w:ascii="Arial" w:hAnsi="Arial" w:cs="Arial"/>
          <w:sz w:val="24"/>
          <w:szCs w:val="24"/>
        </w:rPr>
      </w:pPr>
      <w:r w:rsidRPr="00C871F8">
        <w:rPr>
          <w:rFonts w:ascii="Arial" w:hAnsi="Arial" w:cs="Arial"/>
          <w:sz w:val="24"/>
          <w:szCs w:val="24"/>
        </w:rPr>
        <w:t>č. ……/2016</w:t>
      </w:r>
    </w:p>
    <w:p w:rsidR="000233A4" w:rsidRDefault="000233A4" w:rsidP="000233A4">
      <w:pPr>
        <w:jc w:val="both"/>
        <w:rPr>
          <w:rFonts w:ascii="Arial" w:hAnsi="Arial" w:cs="Arial"/>
          <w:b/>
        </w:rPr>
      </w:pPr>
    </w:p>
    <w:p w:rsidR="000233A4" w:rsidRPr="003969E1" w:rsidRDefault="000233A4" w:rsidP="005905BE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3969E1">
        <w:rPr>
          <w:rFonts w:ascii="Arial" w:hAnsi="Arial" w:cs="Arial"/>
          <w:bCs/>
        </w:rPr>
        <w:t>xxxxxxxxxxxxxxxxxxxxx</w:t>
      </w:r>
    </w:p>
    <w:p w:rsidR="000233A4" w:rsidRPr="003969E1" w:rsidRDefault="000233A4" w:rsidP="000233A4">
      <w:pPr>
        <w:pStyle w:val="ListParagraph"/>
        <w:ind w:left="426"/>
        <w:rPr>
          <w:rFonts w:ascii="Arial" w:hAnsi="Arial" w:cs="Arial"/>
        </w:rPr>
      </w:pPr>
    </w:p>
    <w:p w:rsidR="000233A4" w:rsidRPr="003969E1" w:rsidRDefault="000233A4" w:rsidP="005905BE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3969E1">
        <w:rPr>
          <w:rFonts w:ascii="Arial" w:hAnsi="Arial" w:cs="Arial"/>
          <w:bCs/>
        </w:rPr>
        <w:t>xxxxxxxxxxxxxxxxxxxxx</w:t>
      </w:r>
      <w:r w:rsidRPr="003969E1">
        <w:rPr>
          <w:rFonts w:ascii="Arial" w:hAnsi="Arial" w:cs="Arial"/>
        </w:rPr>
        <w:t xml:space="preserve"> </w:t>
      </w:r>
    </w:p>
    <w:p w:rsidR="000233A4" w:rsidRPr="003969E1" w:rsidRDefault="000233A4" w:rsidP="000233A4">
      <w:pPr>
        <w:pStyle w:val="ListParagraph"/>
        <w:ind w:left="426"/>
        <w:rPr>
          <w:rFonts w:ascii="Arial" w:hAnsi="Arial" w:cs="Arial"/>
        </w:rPr>
      </w:pPr>
    </w:p>
    <w:p w:rsidR="000233A4" w:rsidRPr="003969E1" w:rsidRDefault="000233A4" w:rsidP="005905BE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3969E1">
        <w:rPr>
          <w:rFonts w:ascii="Arial" w:hAnsi="Arial" w:cs="Arial"/>
          <w:bCs/>
        </w:rPr>
        <w:t>xxxxxxxxxxxxxxxxxxxxx</w:t>
      </w:r>
    </w:p>
    <w:p w:rsidR="000233A4" w:rsidRPr="00CE70F0" w:rsidRDefault="000233A4" w:rsidP="00CE70F0">
      <w:pPr>
        <w:spacing w:before="240" w:after="120"/>
        <w:ind w:left="426"/>
        <w:contextualSpacing/>
        <w:rPr>
          <w:rFonts w:ascii="Arial" w:hAnsi="Arial" w:cs="Arial"/>
        </w:rPr>
      </w:pPr>
    </w:p>
    <w:sectPr w:rsidR="000233A4" w:rsidRPr="00CE70F0" w:rsidSect="00F102D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C7" w:rsidRDefault="00FA72C7" w:rsidP="00C442AF">
      <w:r>
        <w:separator/>
      </w:r>
    </w:p>
  </w:endnote>
  <w:endnote w:type="continuationSeparator" w:id="0">
    <w:p w:rsidR="00FA72C7" w:rsidRDefault="00FA72C7" w:rsidP="00C4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311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149D7" w:rsidRDefault="00D149D7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C665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C6655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="00C803B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49D7" w:rsidRDefault="00D149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993440"/>
      <w:docPartObj>
        <w:docPartGallery w:val="Page Numbers (Bottom of Page)"/>
        <w:docPartUnique/>
      </w:docPartObj>
    </w:sdtPr>
    <w:sdtContent>
      <w:sdt>
        <w:sdtPr>
          <w:id w:val="-1436443798"/>
          <w:docPartObj>
            <w:docPartGallery w:val="Page Numbers (Top of Page)"/>
            <w:docPartUnique/>
          </w:docPartObj>
        </w:sdtPr>
        <w:sdtContent>
          <w:p w:rsidR="00D149D7" w:rsidRDefault="00D149D7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C665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C6655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="00C803B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49D7" w:rsidRDefault="00D149D7">
    <w:pPr>
      <w:pStyle w:val="Footer"/>
    </w:pPr>
  </w:p>
  <w:p w:rsidR="00D149D7" w:rsidRDefault="00D149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C7" w:rsidRDefault="00FA72C7" w:rsidP="00C442AF">
      <w:r>
        <w:separator/>
      </w:r>
    </w:p>
  </w:footnote>
  <w:footnote w:type="continuationSeparator" w:id="0">
    <w:p w:rsidR="00FA72C7" w:rsidRDefault="00FA72C7" w:rsidP="00C442AF">
      <w:r>
        <w:continuationSeparator/>
      </w:r>
    </w:p>
  </w:footnote>
  <w:footnote w:id="1">
    <w:p w:rsidR="00A05607" w:rsidRDefault="00A05607" w:rsidP="00A0560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Cenový předpis Ministerstva zdravotnictví č. 1/2013/FAR, o regulaci cen léčivých přípravků a potravin pro zvláštní lékařské účely, Zákon č. 235/2004 Sb., o dani z přidané hodnoty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D7" w:rsidRPr="00FB3CCF" w:rsidRDefault="00D149D7">
    <w:pPr>
      <w:pStyle w:val="Header"/>
      <w:rPr>
        <w:rFonts w:ascii="Arial" w:hAnsi="Arial" w:cs="Arial"/>
        <w:sz w:val="16"/>
        <w:szCs w:val="16"/>
      </w:rPr>
    </w:pPr>
    <w:r>
      <w:rPr>
        <w:noProof/>
        <w:lang w:val="en-US" w:eastAsia="ja-JP"/>
      </w:rPr>
      <w:drawing>
        <wp:inline distT="0" distB="0" distL="0" distR="0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149D7" w:rsidRDefault="00D149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B55"/>
    <w:multiLevelType w:val="hybridMultilevel"/>
    <w:tmpl w:val="D83CF79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3A1D1F"/>
    <w:multiLevelType w:val="hybridMultilevel"/>
    <w:tmpl w:val="BA0602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C1FB3"/>
    <w:multiLevelType w:val="hybridMultilevel"/>
    <w:tmpl w:val="963C01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72DA"/>
    <w:multiLevelType w:val="hybridMultilevel"/>
    <w:tmpl w:val="E11A221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4D02"/>
    <w:multiLevelType w:val="hybridMultilevel"/>
    <w:tmpl w:val="F612C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C7D69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B1118D1"/>
    <w:multiLevelType w:val="hybridMultilevel"/>
    <w:tmpl w:val="3452B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C35C9"/>
    <w:multiLevelType w:val="hybridMultilevel"/>
    <w:tmpl w:val="9A1A5AE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17A76"/>
    <w:multiLevelType w:val="hybridMultilevel"/>
    <w:tmpl w:val="94589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C2897"/>
    <w:multiLevelType w:val="hybridMultilevel"/>
    <w:tmpl w:val="FF8A1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7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B55A1D"/>
    <w:multiLevelType w:val="hybridMultilevel"/>
    <w:tmpl w:val="8CA661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A7482B"/>
    <w:multiLevelType w:val="hybridMultilevel"/>
    <w:tmpl w:val="DA349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F7852"/>
    <w:multiLevelType w:val="hybridMultilevel"/>
    <w:tmpl w:val="0C42BFCA"/>
    <w:lvl w:ilvl="0" w:tplc="F0241B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7"/>
  </w:num>
  <w:num w:numId="5">
    <w:abstractNumId w:val="19"/>
  </w:num>
  <w:num w:numId="6">
    <w:abstractNumId w:val="5"/>
  </w:num>
  <w:num w:numId="7">
    <w:abstractNumId w:val="22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  <w:num w:numId="18">
    <w:abstractNumId w:val="4"/>
  </w:num>
  <w:num w:numId="19">
    <w:abstractNumId w:val="20"/>
  </w:num>
  <w:num w:numId="20">
    <w:abstractNumId w:val="10"/>
  </w:num>
  <w:num w:numId="21">
    <w:abstractNumId w:val="23"/>
  </w:num>
  <w:num w:numId="22">
    <w:abstractNumId w:val="1"/>
  </w:num>
  <w:num w:numId="23">
    <w:abstractNumId w:val="8"/>
  </w:num>
  <w:num w:numId="2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8448B"/>
    <w:rsid w:val="00000917"/>
    <w:rsid w:val="0000102D"/>
    <w:rsid w:val="00002C96"/>
    <w:rsid w:val="00006646"/>
    <w:rsid w:val="00013AA4"/>
    <w:rsid w:val="000233A4"/>
    <w:rsid w:val="00026C93"/>
    <w:rsid w:val="0003190C"/>
    <w:rsid w:val="00033258"/>
    <w:rsid w:val="000418D7"/>
    <w:rsid w:val="00046CE5"/>
    <w:rsid w:val="000476B9"/>
    <w:rsid w:val="00047F6B"/>
    <w:rsid w:val="00050948"/>
    <w:rsid w:val="0005183C"/>
    <w:rsid w:val="00052964"/>
    <w:rsid w:val="00053A66"/>
    <w:rsid w:val="0005422F"/>
    <w:rsid w:val="000563F0"/>
    <w:rsid w:val="00061DAD"/>
    <w:rsid w:val="00061DDB"/>
    <w:rsid w:val="000666A0"/>
    <w:rsid w:val="00070056"/>
    <w:rsid w:val="00072993"/>
    <w:rsid w:val="00080C23"/>
    <w:rsid w:val="0008513D"/>
    <w:rsid w:val="000868CB"/>
    <w:rsid w:val="00090005"/>
    <w:rsid w:val="0009104E"/>
    <w:rsid w:val="0009274F"/>
    <w:rsid w:val="00093E95"/>
    <w:rsid w:val="0009484E"/>
    <w:rsid w:val="0009512B"/>
    <w:rsid w:val="000A3E13"/>
    <w:rsid w:val="000A4A29"/>
    <w:rsid w:val="000A5DC1"/>
    <w:rsid w:val="000A6414"/>
    <w:rsid w:val="000B0A1B"/>
    <w:rsid w:val="000B1D7D"/>
    <w:rsid w:val="000B29C1"/>
    <w:rsid w:val="000B4AD7"/>
    <w:rsid w:val="000B743A"/>
    <w:rsid w:val="000C1C3B"/>
    <w:rsid w:val="000C1EE7"/>
    <w:rsid w:val="000C41D1"/>
    <w:rsid w:val="000C4600"/>
    <w:rsid w:val="000D4761"/>
    <w:rsid w:val="000D73F3"/>
    <w:rsid w:val="000E2D21"/>
    <w:rsid w:val="000E30CE"/>
    <w:rsid w:val="000E4E74"/>
    <w:rsid w:val="000E539F"/>
    <w:rsid w:val="00102723"/>
    <w:rsid w:val="00102ECD"/>
    <w:rsid w:val="00103EE3"/>
    <w:rsid w:val="00112A42"/>
    <w:rsid w:val="00122E30"/>
    <w:rsid w:val="0012303F"/>
    <w:rsid w:val="001257FF"/>
    <w:rsid w:val="00125F67"/>
    <w:rsid w:val="00136D49"/>
    <w:rsid w:val="00140FF5"/>
    <w:rsid w:val="0014268F"/>
    <w:rsid w:val="00142985"/>
    <w:rsid w:val="001451FA"/>
    <w:rsid w:val="00152B54"/>
    <w:rsid w:val="0016579F"/>
    <w:rsid w:val="00165C0B"/>
    <w:rsid w:val="001665DF"/>
    <w:rsid w:val="00171751"/>
    <w:rsid w:val="0017428C"/>
    <w:rsid w:val="001749DD"/>
    <w:rsid w:val="00175DFD"/>
    <w:rsid w:val="00175FCB"/>
    <w:rsid w:val="00180B65"/>
    <w:rsid w:val="0018190B"/>
    <w:rsid w:val="00181FAB"/>
    <w:rsid w:val="00184FA8"/>
    <w:rsid w:val="001854DD"/>
    <w:rsid w:val="00187A08"/>
    <w:rsid w:val="00192A0A"/>
    <w:rsid w:val="00193BC7"/>
    <w:rsid w:val="0019602D"/>
    <w:rsid w:val="0019760E"/>
    <w:rsid w:val="001979F1"/>
    <w:rsid w:val="001A1DD4"/>
    <w:rsid w:val="001A1EAD"/>
    <w:rsid w:val="001A52EB"/>
    <w:rsid w:val="001A549A"/>
    <w:rsid w:val="001B16F3"/>
    <w:rsid w:val="001B45EE"/>
    <w:rsid w:val="001B5836"/>
    <w:rsid w:val="001B7062"/>
    <w:rsid w:val="001B77C6"/>
    <w:rsid w:val="001C1B95"/>
    <w:rsid w:val="001C382A"/>
    <w:rsid w:val="001C3D62"/>
    <w:rsid w:val="001C50F2"/>
    <w:rsid w:val="001D024B"/>
    <w:rsid w:val="001D02F5"/>
    <w:rsid w:val="001D5352"/>
    <w:rsid w:val="001D5CAA"/>
    <w:rsid w:val="001D6DBC"/>
    <w:rsid w:val="001D7BE5"/>
    <w:rsid w:val="001E0F89"/>
    <w:rsid w:val="001E1745"/>
    <w:rsid w:val="001E1B87"/>
    <w:rsid w:val="001E259D"/>
    <w:rsid w:val="001E2F29"/>
    <w:rsid w:val="001E5480"/>
    <w:rsid w:val="001E657A"/>
    <w:rsid w:val="001E6699"/>
    <w:rsid w:val="001E687F"/>
    <w:rsid w:val="001E6F12"/>
    <w:rsid w:val="001F406B"/>
    <w:rsid w:val="001F5BB6"/>
    <w:rsid w:val="00200787"/>
    <w:rsid w:val="002009FC"/>
    <w:rsid w:val="0020181C"/>
    <w:rsid w:val="00201A07"/>
    <w:rsid w:val="002064A2"/>
    <w:rsid w:val="00207AA5"/>
    <w:rsid w:val="00211D0B"/>
    <w:rsid w:val="00212EB8"/>
    <w:rsid w:val="00215A6C"/>
    <w:rsid w:val="0021757A"/>
    <w:rsid w:val="0022156F"/>
    <w:rsid w:val="002266FE"/>
    <w:rsid w:val="0022679D"/>
    <w:rsid w:val="00227892"/>
    <w:rsid w:val="00230581"/>
    <w:rsid w:val="0023065E"/>
    <w:rsid w:val="00232201"/>
    <w:rsid w:val="00232829"/>
    <w:rsid w:val="00241247"/>
    <w:rsid w:val="00242AE1"/>
    <w:rsid w:val="0024792B"/>
    <w:rsid w:val="00251E22"/>
    <w:rsid w:val="002533A3"/>
    <w:rsid w:val="00253D7A"/>
    <w:rsid w:val="00254A12"/>
    <w:rsid w:val="002636F5"/>
    <w:rsid w:val="002657A7"/>
    <w:rsid w:val="0026720B"/>
    <w:rsid w:val="00270842"/>
    <w:rsid w:val="00274F95"/>
    <w:rsid w:val="002760E0"/>
    <w:rsid w:val="00276BEE"/>
    <w:rsid w:val="002775EE"/>
    <w:rsid w:val="00281E99"/>
    <w:rsid w:val="00284F6F"/>
    <w:rsid w:val="00287303"/>
    <w:rsid w:val="00287729"/>
    <w:rsid w:val="002913EC"/>
    <w:rsid w:val="00292D68"/>
    <w:rsid w:val="00293120"/>
    <w:rsid w:val="00295995"/>
    <w:rsid w:val="00295B58"/>
    <w:rsid w:val="002A5188"/>
    <w:rsid w:val="002A523C"/>
    <w:rsid w:val="002B0A6B"/>
    <w:rsid w:val="002B2531"/>
    <w:rsid w:val="002B2533"/>
    <w:rsid w:val="002B618D"/>
    <w:rsid w:val="002B6974"/>
    <w:rsid w:val="002C2A06"/>
    <w:rsid w:val="002C2B9D"/>
    <w:rsid w:val="002C3529"/>
    <w:rsid w:val="002C6D9D"/>
    <w:rsid w:val="002C7941"/>
    <w:rsid w:val="002D0FF0"/>
    <w:rsid w:val="002D5AAB"/>
    <w:rsid w:val="002D5D15"/>
    <w:rsid w:val="002D7DB4"/>
    <w:rsid w:val="002E05AC"/>
    <w:rsid w:val="002E077A"/>
    <w:rsid w:val="002E2B2F"/>
    <w:rsid w:val="002E2BC9"/>
    <w:rsid w:val="002E2F10"/>
    <w:rsid w:val="002E328A"/>
    <w:rsid w:val="002E3DF3"/>
    <w:rsid w:val="002E7B3A"/>
    <w:rsid w:val="002F41A3"/>
    <w:rsid w:val="0030282F"/>
    <w:rsid w:val="00302D58"/>
    <w:rsid w:val="003043B0"/>
    <w:rsid w:val="00305A95"/>
    <w:rsid w:val="003068FC"/>
    <w:rsid w:val="00310BE0"/>
    <w:rsid w:val="00313A0B"/>
    <w:rsid w:val="00316DF7"/>
    <w:rsid w:val="00320A5D"/>
    <w:rsid w:val="003211D0"/>
    <w:rsid w:val="00321AA3"/>
    <w:rsid w:val="00323F56"/>
    <w:rsid w:val="003249AE"/>
    <w:rsid w:val="00324E3C"/>
    <w:rsid w:val="00327216"/>
    <w:rsid w:val="00331E65"/>
    <w:rsid w:val="00334FE8"/>
    <w:rsid w:val="0033581C"/>
    <w:rsid w:val="00336D2A"/>
    <w:rsid w:val="00337AD4"/>
    <w:rsid w:val="00337D9A"/>
    <w:rsid w:val="003420AF"/>
    <w:rsid w:val="00342C73"/>
    <w:rsid w:val="0034377A"/>
    <w:rsid w:val="00344E9F"/>
    <w:rsid w:val="00350292"/>
    <w:rsid w:val="00351379"/>
    <w:rsid w:val="0035212B"/>
    <w:rsid w:val="003522A1"/>
    <w:rsid w:val="00355CAF"/>
    <w:rsid w:val="00355E4C"/>
    <w:rsid w:val="00357BC8"/>
    <w:rsid w:val="00362485"/>
    <w:rsid w:val="0036293C"/>
    <w:rsid w:val="003664B6"/>
    <w:rsid w:val="003671A3"/>
    <w:rsid w:val="003713AF"/>
    <w:rsid w:val="0037158E"/>
    <w:rsid w:val="00373261"/>
    <w:rsid w:val="00375FB4"/>
    <w:rsid w:val="00376BBC"/>
    <w:rsid w:val="003771E4"/>
    <w:rsid w:val="00377BE3"/>
    <w:rsid w:val="0038066F"/>
    <w:rsid w:val="00381282"/>
    <w:rsid w:val="0038532F"/>
    <w:rsid w:val="00387995"/>
    <w:rsid w:val="003911A3"/>
    <w:rsid w:val="003951BC"/>
    <w:rsid w:val="00395346"/>
    <w:rsid w:val="003A16F2"/>
    <w:rsid w:val="003A39A7"/>
    <w:rsid w:val="003B184B"/>
    <w:rsid w:val="003B1C4E"/>
    <w:rsid w:val="003B5A3D"/>
    <w:rsid w:val="003C4A6A"/>
    <w:rsid w:val="003C6D35"/>
    <w:rsid w:val="003C75C6"/>
    <w:rsid w:val="003D2895"/>
    <w:rsid w:val="003D42A1"/>
    <w:rsid w:val="003E0452"/>
    <w:rsid w:val="003E391C"/>
    <w:rsid w:val="003E43C5"/>
    <w:rsid w:val="003E4C6D"/>
    <w:rsid w:val="003E5F2B"/>
    <w:rsid w:val="003E7A1F"/>
    <w:rsid w:val="003F0C60"/>
    <w:rsid w:val="003F48AE"/>
    <w:rsid w:val="003F6627"/>
    <w:rsid w:val="00400B5C"/>
    <w:rsid w:val="00402301"/>
    <w:rsid w:val="004043B8"/>
    <w:rsid w:val="004076ED"/>
    <w:rsid w:val="00417DD7"/>
    <w:rsid w:val="00422862"/>
    <w:rsid w:val="00423D83"/>
    <w:rsid w:val="0042494F"/>
    <w:rsid w:val="00427E0F"/>
    <w:rsid w:val="00431945"/>
    <w:rsid w:val="00432AC3"/>
    <w:rsid w:val="00432C29"/>
    <w:rsid w:val="004364D6"/>
    <w:rsid w:val="00436750"/>
    <w:rsid w:val="00436ADF"/>
    <w:rsid w:val="00445140"/>
    <w:rsid w:val="00445829"/>
    <w:rsid w:val="00446323"/>
    <w:rsid w:val="0045250A"/>
    <w:rsid w:val="004572DD"/>
    <w:rsid w:val="004725CE"/>
    <w:rsid w:val="00474C19"/>
    <w:rsid w:val="00474F0B"/>
    <w:rsid w:val="00476A55"/>
    <w:rsid w:val="0047764D"/>
    <w:rsid w:val="004927BD"/>
    <w:rsid w:val="00492F31"/>
    <w:rsid w:val="0049321E"/>
    <w:rsid w:val="0049327E"/>
    <w:rsid w:val="004A058A"/>
    <w:rsid w:val="004A4FE3"/>
    <w:rsid w:val="004A50A2"/>
    <w:rsid w:val="004A5730"/>
    <w:rsid w:val="004A6BA3"/>
    <w:rsid w:val="004B03FF"/>
    <w:rsid w:val="004B0454"/>
    <w:rsid w:val="004B0574"/>
    <w:rsid w:val="004B3396"/>
    <w:rsid w:val="004C1997"/>
    <w:rsid w:val="004C30ED"/>
    <w:rsid w:val="004C5470"/>
    <w:rsid w:val="004C6655"/>
    <w:rsid w:val="004D3A43"/>
    <w:rsid w:val="004D7359"/>
    <w:rsid w:val="004D76FE"/>
    <w:rsid w:val="004E5628"/>
    <w:rsid w:val="004E6035"/>
    <w:rsid w:val="004F0326"/>
    <w:rsid w:val="004F0E05"/>
    <w:rsid w:val="004F1CB6"/>
    <w:rsid w:val="004F50A8"/>
    <w:rsid w:val="00501DCF"/>
    <w:rsid w:val="005032FE"/>
    <w:rsid w:val="005047AC"/>
    <w:rsid w:val="00504917"/>
    <w:rsid w:val="0050621F"/>
    <w:rsid w:val="00506898"/>
    <w:rsid w:val="0051013F"/>
    <w:rsid w:val="005116DA"/>
    <w:rsid w:val="00512142"/>
    <w:rsid w:val="00513EE5"/>
    <w:rsid w:val="00515951"/>
    <w:rsid w:val="00521CAF"/>
    <w:rsid w:val="00522ECE"/>
    <w:rsid w:val="00524526"/>
    <w:rsid w:val="00526A39"/>
    <w:rsid w:val="00531E72"/>
    <w:rsid w:val="00532519"/>
    <w:rsid w:val="00534A87"/>
    <w:rsid w:val="00534AA3"/>
    <w:rsid w:val="005352E2"/>
    <w:rsid w:val="00536B01"/>
    <w:rsid w:val="0053713B"/>
    <w:rsid w:val="005373BB"/>
    <w:rsid w:val="00537F69"/>
    <w:rsid w:val="00540688"/>
    <w:rsid w:val="005432B2"/>
    <w:rsid w:val="005438C7"/>
    <w:rsid w:val="005438CF"/>
    <w:rsid w:val="00551538"/>
    <w:rsid w:val="005542F9"/>
    <w:rsid w:val="005546D3"/>
    <w:rsid w:val="0055628A"/>
    <w:rsid w:val="00556FDC"/>
    <w:rsid w:val="0056101A"/>
    <w:rsid w:val="0056163D"/>
    <w:rsid w:val="00562539"/>
    <w:rsid w:val="00562AF7"/>
    <w:rsid w:val="005647C0"/>
    <w:rsid w:val="00566001"/>
    <w:rsid w:val="00567B28"/>
    <w:rsid w:val="005701D5"/>
    <w:rsid w:val="00570E46"/>
    <w:rsid w:val="00572D7D"/>
    <w:rsid w:val="00574220"/>
    <w:rsid w:val="0057773D"/>
    <w:rsid w:val="00583001"/>
    <w:rsid w:val="00584188"/>
    <w:rsid w:val="00584821"/>
    <w:rsid w:val="00585FBA"/>
    <w:rsid w:val="005905BE"/>
    <w:rsid w:val="005931FF"/>
    <w:rsid w:val="00593236"/>
    <w:rsid w:val="005946B8"/>
    <w:rsid w:val="005955B8"/>
    <w:rsid w:val="00596AD8"/>
    <w:rsid w:val="00596B3D"/>
    <w:rsid w:val="00597D7F"/>
    <w:rsid w:val="005A0FB4"/>
    <w:rsid w:val="005A393F"/>
    <w:rsid w:val="005B0557"/>
    <w:rsid w:val="005B0EA5"/>
    <w:rsid w:val="005B21F8"/>
    <w:rsid w:val="005B35A1"/>
    <w:rsid w:val="005B4462"/>
    <w:rsid w:val="005B534C"/>
    <w:rsid w:val="005B5BBA"/>
    <w:rsid w:val="005B6F72"/>
    <w:rsid w:val="005B7752"/>
    <w:rsid w:val="005B7868"/>
    <w:rsid w:val="005C0B1E"/>
    <w:rsid w:val="005C51E0"/>
    <w:rsid w:val="005D0A1B"/>
    <w:rsid w:val="005D2C14"/>
    <w:rsid w:val="005E2BFF"/>
    <w:rsid w:val="005E4DE5"/>
    <w:rsid w:val="005E7312"/>
    <w:rsid w:val="005F0747"/>
    <w:rsid w:val="005F078A"/>
    <w:rsid w:val="005F1B2D"/>
    <w:rsid w:val="005F33B8"/>
    <w:rsid w:val="005F3408"/>
    <w:rsid w:val="0060115C"/>
    <w:rsid w:val="0060173D"/>
    <w:rsid w:val="00605494"/>
    <w:rsid w:val="00606FD7"/>
    <w:rsid w:val="00612BAB"/>
    <w:rsid w:val="00612DC0"/>
    <w:rsid w:val="00613F0F"/>
    <w:rsid w:val="006144C8"/>
    <w:rsid w:val="0061732C"/>
    <w:rsid w:val="00625E15"/>
    <w:rsid w:val="0063081A"/>
    <w:rsid w:val="0063576C"/>
    <w:rsid w:val="006423BA"/>
    <w:rsid w:val="00642541"/>
    <w:rsid w:val="00643465"/>
    <w:rsid w:val="006450E7"/>
    <w:rsid w:val="00646151"/>
    <w:rsid w:val="00650A0C"/>
    <w:rsid w:val="00651B2A"/>
    <w:rsid w:val="00657632"/>
    <w:rsid w:val="00664187"/>
    <w:rsid w:val="00666FA4"/>
    <w:rsid w:val="006703C3"/>
    <w:rsid w:val="00670758"/>
    <w:rsid w:val="006743D8"/>
    <w:rsid w:val="00675BD4"/>
    <w:rsid w:val="00675BEB"/>
    <w:rsid w:val="0067689F"/>
    <w:rsid w:val="00680309"/>
    <w:rsid w:val="00680F17"/>
    <w:rsid w:val="00683BB7"/>
    <w:rsid w:val="006846AC"/>
    <w:rsid w:val="0068612A"/>
    <w:rsid w:val="00686AC6"/>
    <w:rsid w:val="00695217"/>
    <w:rsid w:val="00695B42"/>
    <w:rsid w:val="00696247"/>
    <w:rsid w:val="006A2A91"/>
    <w:rsid w:val="006A5600"/>
    <w:rsid w:val="006B6B56"/>
    <w:rsid w:val="006B6D1C"/>
    <w:rsid w:val="006B7FA1"/>
    <w:rsid w:val="006C02CF"/>
    <w:rsid w:val="006C0CBB"/>
    <w:rsid w:val="006C5AFA"/>
    <w:rsid w:val="006D2CFD"/>
    <w:rsid w:val="006D3071"/>
    <w:rsid w:val="006D4AA3"/>
    <w:rsid w:val="006E092B"/>
    <w:rsid w:val="006E4612"/>
    <w:rsid w:val="006E6329"/>
    <w:rsid w:val="006E7E1B"/>
    <w:rsid w:val="006F1C54"/>
    <w:rsid w:val="006F442A"/>
    <w:rsid w:val="006F46D2"/>
    <w:rsid w:val="006F706F"/>
    <w:rsid w:val="007023C4"/>
    <w:rsid w:val="00702D94"/>
    <w:rsid w:val="00703BDA"/>
    <w:rsid w:val="00704D44"/>
    <w:rsid w:val="00712C60"/>
    <w:rsid w:val="00714DD4"/>
    <w:rsid w:val="0072112F"/>
    <w:rsid w:val="0072351A"/>
    <w:rsid w:val="007235D3"/>
    <w:rsid w:val="007259B6"/>
    <w:rsid w:val="00730807"/>
    <w:rsid w:val="007319DD"/>
    <w:rsid w:val="0073583A"/>
    <w:rsid w:val="00735914"/>
    <w:rsid w:val="00736927"/>
    <w:rsid w:val="00737E07"/>
    <w:rsid w:val="00740737"/>
    <w:rsid w:val="00741226"/>
    <w:rsid w:val="00744F6B"/>
    <w:rsid w:val="00746C09"/>
    <w:rsid w:val="007539D3"/>
    <w:rsid w:val="00757009"/>
    <w:rsid w:val="00757D87"/>
    <w:rsid w:val="00762835"/>
    <w:rsid w:val="007676FA"/>
    <w:rsid w:val="00773E52"/>
    <w:rsid w:val="00774F11"/>
    <w:rsid w:val="00774F7B"/>
    <w:rsid w:val="007754F4"/>
    <w:rsid w:val="0077773E"/>
    <w:rsid w:val="00780571"/>
    <w:rsid w:val="007813E2"/>
    <w:rsid w:val="00782BF1"/>
    <w:rsid w:val="00784907"/>
    <w:rsid w:val="00787D52"/>
    <w:rsid w:val="007904FE"/>
    <w:rsid w:val="00792EEC"/>
    <w:rsid w:val="007963BD"/>
    <w:rsid w:val="007A3C24"/>
    <w:rsid w:val="007A5C3D"/>
    <w:rsid w:val="007B14BE"/>
    <w:rsid w:val="007B15DA"/>
    <w:rsid w:val="007B2A7F"/>
    <w:rsid w:val="007B3795"/>
    <w:rsid w:val="007B5D8C"/>
    <w:rsid w:val="007B7166"/>
    <w:rsid w:val="007B72C5"/>
    <w:rsid w:val="007C02C2"/>
    <w:rsid w:val="007C233F"/>
    <w:rsid w:val="007C5AA5"/>
    <w:rsid w:val="007C7519"/>
    <w:rsid w:val="007D0EC7"/>
    <w:rsid w:val="007D43E8"/>
    <w:rsid w:val="007D7E15"/>
    <w:rsid w:val="007E031D"/>
    <w:rsid w:val="007E4EBB"/>
    <w:rsid w:val="007E6BC2"/>
    <w:rsid w:val="007F3CBD"/>
    <w:rsid w:val="007F570F"/>
    <w:rsid w:val="007F5BCB"/>
    <w:rsid w:val="007F64DA"/>
    <w:rsid w:val="00810A27"/>
    <w:rsid w:val="00815304"/>
    <w:rsid w:val="00815C00"/>
    <w:rsid w:val="008165A8"/>
    <w:rsid w:val="00817B20"/>
    <w:rsid w:val="00817DED"/>
    <w:rsid w:val="00823A70"/>
    <w:rsid w:val="00824B74"/>
    <w:rsid w:val="008259A2"/>
    <w:rsid w:val="00826C01"/>
    <w:rsid w:val="00827CCA"/>
    <w:rsid w:val="00835451"/>
    <w:rsid w:val="00835E6C"/>
    <w:rsid w:val="0084179E"/>
    <w:rsid w:val="00842CF7"/>
    <w:rsid w:val="00847E8D"/>
    <w:rsid w:val="00851E52"/>
    <w:rsid w:val="0085309A"/>
    <w:rsid w:val="00857335"/>
    <w:rsid w:val="00857C60"/>
    <w:rsid w:val="008675F4"/>
    <w:rsid w:val="008676FF"/>
    <w:rsid w:val="00876D0B"/>
    <w:rsid w:val="0088103B"/>
    <w:rsid w:val="00883212"/>
    <w:rsid w:val="008845E2"/>
    <w:rsid w:val="008846D6"/>
    <w:rsid w:val="008868D6"/>
    <w:rsid w:val="00886FCB"/>
    <w:rsid w:val="008910B3"/>
    <w:rsid w:val="00891A3E"/>
    <w:rsid w:val="0089598E"/>
    <w:rsid w:val="00896328"/>
    <w:rsid w:val="008970FB"/>
    <w:rsid w:val="008A14C9"/>
    <w:rsid w:val="008A162D"/>
    <w:rsid w:val="008A655C"/>
    <w:rsid w:val="008B0EDD"/>
    <w:rsid w:val="008C1601"/>
    <w:rsid w:val="008C2497"/>
    <w:rsid w:val="008C2A69"/>
    <w:rsid w:val="008C2B8E"/>
    <w:rsid w:val="008C3FC1"/>
    <w:rsid w:val="008C4EDE"/>
    <w:rsid w:val="008C640F"/>
    <w:rsid w:val="008D1A19"/>
    <w:rsid w:val="008D4715"/>
    <w:rsid w:val="008D4A7D"/>
    <w:rsid w:val="008E22D4"/>
    <w:rsid w:val="008E2C56"/>
    <w:rsid w:val="008E3264"/>
    <w:rsid w:val="008E4751"/>
    <w:rsid w:val="008E4E0C"/>
    <w:rsid w:val="008E75CF"/>
    <w:rsid w:val="008F1746"/>
    <w:rsid w:val="008F2303"/>
    <w:rsid w:val="00900229"/>
    <w:rsid w:val="00900C26"/>
    <w:rsid w:val="00901590"/>
    <w:rsid w:val="0090388D"/>
    <w:rsid w:val="00913CCA"/>
    <w:rsid w:val="00916DAE"/>
    <w:rsid w:val="00917F7A"/>
    <w:rsid w:val="00922009"/>
    <w:rsid w:val="00925EF6"/>
    <w:rsid w:val="009268A8"/>
    <w:rsid w:val="009269AD"/>
    <w:rsid w:val="0092716B"/>
    <w:rsid w:val="009335E4"/>
    <w:rsid w:val="00933D63"/>
    <w:rsid w:val="009370B9"/>
    <w:rsid w:val="0094264F"/>
    <w:rsid w:val="00944A89"/>
    <w:rsid w:val="00945320"/>
    <w:rsid w:val="00945428"/>
    <w:rsid w:val="00953BBF"/>
    <w:rsid w:val="0095513D"/>
    <w:rsid w:val="009574C5"/>
    <w:rsid w:val="009610A7"/>
    <w:rsid w:val="0096305F"/>
    <w:rsid w:val="009751B3"/>
    <w:rsid w:val="009823C7"/>
    <w:rsid w:val="0098426C"/>
    <w:rsid w:val="0098448B"/>
    <w:rsid w:val="00993D05"/>
    <w:rsid w:val="00994103"/>
    <w:rsid w:val="0099670B"/>
    <w:rsid w:val="00996A90"/>
    <w:rsid w:val="009976CD"/>
    <w:rsid w:val="009A2873"/>
    <w:rsid w:val="009A3B10"/>
    <w:rsid w:val="009B0375"/>
    <w:rsid w:val="009B1FF5"/>
    <w:rsid w:val="009B223C"/>
    <w:rsid w:val="009B25EF"/>
    <w:rsid w:val="009B3EEF"/>
    <w:rsid w:val="009B492D"/>
    <w:rsid w:val="009B6765"/>
    <w:rsid w:val="009C0276"/>
    <w:rsid w:val="009C1EE8"/>
    <w:rsid w:val="009C256C"/>
    <w:rsid w:val="009C3088"/>
    <w:rsid w:val="009C54CF"/>
    <w:rsid w:val="009C65D8"/>
    <w:rsid w:val="009D212F"/>
    <w:rsid w:val="009D2846"/>
    <w:rsid w:val="009D3CB6"/>
    <w:rsid w:val="009E1732"/>
    <w:rsid w:val="009E1830"/>
    <w:rsid w:val="009E1887"/>
    <w:rsid w:val="009E1A0E"/>
    <w:rsid w:val="009E2117"/>
    <w:rsid w:val="009E21F1"/>
    <w:rsid w:val="009E397B"/>
    <w:rsid w:val="009E7BE7"/>
    <w:rsid w:val="009E7DFB"/>
    <w:rsid w:val="009F1805"/>
    <w:rsid w:val="009F1E4C"/>
    <w:rsid w:val="009F211B"/>
    <w:rsid w:val="009F6012"/>
    <w:rsid w:val="009F6450"/>
    <w:rsid w:val="009F6621"/>
    <w:rsid w:val="009F6B71"/>
    <w:rsid w:val="009F6E3A"/>
    <w:rsid w:val="009F70D4"/>
    <w:rsid w:val="009F7A35"/>
    <w:rsid w:val="00A0067A"/>
    <w:rsid w:val="00A007E3"/>
    <w:rsid w:val="00A012EF"/>
    <w:rsid w:val="00A0240C"/>
    <w:rsid w:val="00A02F91"/>
    <w:rsid w:val="00A05607"/>
    <w:rsid w:val="00A07851"/>
    <w:rsid w:val="00A12BF6"/>
    <w:rsid w:val="00A13D3C"/>
    <w:rsid w:val="00A14115"/>
    <w:rsid w:val="00A203D8"/>
    <w:rsid w:val="00A23B75"/>
    <w:rsid w:val="00A2509B"/>
    <w:rsid w:val="00A27CC3"/>
    <w:rsid w:val="00A310D9"/>
    <w:rsid w:val="00A354A2"/>
    <w:rsid w:val="00A35DD3"/>
    <w:rsid w:val="00A36A84"/>
    <w:rsid w:val="00A37635"/>
    <w:rsid w:val="00A42E21"/>
    <w:rsid w:val="00A508F0"/>
    <w:rsid w:val="00A51892"/>
    <w:rsid w:val="00A519C7"/>
    <w:rsid w:val="00A5357C"/>
    <w:rsid w:val="00A6020B"/>
    <w:rsid w:val="00A6136D"/>
    <w:rsid w:val="00A61E57"/>
    <w:rsid w:val="00A70AF4"/>
    <w:rsid w:val="00A71762"/>
    <w:rsid w:val="00A7271D"/>
    <w:rsid w:val="00A8170C"/>
    <w:rsid w:val="00A82E97"/>
    <w:rsid w:val="00A84299"/>
    <w:rsid w:val="00A84441"/>
    <w:rsid w:val="00A87BF7"/>
    <w:rsid w:val="00A9300C"/>
    <w:rsid w:val="00A977B9"/>
    <w:rsid w:val="00AA5ADE"/>
    <w:rsid w:val="00AB3793"/>
    <w:rsid w:val="00AB3E57"/>
    <w:rsid w:val="00AB4D69"/>
    <w:rsid w:val="00AB670F"/>
    <w:rsid w:val="00AB6A98"/>
    <w:rsid w:val="00AB6B89"/>
    <w:rsid w:val="00AC2C26"/>
    <w:rsid w:val="00AC4D45"/>
    <w:rsid w:val="00AC564E"/>
    <w:rsid w:val="00AC5916"/>
    <w:rsid w:val="00AD1D53"/>
    <w:rsid w:val="00AD2C84"/>
    <w:rsid w:val="00AD468A"/>
    <w:rsid w:val="00AD673A"/>
    <w:rsid w:val="00AD77A2"/>
    <w:rsid w:val="00AD7F5D"/>
    <w:rsid w:val="00AE014C"/>
    <w:rsid w:val="00AE4698"/>
    <w:rsid w:val="00AF111F"/>
    <w:rsid w:val="00AF2DB3"/>
    <w:rsid w:val="00B00DBA"/>
    <w:rsid w:val="00B0179A"/>
    <w:rsid w:val="00B01A8A"/>
    <w:rsid w:val="00B02417"/>
    <w:rsid w:val="00B04BBE"/>
    <w:rsid w:val="00B07805"/>
    <w:rsid w:val="00B105A1"/>
    <w:rsid w:val="00B16224"/>
    <w:rsid w:val="00B17043"/>
    <w:rsid w:val="00B2112D"/>
    <w:rsid w:val="00B22DC1"/>
    <w:rsid w:val="00B24DDA"/>
    <w:rsid w:val="00B26043"/>
    <w:rsid w:val="00B300CF"/>
    <w:rsid w:val="00B30D38"/>
    <w:rsid w:val="00B4070D"/>
    <w:rsid w:val="00B412FA"/>
    <w:rsid w:val="00B41675"/>
    <w:rsid w:val="00B44E59"/>
    <w:rsid w:val="00B46F22"/>
    <w:rsid w:val="00B531D3"/>
    <w:rsid w:val="00B54414"/>
    <w:rsid w:val="00B54CC1"/>
    <w:rsid w:val="00B56A6D"/>
    <w:rsid w:val="00B61BE8"/>
    <w:rsid w:val="00B6352A"/>
    <w:rsid w:val="00B641BB"/>
    <w:rsid w:val="00B642B0"/>
    <w:rsid w:val="00B645C3"/>
    <w:rsid w:val="00B654F8"/>
    <w:rsid w:val="00B719AB"/>
    <w:rsid w:val="00B72403"/>
    <w:rsid w:val="00B7479B"/>
    <w:rsid w:val="00B82365"/>
    <w:rsid w:val="00B829D3"/>
    <w:rsid w:val="00B913B8"/>
    <w:rsid w:val="00B95CBE"/>
    <w:rsid w:val="00B9684B"/>
    <w:rsid w:val="00BA6907"/>
    <w:rsid w:val="00BB1AA5"/>
    <w:rsid w:val="00BB243A"/>
    <w:rsid w:val="00BB27A3"/>
    <w:rsid w:val="00BB2A0A"/>
    <w:rsid w:val="00BB2A7A"/>
    <w:rsid w:val="00BB4EAE"/>
    <w:rsid w:val="00BB710C"/>
    <w:rsid w:val="00BC08B9"/>
    <w:rsid w:val="00BC2222"/>
    <w:rsid w:val="00BC24CF"/>
    <w:rsid w:val="00BC3DB3"/>
    <w:rsid w:val="00BC3E4A"/>
    <w:rsid w:val="00BC4DE0"/>
    <w:rsid w:val="00BC594C"/>
    <w:rsid w:val="00BC64EB"/>
    <w:rsid w:val="00BD11F9"/>
    <w:rsid w:val="00BD243B"/>
    <w:rsid w:val="00BD399B"/>
    <w:rsid w:val="00BD4E84"/>
    <w:rsid w:val="00BD767B"/>
    <w:rsid w:val="00BE2340"/>
    <w:rsid w:val="00BE2343"/>
    <w:rsid w:val="00BE3772"/>
    <w:rsid w:val="00BE6888"/>
    <w:rsid w:val="00BE7786"/>
    <w:rsid w:val="00BF7453"/>
    <w:rsid w:val="00BF74E8"/>
    <w:rsid w:val="00C00377"/>
    <w:rsid w:val="00C01C43"/>
    <w:rsid w:val="00C070AA"/>
    <w:rsid w:val="00C10807"/>
    <w:rsid w:val="00C21F9E"/>
    <w:rsid w:val="00C26935"/>
    <w:rsid w:val="00C26BAC"/>
    <w:rsid w:val="00C27B65"/>
    <w:rsid w:val="00C30E1A"/>
    <w:rsid w:val="00C336ED"/>
    <w:rsid w:val="00C37CCA"/>
    <w:rsid w:val="00C42331"/>
    <w:rsid w:val="00C442AF"/>
    <w:rsid w:val="00C5165A"/>
    <w:rsid w:val="00C54AFF"/>
    <w:rsid w:val="00C57555"/>
    <w:rsid w:val="00C616BA"/>
    <w:rsid w:val="00C64AF2"/>
    <w:rsid w:val="00C662BA"/>
    <w:rsid w:val="00C67B2D"/>
    <w:rsid w:val="00C731E3"/>
    <w:rsid w:val="00C732BC"/>
    <w:rsid w:val="00C760FA"/>
    <w:rsid w:val="00C803B4"/>
    <w:rsid w:val="00C814FE"/>
    <w:rsid w:val="00C81553"/>
    <w:rsid w:val="00C856CA"/>
    <w:rsid w:val="00C903B9"/>
    <w:rsid w:val="00C9153F"/>
    <w:rsid w:val="00C9399B"/>
    <w:rsid w:val="00C93E5D"/>
    <w:rsid w:val="00C942B2"/>
    <w:rsid w:val="00C954E4"/>
    <w:rsid w:val="00C96242"/>
    <w:rsid w:val="00CA192C"/>
    <w:rsid w:val="00CA38DD"/>
    <w:rsid w:val="00CA5625"/>
    <w:rsid w:val="00CB0A01"/>
    <w:rsid w:val="00CB3532"/>
    <w:rsid w:val="00CB3618"/>
    <w:rsid w:val="00CB3EC2"/>
    <w:rsid w:val="00CB54C5"/>
    <w:rsid w:val="00CC2436"/>
    <w:rsid w:val="00CC282C"/>
    <w:rsid w:val="00CC44F5"/>
    <w:rsid w:val="00CC5C5A"/>
    <w:rsid w:val="00CC6B50"/>
    <w:rsid w:val="00CC7249"/>
    <w:rsid w:val="00CC7C9B"/>
    <w:rsid w:val="00CD0F87"/>
    <w:rsid w:val="00CD1225"/>
    <w:rsid w:val="00CD4B93"/>
    <w:rsid w:val="00CD61CC"/>
    <w:rsid w:val="00CD702C"/>
    <w:rsid w:val="00CE5BF5"/>
    <w:rsid w:val="00CE68B4"/>
    <w:rsid w:val="00CE68EF"/>
    <w:rsid w:val="00CE70F0"/>
    <w:rsid w:val="00CF1CC8"/>
    <w:rsid w:val="00CF4B53"/>
    <w:rsid w:val="00CF5885"/>
    <w:rsid w:val="00D0153F"/>
    <w:rsid w:val="00D01A2D"/>
    <w:rsid w:val="00D02578"/>
    <w:rsid w:val="00D02700"/>
    <w:rsid w:val="00D02C7C"/>
    <w:rsid w:val="00D0397A"/>
    <w:rsid w:val="00D03D43"/>
    <w:rsid w:val="00D06C3F"/>
    <w:rsid w:val="00D126A5"/>
    <w:rsid w:val="00D149D7"/>
    <w:rsid w:val="00D171ED"/>
    <w:rsid w:val="00D24206"/>
    <w:rsid w:val="00D27DC5"/>
    <w:rsid w:val="00D30A10"/>
    <w:rsid w:val="00D369A1"/>
    <w:rsid w:val="00D37F76"/>
    <w:rsid w:val="00D40AAE"/>
    <w:rsid w:val="00D41884"/>
    <w:rsid w:val="00D440C3"/>
    <w:rsid w:val="00D4763D"/>
    <w:rsid w:val="00D47C4B"/>
    <w:rsid w:val="00D47E21"/>
    <w:rsid w:val="00D50C18"/>
    <w:rsid w:val="00D525B7"/>
    <w:rsid w:val="00D54102"/>
    <w:rsid w:val="00D558A4"/>
    <w:rsid w:val="00D603A0"/>
    <w:rsid w:val="00D60DBB"/>
    <w:rsid w:val="00D616B1"/>
    <w:rsid w:val="00D616FE"/>
    <w:rsid w:val="00D6469B"/>
    <w:rsid w:val="00D64A5C"/>
    <w:rsid w:val="00D6576D"/>
    <w:rsid w:val="00D6590E"/>
    <w:rsid w:val="00D666F9"/>
    <w:rsid w:val="00D71EA5"/>
    <w:rsid w:val="00D776E2"/>
    <w:rsid w:val="00D81B92"/>
    <w:rsid w:val="00D828C8"/>
    <w:rsid w:val="00D83B8B"/>
    <w:rsid w:val="00D90312"/>
    <w:rsid w:val="00D911A0"/>
    <w:rsid w:val="00D92109"/>
    <w:rsid w:val="00D977F2"/>
    <w:rsid w:val="00D97E18"/>
    <w:rsid w:val="00DA027D"/>
    <w:rsid w:val="00DA13A9"/>
    <w:rsid w:val="00DA1852"/>
    <w:rsid w:val="00DA40FC"/>
    <w:rsid w:val="00DA4A7B"/>
    <w:rsid w:val="00DA5547"/>
    <w:rsid w:val="00DB3622"/>
    <w:rsid w:val="00DB3685"/>
    <w:rsid w:val="00DB4B0E"/>
    <w:rsid w:val="00DB7566"/>
    <w:rsid w:val="00DB7940"/>
    <w:rsid w:val="00DC1E93"/>
    <w:rsid w:val="00DC35A5"/>
    <w:rsid w:val="00DC437E"/>
    <w:rsid w:val="00DC4E32"/>
    <w:rsid w:val="00DC6D61"/>
    <w:rsid w:val="00DD37D6"/>
    <w:rsid w:val="00DD3821"/>
    <w:rsid w:val="00DD5CC4"/>
    <w:rsid w:val="00DD6627"/>
    <w:rsid w:val="00DD6E5C"/>
    <w:rsid w:val="00DD7B80"/>
    <w:rsid w:val="00DD7E7C"/>
    <w:rsid w:val="00DE2832"/>
    <w:rsid w:val="00DE3019"/>
    <w:rsid w:val="00E10A0F"/>
    <w:rsid w:val="00E12225"/>
    <w:rsid w:val="00E168D5"/>
    <w:rsid w:val="00E16BB2"/>
    <w:rsid w:val="00E17118"/>
    <w:rsid w:val="00E17CD6"/>
    <w:rsid w:val="00E20246"/>
    <w:rsid w:val="00E22EF7"/>
    <w:rsid w:val="00E2696A"/>
    <w:rsid w:val="00E316DA"/>
    <w:rsid w:val="00E31978"/>
    <w:rsid w:val="00E4043E"/>
    <w:rsid w:val="00E40B47"/>
    <w:rsid w:val="00E43A97"/>
    <w:rsid w:val="00E43C51"/>
    <w:rsid w:val="00E43D8A"/>
    <w:rsid w:val="00E44A55"/>
    <w:rsid w:val="00E46C9D"/>
    <w:rsid w:val="00E523A1"/>
    <w:rsid w:val="00E53C23"/>
    <w:rsid w:val="00E53E63"/>
    <w:rsid w:val="00E55785"/>
    <w:rsid w:val="00E6072E"/>
    <w:rsid w:val="00E61EE0"/>
    <w:rsid w:val="00E62CB0"/>
    <w:rsid w:val="00E62E34"/>
    <w:rsid w:val="00E63009"/>
    <w:rsid w:val="00E65BC4"/>
    <w:rsid w:val="00E6723B"/>
    <w:rsid w:val="00E74B41"/>
    <w:rsid w:val="00E812C4"/>
    <w:rsid w:val="00E82B8F"/>
    <w:rsid w:val="00E82C4E"/>
    <w:rsid w:val="00E83E2C"/>
    <w:rsid w:val="00E867A5"/>
    <w:rsid w:val="00E8721B"/>
    <w:rsid w:val="00E87700"/>
    <w:rsid w:val="00E87713"/>
    <w:rsid w:val="00E921A0"/>
    <w:rsid w:val="00E95BD8"/>
    <w:rsid w:val="00E979FA"/>
    <w:rsid w:val="00EA0515"/>
    <w:rsid w:val="00EA0B6C"/>
    <w:rsid w:val="00EA13A4"/>
    <w:rsid w:val="00EA1775"/>
    <w:rsid w:val="00EA3A6C"/>
    <w:rsid w:val="00EA6FEF"/>
    <w:rsid w:val="00EA776C"/>
    <w:rsid w:val="00EA7E6B"/>
    <w:rsid w:val="00EB1EEB"/>
    <w:rsid w:val="00ED03E8"/>
    <w:rsid w:val="00ED180E"/>
    <w:rsid w:val="00ED20EF"/>
    <w:rsid w:val="00ED2E79"/>
    <w:rsid w:val="00ED3AFC"/>
    <w:rsid w:val="00ED3F5D"/>
    <w:rsid w:val="00ED4CF7"/>
    <w:rsid w:val="00ED6AFE"/>
    <w:rsid w:val="00ED7376"/>
    <w:rsid w:val="00EE1451"/>
    <w:rsid w:val="00EE1928"/>
    <w:rsid w:val="00EE2880"/>
    <w:rsid w:val="00EE5217"/>
    <w:rsid w:val="00EE57C5"/>
    <w:rsid w:val="00EF15E0"/>
    <w:rsid w:val="00EF2D58"/>
    <w:rsid w:val="00EF3A60"/>
    <w:rsid w:val="00EF5C4F"/>
    <w:rsid w:val="00F00453"/>
    <w:rsid w:val="00F00567"/>
    <w:rsid w:val="00F00B51"/>
    <w:rsid w:val="00F01779"/>
    <w:rsid w:val="00F033B2"/>
    <w:rsid w:val="00F03E3E"/>
    <w:rsid w:val="00F06BCD"/>
    <w:rsid w:val="00F07EEA"/>
    <w:rsid w:val="00F10065"/>
    <w:rsid w:val="00F102D1"/>
    <w:rsid w:val="00F106FE"/>
    <w:rsid w:val="00F12BB1"/>
    <w:rsid w:val="00F25365"/>
    <w:rsid w:val="00F25DB7"/>
    <w:rsid w:val="00F2678B"/>
    <w:rsid w:val="00F26D5A"/>
    <w:rsid w:val="00F30EFF"/>
    <w:rsid w:val="00F31A90"/>
    <w:rsid w:val="00F32D71"/>
    <w:rsid w:val="00F3361A"/>
    <w:rsid w:val="00F337E6"/>
    <w:rsid w:val="00F412D1"/>
    <w:rsid w:val="00F44197"/>
    <w:rsid w:val="00F47354"/>
    <w:rsid w:val="00F47B3A"/>
    <w:rsid w:val="00F50452"/>
    <w:rsid w:val="00F54005"/>
    <w:rsid w:val="00F55350"/>
    <w:rsid w:val="00F578E1"/>
    <w:rsid w:val="00F57996"/>
    <w:rsid w:val="00F612AE"/>
    <w:rsid w:val="00F62FD0"/>
    <w:rsid w:val="00F75F01"/>
    <w:rsid w:val="00F778E4"/>
    <w:rsid w:val="00F807B9"/>
    <w:rsid w:val="00F80BEC"/>
    <w:rsid w:val="00F82CCA"/>
    <w:rsid w:val="00F85044"/>
    <w:rsid w:val="00F86163"/>
    <w:rsid w:val="00F87809"/>
    <w:rsid w:val="00F91154"/>
    <w:rsid w:val="00F923CE"/>
    <w:rsid w:val="00F92654"/>
    <w:rsid w:val="00F941AA"/>
    <w:rsid w:val="00F95967"/>
    <w:rsid w:val="00F95B70"/>
    <w:rsid w:val="00F966DD"/>
    <w:rsid w:val="00FA2D71"/>
    <w:rsid w:val="00FA2FDB"/>
    <w:rsid w:val="00FA3B2D"/>
    <w:rsid w:val="00FA4110"/>
    <w:rsid w:val="00FA43E0"/>
    <w:rsid w:val="00FA56FC"/>
    <w:rsid w:val="00FA6F17"/>
    <w:rsid w:val="00FA72C7"/>
    <w:rsid w:val="00FB3CCF"/>
    <w:rsid w:val="00FB49AD"/>
    <w:rsid w:val="00FB6302"/>
    <w:rsid w:val="00FB7739"/>
    <w:rsid w:val="00FC536F"/>
    <w:rsid w:val="00FC64F2"/>
    <w:rsid w:val="00FD0B4A"/>
    <w:rsid w:val="00FD52E4"/>
    <w:rsid w:val="00FD7B41"/>
    <w:rsid w:val="00FE05A7"/>
    <w:rsid w:val="00FE46FE"/>
    <w:rsid w:val="00FE66AE"/>
    <w:rsid w:val="00FF219C"/>
    <w:rsid w:val="00FF23DA"/>
    <w:rsid w:val="00F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5F3408"/>
    <w:rPr>
      <w:color w:val="0000FF"/>
      <w:u w:val="single"/>
    </w:rPr>
  </w:style>
  <w:style w:type="paragraph" w:styleId="Revision">
    <w:name w:val="Revision"/>
    <w:hidden/>
    <w:uiPriority w:val="99"/>
    <w:semiHidden/>
    <w:rsid w:val="00E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60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05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F3408"/>
    <w:rPr>
      <w:color w:val="0000FF"/>
      <w:u w:val="single"/>
    </w:rPr>
  </w:style>
  <w:style w:type="paragraph" w:styleId="Revize">
    <w:name w:val="Revision"/>
    <w:hidden/>
    <w:uiPriority w:val="99"/>
    <w:semiHidden/>
    <w:rsid w:val="00E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60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56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45C00-A883-4289-8BB2-2769BCAF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Celgene User</cp:lastModifiedBy>
  <cp:revision>2</cp:revision>
  <cp:lastPrinted>2016-09-20T15:01:00Z</cp:lastPrinted>
  <dcterms:created xsi:type="dcterms:W3CDTF">2016-09-20T15:14:00Z</dcterms:created>
  <dcterms:modified xsi:type="dcterms:W3CDTF">2016-09-20T15:14:00Z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