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80" w:line="211"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b/>
          <w:bCs/>
          <w:color w:val="000000"/>
          <w:spacing w:val="0"/>
          <w:w w:val="100"/>
          <w:position w:val="0"/>
          <w:shd w:val="clear" w:color="auto" w:fill="auto"/>
          <w:lang w:val="cs-CZ" w:eastAsia="cs-CZ" w:bidi="cs-CZ"/>
        </w:rPr>
        <w:t>č. smlouvy zhotovitele: 8302404A113</w:t>
        <w:br/>
        <w:t>č. smlouvy objednatele: 901/2024</w:t>
      </w:r>
    </w:p>
    <w:p>
      <w:pPr>
        <w:pStyle w:val="Style2"/>
        <w:keepNext w:val="0"/>
        <w:keepLines w:val="0"/>
        <w:widowControl w:val="0"/>
        <w:shd w:val="clear" w:color="auto" w:fill="auto"/>
        <w:bidi w:val="0"/>
        <w:spacing w:before="0" w:after="180" w:line="259"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2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„Vodohospodářské funkce propojení jezera Libouš s vodní nádrží Nechranice</w:t>
        <w:br/>
        <w:t>i v interakci s Vltavskou kaskádou“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734"/>
        <w:gridCol w:w="5534"/>
      </w:tblGrid>
      <w:tr>
        <w:trPr>
          <w:trHeight w:val="52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Povodí Ohře, státní podnik</w:t>
            </w:r>
          </w:p>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Bezručova 4219, 430 03 Chomutov</w:t>
            </w:r>
          </w:p>
        </w:tc>
      </w:tr>
      <w:tr>
        <w:trPr>
          <w:trHeight w:val="1387"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 zástupce ve věcech smluvních: zástupce ve věcech technických:</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70889988</w:t>
            </w:r>
          </w:p>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CZ70889988</w:t>
            </w:r>
          </w:p>
        </w:tc>
      </w:tr>
      <w:tr>
        <w:trPr>
          <w:trHeight w:val="73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 číslo účtu:</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Komerční banka, a. s., pobočka Chomutov</w:t>
            </w:r>
          </w:p>
        </w:tc>
      </w:tr>
    </w:tbl>
    <w:p>
      <w:pPr>
        <w:widowControl w:val="0"/>
        <w:spacing w:after="17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Labem v oddílu A, vložce č. 13052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widowControl w:val="0"/>
        <w:spacing w:line="1" w:lineRule="exact"/>
        <w:sectPr>
          <w:footerReference w:type="default" r:id="rId5"/>
          <w:footnotePr>
            <w:pos w:val="pageBottom"/>
            <w:numFmt w:val="decimal"/>
            <w:numRestart w:val="continuous"/>
          </w:footnotePr>
          <w:pgSz w:w="11909" w:h="16838"/>
          <w:pgMar w:top="1008" w:left="1394" w:right="857" w:bottom="1854" w:header="580" w:footer="3" w:gutter="0"/>
          <w:pgNumType w:start="1"/>
          <w:cols w:space="720"/>
          <w:noEndnote/>
          <w:rtlGutter w:val="0"/>
          <w:docGrid w:linePitch="360"/>
        </w:sectPr>
      </w:pPr>
      <w:r>
        <mc:AlternateContent>
          <mc:Choice Requires="wps">
            <w:drawing>
              <wp:anchor distT="25400" distB="0" distL="0" distR="0" simplePos="0" relativeHeight="125829378" behindDoc="0" locked="0" layoutInCell="1" allowOverlap="1">
                <wp:simplePos x="0" y="0"/>
                <wp:positionH relativeFrom="page">
                  <wp:posOffset>885190</wp:posOffset>
                </wp:positionH>
                <wp:positionV relativeFrom="paragraph">
                  <wp:posOffset>25400</wp:posOffset>
                </wp:positionV>
                <wp:extent cx="2231390" cy="1813560"/>
                <wp:wrapTopAndBottom/>
                <wp:docPr id="3" name="Shape 3"/>
                <a:graphic xmlns:a="http://schemas.openxmlformats.org/drawingml/2006/main">
                  <a:graphicData uri="http://schemas.microsoft.com/office/word/2010/wordprocessingShape">
                    <wps:wsp>
                      <wps:cNvSpPr txBox="1"/>
                      <wps:spPr>
                        <a:xfrm>
                          <a:ext cx="2231390" cy="1813560"/>
                        </a:xfrm>
                        <a:prstGeom prst="rect"/>
                        <a:noFill/>
                      </wps:spPr>
                      <wps:txbx>
                        <w:txbxContent>
                          <w:p>
                            <w:pPr>
                              <w:pStyle w:val="Style2"/>
                              <w:keepNext w:val="0"/>
                              <w:keepLines w:val="0"/>
                              <w:widowControl w:val="0"/>
                              <w:shd w:val="clear" w:color="auto" w:fill="auto"/>
                              <w:bidi w:val="0"/>
                              <w:spacing w:before="0" w:after="420" w:line="29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Smluvně oprávněn jednat: zástupce ve věcech technických: bankovní spojení: číslo účtu:</w:t>
                            </w:r>
                          </w:p>
                        </w:txbxContent>
                      </wps:txbx>
                      <wps:bodyPr lIns="0" tIns="0" rIns="0" bIns="0">
                        <a:noAutoFit/>
                      </wps:bodyPr>
                    </wps:wsp>
                  </a:graphicData>
                </a:graphic>
              </wp:anchor>
            </w:drawing>
          </mc:Choice>
          <mc:Fallback>
            <w:pict>
              <v:shape id="_x0000_s1029" type="#_x0000_t202" style="position:absolute;margin-left:69.700000000000003pt;margin-top:2.pt;width:175.70000000000002pt;height:142.80000000000001pt;z-index:-125829375;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420" w:line="29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90" w:lineRule="auto"/>
                        <w:ind w:left="0" w:right="0" w:firstLine="0"/>
                        <w:jc w:val="left"/>
                      </w:pPr>
                      <w:r>
                        <w:rPr>
                          <w:b/>
                          <w:bCs/>
                          <w:color w:val="000000"/>
                          <w:spacing w:val="0"/>
                          <w:w w:val="100"/>
                          <w:position w:val="0"/>
                          <w:shd w:val="clear" w:color="auto" w:fill="auto"/>
                          <w:lang w:val="cs-CZ" w:eastAsia="cs-CZ" w:bidi="cs-CZ"/>
                        </w:rPr>
                        <w:t>Smluvně oprávněn jednat: zástupce ve věcech technických: bankovní spojení: číslo účtu:</w:t>
                      </w:r>
                    </w:p>
                  </w:txbxContent>
                </v:textbox>
                <w10:wrap type="topAndBottom" anchorx="page"/>
              </v:shape>
            </w:pict>
          </mc:Fallback>
        </mc:AlternateContent>
      </w:r>
      <w:r>
        <mc:AlternateContent>
          <mc:Choice Requires="wps">
            <w:drawing>
              <wp:anchor distT="25400" distB="941705" distL="0" distR="0" simplePos="0" relativeHeight="125829380" behindDoc="0" locked="0" layoutInCell="1" allowOverlap="1">
                <wp:simplePos x="0" y="0"/>
                <wp:positionH relativeFrom="page">
                  <wp:posOffset>3399790</wp:posOffset>
                </wp:positionH>
                <wp:positionV relativeFrom="paragraph">
                  <wp:posOffset>25400</wp:posOffset>
                </wp:positionV>
                <wp:extent cx="3218815" cy="871855"/>
                <wp:wrapTopAndBottom/>
                <wp:docPr id="5" name="Shape 5"/>
                <a:graphic xmlns:a="http://schemas.openxmlformats.org/drawingml/2006/main">
                  <a:graphicData uri="http://schemas.microsoft.com/office/word/2010/wordprocessingShape">
                    <wps:wsp>
                      <wps:cNvSpPr txBox="1"/>
                      <wps:spPr>
                        <a:xfrm>
                          <a:ext cx="3218815" cy="871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České vysoké učení technické v Praze – Fakulta stavební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Thákurova 7/2017, 166 29 Praha 6 Dejvice 68407700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CZ68407700</w:t>
                            </w:r>
                          </w:p>
                        </w:txbxContent>
                      </wps:txbx>
                      <wps:bodyPr lIns="0" tIns="0" rIns="0" bIns="0">
                        <a:noAutoFit/>
                      </wps:bodyPr>
                    </wps:wsp>
                  </a:graphicData>
                </a:graphic>
              </wp:anchor>
            </w:drawing>
          </mc:Choice>
          <mc:Fallback>
            <w:pict>
              <v:shape id="_x0000_s1031" type="#_x0000_t202" style="position:absolute;margin-left:267.69999999999999pt;margin-top:2.pt;width:253.45000000000002pt;height:68.650000000000006pt;z-index:-125829373;mso-wrap-distance-left:0;mso-wrap-distance-top:2.pt;mso-wrap-distance-right:0;mso-wrap-distance-bottom:74.1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České vysoké učení technické v Praze – Fakulta stavební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Thákurova 7/2017, 166 29 Praha 6 Dejvice 68407700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CZ68407700</w:t>
                      </w:r>
                    </w:p>
                  </w:txbxContent>
                </v:textbox>
                <w10:wrap type="topAndBottom" anchorx="page"/>
              </v:shape>
            </w:pict>
          </mc:Fallback>
        </mc:AlternateContent>
      </w:r>
      <w:r>
        <mc:AlternateContent>
          <mc:Choice Requires="wps">
            <w:drawing>
              <wp:anchor distT="1439545" distB="173990" distL="0" distR="0" simplePos="0" relativeHeight="125829382" behindDoc="0" locked="0" layoutInCell="1" allowOverlap="1">
                <wp:simplePos x="0" y="0"/>
                <wp:positionH relativeFrom="page">
                  <wp:posOffset>3399790</wp:posOffset>
                </wp:positionH>
                <wp:positionV relativeFrom="paragraph">
                  <wp:posOffset>1439545</wp:posOffset>
                </wp:positionV>
                <wp:extent cx="2450465" cy="225425"/>
                <wp:wrapTopAndBottom/>
                <wp:docPr id="7" name="Shape 7"/>
                <a:graphic xmlns:a="http://schemas.openxmlformats.org/drawingml/2006/main">
                  <a:graphicData uri="http://schemas.microsoft.com/office/word/2010/wordprocessingShape">
                    <wps:wsp>
                      <wps:cNvSpPr txBox="1"/>
                      <wps:spPr>
                        <a:xfrm>
                          <a:ext cx="245046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 pobočka Praha 6</w:t>
                            </w:r>
                          </w:p>
                        </w:txbxContent>
                      </wps:txbx>
                      <wps:bodyPr wrap="none" lIns="0" tIns="0" rIns="0" bIns="0">
                        <a:noAutoFit/>
                      </wps:bodyPr>
                    </wps:wsp>
                  </a:graphicData>
                </a:graphic>
              </wp:anchor>
            </w:drawing>
          </mc:Choice>
          <mc:Fallback>
            <w:pict>
              <v:shape id="_x0000_s1033" type="#_x0000_t202" style="position:absolute;margin-left:267.69999999999999pt;margin-top:113.35000000000001pt;width:192.95000000000002pt;height:17.75pt;z-index:-125829371;mso-wrap-distance-left:0;mso-wrap-distance-top:113.35000000000001pt;mso-wrap-distance-right:0;mso-wrap-distance-bottom:13.7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 pobočka Praha 6</w:t>
                      </w:r>
                    </w:p>
                  </w:txbxContent>
                </v:textbox>
                <w10:wrap type="topAndBottom" anchorx="page"/>
              </v:shape>
            </w:pict>
          </mc:Fallback>
        </mc:AlternateContent>
      </w: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878" w:left="0" w:right="0" w:bottom="146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1360" w:right="0" w:firstLine="0"/>
        <w:jc w:val="left"/>
      </w:pPr>
      <w:r>
        <mc:AlternateContent>
          <mc:Choice Requires="wps">
            <w:drawing>
              <wp:anchor distT="0" distB="0" distL="114300" distR="114300" simplePos="0" relativeHeight="125829384" behindDoc="0" locked="0" layoutInCell="1" allowOverlap="1">
                <wp:simplePos x="0" y="0"/>
                <wp:positionH relativeFrom="page">
                  <wp:posOffset>885190</wp:posOffset>
                </wp:positionH>
                <wp:positionV relativeFrom="paragraph">
                  <wp:posOffset>12700</wp:posOffset>
                </wp:positionV>
                <wp:extent cx="1557655" cy="575945"/>
                <wp:wrapSquare wrapText="bothSides"/>
                <wp:docPr id="9" name="Shape 9"/>
                <a:graphic xmlns:a="http://schemas.openxmlformats.org/drawingml/2006/main">
                  <a:graphicData uri="http://schemas.microsoft.com/office/word/2010/wordprocessingShape">
                    <wps:wsp>
                      <wps:cNvSpPr txBox="1"/>
                      <wps:spPr>
                        <a:xfrm>
                          <a:ext cx="1557655" cy="575945"/>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Obchodní rejstřík: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Živnostenské oprávnění:</w:t>
                            </w:r>
                          </w:p>
                        </w:txbxContent>
                      </wps:txbx>
                      <wps:bodyPr lIns="0" tIns="0" rIns="0" bIns="0">
                        <a:noAutoFit/>
                      </wps:bodyPr>
                    </wps:wsp>
                  </a:graphicData>
                </a:graphic>
              </wp:anchor>
            </w:drawing>
          </mc:Choice>
          <mc:Fallback>
            <w:pict>
              <v:shape id="_x0000_s1035" type="#_x0000_t202" style="position:absolute;margin-left:69.700000000000003pt;margin-top:1.pt;width:122.65000000000001pt;height:45.35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Obchodní rejstřík: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Živnostenské oprávnění:</w:t>
                      </w:r>
                    </w:p>
                  </w:txbxContent>
                </v:textbox>
                <w10:wrap type="square" anchorx="page"/>
              </v:shape>
            </w:pict>
          </mc:Fallback>
        </mc:AlternateContent>
      </w:r>
      <w:r>
        <w:rPr>
          <w:color w:val="000000"/>
          <w:spacing w:val="0"/>
          <w:w w:val="100"/>
          <w:position w:val="0"/>
          <w:shd w:val="clear" w:color="auto" w:fill="auto"/>
          <w:lang w:val="cs-CZ" w:eastAsia="cs-CZ" w:bidi="cs-CZ"/>
        </w:rPr>
        <w:t>Veřejná vysoká škola zřízená zákonem</w:t>
      </w:r>
    </w:p>
    <w:p>
      <w:pPr>
        <w:pStyle w:val="Style2"/>
        <w:keepNext w:val="0"/>
        <w:keepLines w:val="0"/>
        <w:widowControl w:val="0"/>
        <w:shd w:val="clear" w:color="auto" w:fill="auto"/>
        <w:bidi w:val="0"/>
        <w:spacing w:before="0" w:after="220" w:line="276" w:lineRule="auto"/>
        <w:ind w:left="1360" w:right="0" w:firstLine="0"/>
        <w:jc w:val="left"/>
      </w:pPr>
      <w:r>
        <w:rPr>
          <w:color w:val="000000"/>
          <w:spacing w:val="0"/>
          <w:w w:val="100"/>
          <w:position w:val="0"/>
          <w:shd w:val="clear" w:color="auto" w:fill="auto"/>
          <w:lang w:val="cs-CZ" w:eastAsia="cs-CZ" w:bidi="cs-CZ"/>
        </w:rPr>
        <w:t>č. 111/1998 Sb., není zapsána v Obchodním rejstříku č.j.: ŽO/11315/2008/Rac/2 u Úřadu městské části Praha 6</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Vzhledem k tomu, že si objednatel přeje, aby zhotovitel provedl dílo, s názvem:</w:t>
      </w:r>
    </w:p>
    <w:p>
      <w:pPr>
        <w:pStyle w:val="Style2"/>
        <w:keepNext w:val="0"/>
        <w:keepLines w:val="0"/>
        <w:widowControl w:val="0"/>
        <w:shd w:val="clear" w:color="auto" w:fill="auto"/>
        <w:bidi w:val="0"/>
        <w:spacing w:before="0" w:after="300" w:line="240" w:lineRule="auto"/>
        <w:ind w:left="1700" w:right="0" w:hanging="1700"/>
        <w:jc w:val="left"/>
        <w:rPr>
          <w:sz w:val="24"/>
          <w:szCs w:val="24"/>
        </w:rPr>
      </w:pPr>
      <w:r>
        <w:rPr>
          <w:b/>
          <w:bCs/>
          <w:color w:val="000000"/>
          <w:spacing w:val="0"/>
          <w:w w:val="100"/>
          <w:position w:val="0"/>
          <w:sz w:val="24"/>
          <w:szCs w:val="24"/>
          <w:shd w:val="clear" w:color="auto" w:fill="auto"/>
          <w:lang w:val="cs-CZ" w:eastAsia="cs-CZ" w:bidi="cs-CZ"/>
        </w:rPr>
        <w:t>„Vodohospodářské funkce propojení jezera Libouš s vodní nádrží Nechranice i v interakci s Vltavskou kaskádou“</w:t>
      </w:r>
      <w:r>
        <w:rPr>
          <w:color w:val="000000"/>
          <w:spacing w:val="0"/>
          <w:w w:val="100"/>
          <w:position w:val="0"/>
          <w:sz w:val="24"/>
          <w:szCs w:val="24"/>
          <w:shd w:val="clear" w:color="auto" w:fill="auto"/>
          <w:lang w:val="cs-CZ" w:eastAsia="cs-CZ" w:bidi="cs-CZ"/>
        </w:rPr>
        <w:t>, dále také studie</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a přijal nabídku zhotovitele na provedení a dokončení tohoto díla, se smluvní strany dohodly na následujícím: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SMLOUVY A PŘEDMĚT DÍLA</w:t>
      </w:r>
    </w:p>
    <w:p>
      <w:pPr>
        <w:pStyle w:val="Style17"/>
        <w:keepNext/>
        <w:keepLines/>
        <w:widowControl w:val="0"/>
        <w:shd w:val="clear" w:color="auto" w:fill="auto"/>
        <w:bidi w:val="0"/>
        <w:spacing w:before="0" w:line="240" w:lineRule="auto"/>
        <w:ind w:left="0" w:right="0" w:firstLine="0"/>
        <w:jc w:val="both"/>
        <w:rPr>
          <w:sz w:val="24"/>
          <w:szCs w:val="24"/>
        </w:rPr>
      </w:pPr>
      <w:bookmarkStart w:id="0" w:name="bookmark0"/>
      <w:bookmarkStart w:id="1" w:name="bookmark1"/>
      <w:bookmarkStart w:id="2" w:name="bookmark2"/>
      <w:r>
        <w:rPr>
          <w:color w:val="000000"/>
          <w:spacing w:val="0"/>
          <w:w w:val="100"/>
          <w:position w:val="0"/>
          <w:sz w:val="22"/>
          <w:szCs w:val="22"/>
          <w:shd w:val="clear" w:color="auto" w:fill="auto"/>
          <w:lang w:val="cs-CZ" w:eastAsia="cs-CZ" w:bidi="cs-CZ"/>
        </w:rPr>
        <w:t xml:space="preserve">Předmětem smlouvy je zpracování díla </w:t>
      </w:r>
      <w:r>
        <w:rPr>
          <w:b/>
          <w:bCs/>
          <w:color w:val="000000"/>
          <w:spacing w:val="0"/>
          <w:w w:val="100"/>
          <w:position w:val="0"/>
          <w:sz w:val="22"/>
          <w:szCs w:val="22"/>
          <w:shd w:val="clear" w:color="auto" w:fill="auto"/>
          <w:lang w:val="cs-CZ" w:eastAsia="cs-CZ" w:bidi="cs-CZ"/>
        </w:rPr>
        <w:t>„</w:t>
      </w:r>
      <w:r>
        <w:rPr>
          <w:b/>
          <w:bCs/>
          <w:color w:val="000000"/>
          <w:spacing w:val="0"/>
          <w:w w:val="100"/>
          <w:position w:val="0"/>
          <w:sz w:val="24"/>
          <w:szCs w:val="24"/>
          <w:shd w:val="clear" w:color="auto" w:fill="auto"/>
          <w:lang w:val="cs-CZ" w:eastAsia="cs-CZ" w:bidi="cs-CZ"/>
        </w:rPr>
        <w:t>Vodohospodářské funkce propojení jezera Libouš s vodní nádrží Nechranice i v interakci s Vltavskou kaskádou“</w:t>
      </w:r>
      <w:r>
        <w:rPr>
          <w:color w:val="000000"/>
          <w:spacing w:val="0"/>
          <w:w w:val="100"/>
          <w:position w:val="0"/>
          <w:sz w:val="24"/>
          <w:szCs w:val="24"/>
          <w:shd w:val="clear" w:color="auto" w:fill="auto"/>
          <w:lang w:val="cs-CZ" w:eastAsia="cs-CZ" w:bidi="cs-CZ"/>
        </w:rPr>
        <w:t>.</w:t>
      </w:r>
      <w:bookmarkEnd w:id="0"/>
      <w:bookmarkEnd w:id="1"/>
      <w:bookmarkEnd w:id="2"/>
    </w:p>
    <w:p>
      <w:pPr>
        <w:pStyle w:val="Style17"/>
        <w:keepNext/>
        <w:keepLines/>
        <w:widowControl w:val="0"/>
        <w:shd w:val="clear" w:color="auto" w:fill="auto"/>
        <w:bidi w:val="0"/>
        <w:spacing w:before="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Cílem díla je vyhotovení studie s výše uvedeným názvem a obsahem podrobněji specifikovaným v příloze č. 1 této smlouvy.</w:t>
      </w:r>
      <w:bookmarkEnd w:id="3"/>
      <w:bookmarkEnd w:id="4"/>
      <w:bookmarkEnd w:id="5"/>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(dále jen „dílo“)</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dále v této smlouvě.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 DÍLO A ZPŮSOB PROVEDENÍ DÍLA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platnou legislativou, a to s odbornou péčí, v rozsahu a kvalitě podle této smlouvy a v termínu plnění, jak je definováno níže.</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(VV), a to jeden vstupní, minimálně dva pracovní a jeden závěrečný výrobní výbor. Ze všech výrobních výborů bude zhotovovat písemný záznam. Po úspěšném uzavření závěrečného výrobního výboru zhotovitel zajistí kompletaci díla a řádně dokončené dílo předá protokolárně zástupci objednatele ve věcech technických.</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Na vyžádání objednatele zhotovitel dodá další vyhotovení díla v požadovaném počtu za zvláštní úhradu. Objednatel se zavazuje řádně provedené dílo podle ustanovení této smlouvy převzít a zaplatit za dílo dohodnutou cenu.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TERMÍNY PLNĚNÍ</w:t>
      </w:r>
    </w:p>
    <w:p>
      <w:pPr>
        <w:pStyle w:val="Style2"/>
        <w:keepNext w:val="0"/>
        <w:keepLines w:val="0"/>
        <w:widowControl w:val="0"/>
        <w:shd w:val="clear" w:color="auto" w:fill="auto"/>
        <w:tabs>
          <w:tab w:pos="2746" w:val="left"/>
        </w:tabs>
        <w:bidi w:val="0"/>
        <w:spacing w:before="0" w:line="240" w:lineRule="auto"/>
        <w:ind w:left="0" w:right="0" w:firstLine="0"/>
        <w:jc w:val="left"/>
      </w:pPr>
      <w:r>
        <w:rPr>
          <w:b/>
          <w:bCs/>
          <w:color w:val="000000"/>
          <w:spacing w:val="0"/>
          <w:w w:val="100"/>
          <w:position w:val="0"/>
          <w:shd w:val="clear" w:color="auto" w:fill="auto"/>
          <w:lang w:val="cs-CZ" w:eastAsia="cs-CZ" w:bidi="cs-CZ"/>
        </w:rPr>
        <w:t>Zahájení díla:</w:t>
        <w:tab/>
        <w:t>Bez zbytečného odkladu po nabytí účinnosti smlouvy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Dílčí termín předání konceptu závěrečné zprávy studie: do 31. 03. 2025</w:t>
      </w:r>
    </w:p>
    <w:p>
      <w:pPr>
        <w:pStyle w:val="Style2"/>
        <w:keepNext w:val="0"/>
        <w:keepLines w:val="0"/>
        <w:widowControl w:val="0"/>
        <w:shd w:val="clear" w:color="auto" w:fill="auto"/>
        <w:tabs>
          <w:tab w:pos="5659" w:val="left"/>
        </w:tabs>
        <w:bidi w:val="0"/>
        <w:spacing w:before="0" w:line="240" w:lineRule="auto"/>
        <w:ind w:left="0" w:right="0" w:firstLine="0"/>
        <w:jc w:val="left"/>
      </w:pPr>
      <w:r>
        <w:rPr>
          <w:b/>
          <w:bCs/>
          <w:color w:val="000000"/>
          <w:spacing w:val="0"/>
          <w:w w:val="100"/>
          <w:position w:val="0"/>
          <w:shd w:val="clear" w:color="auto" w:fill="auto"/>
          <w:lang w:val="cs-CZ" w:eastAsia="cs-CZ" w:bidi="cs-CZ"/>
        </w:rPr>
        <w:t>Dokončení díla (</w:t>
      </w:r>
      <w:r>
        <w:rPr>
          <w:color w:val="000000"/>
          <w:spacing w:val="0"/>
          <w:w w:val="100"/>
          <w:position w:val="0"/>
          <w:shd w:val="clear" w:color="auto" w:fill="auto"/>
          <w:lang w:val="cs-CZ" w:eastAsia="cs-CZ" w:bidi="cs-CZ"/>
        </w:rPr>
        <w:t>fyzické předání celého díla):</w:t>
        <w:tab/>
        <w:t xml:space="preserve">do </w:t>
      </w:r>
      <w:r>
        <w:rPr>
          <w:b/>
          <w:bCs/>
          <w:color w:val="000000"/>
          <w:spacing w:val="0"/>
          <w:w w:val="100"/>
          <w:position w:val="0"/>
          <w:shd w:val="clear" w:color="auto" w:fill="auto"/>
          <w:lang w:val="cs-CZ" w:eastAsia="cs-CZ" w:bidi="cs-CZ"/>
        </w:rPr>
        <w:t>15. 05. 2025</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Termín dokončení díla může být přiměřeně prodloužen v případě, že dojde ke změně sjednaného rozsahu díla postupem v souladu s touto smlouvou, a to o dobu nezbytně nutnou k provedení takové změny.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dílo bude předáno 1x v tištěné podobě a v digitální podobě na elektronickém nosiči ve formátu pdf, k tomu budou přiloženy veškeré zdrojové soubory ve formátech docx, xlsx, jpg, shp atd.</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Místo plnění:</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Povodí Ohře, státní podnik, Bezručova 4219, 430 03 Chomutov.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CENA</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Cena díla </w:t>
      </w:r>
      <w:r>
        <w:rPr>
          <w:color w:val="000000"/>
          <w:spacing w:val="0"/>
          <w:w w:val="100"/>
          <w:position w:val="0"/>
          <w:shd w:val="clear" w:color="auto" w:fill="auto"/>
          <w:lang w:val="cs-CZ" w:eastAsia="cs-CZ" w:bidi="cs-CZ"/>
        </w:rPr>
        <w:t xml:space="preserve">zahrnuje veškeré náklady zhotovitele související s realizací díla a činí </w:t>
      </w:r>
      <w:r>
        <w:rPr>
          <w:b/>
          <w:bCs/>
          <w:color w:val="000000"/>
          <w:spacing w:val="0"/>
          <w:w w:val="100"/>
          <w:position w:val="0"/>
          <w:shd w:val="clear" w:color="auto" w:fill="auto"/>
          <w:lang w:val="cs-CZ" w:eastAsia="cs-CZ" w:bidi="cs-CZ"/>
        </w:rPr>
        <w:t>celkem: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1 334 000,- Kč bez DPH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 ceně díla bude připočtena DPH ve výši stanovené zákonem v době uskutečnění zdanitelného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občanského zákoníku.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SPOLUPRÁCE OBJEDNATELE</w:t>
      </w:r>
    </w:p>
    <w:p>
      <w:pPr>
        <w:pStyle w:val="Style2"/>
        <w:keepNext w:val="0"/>
        <w:keepLines w:val="0"/>
        <w:widowControl w:val="0"/>
        <w:numPr>
          <w:ilvl w:val="0"/>
          <w:numId w:val="1"/>
        </w:numPr>
        <w:shd w:val="clear" w:color="auto" w:fill="auto"/>
        <w:tabs>
          <w:tab w:pos="382" w:val="left"/>
        </w:tabs>
        <w:bidi w:val="0"/>
        <w:spacing w:before="0" w:line="240" w:lineRule="auto"/>
        <w:ind w:left="380" w:right="0" w:hanging="380"/>
        <w:jc w:val="both"/>
      </w:pPr>
      <w:bookmarkStart w:id="6" w:name="bookmark6"/>
      <w:bookmarkEnd w:id="6"/>
      <w:r>
        <w:rPr>
          <w:color w:val="000000"/>
          <w:spacing w:val="0"/>
          <w:w w:val="100"/>
          <w:position w:val="0"/>
          <w:shd w:val="clear" w:color="auto" w:fill="auto"/>
          <w:lang w:val="cs-CZ" w:eastAsia="cs-CZ" w:bidi="cs-CZ"/>
        </w:rPr>
        <w:t>Objednatel poskytne zhotoviteli dostupné podklady správce vodního toku a správce povodí, zejména údaje z vodohospodářského dispečinku objednatele, technické podklady týkající se vodního díla Nechranice, problematiky záplavového území Ohře. Poskytne součinnost s ohledem na potřebnou spolupráci se státními podniky Povodí Vltavy a Povodí Labe.</w:t>
      </w:r>
    </w:p>
    <w:p>
      <w:pPr>
        <w:pStyle w:val="Style2"/>
        <w:keepNext w:val="0"/>
        <w:keepLines w:val="0"/>
        <w:widowControl w:val="0"/>
        <w:numPr>
          <w:ilvl w:val="0"/>
          <w:numId w:val="1"/>
        </w:numPr>
        <w:shd w:val="clear" w:color="auto" w:fill="auto"/>
        <w:tabs>
          <w:tab w:pos="382" w:val="left"/>
        </w:tabs>
        <w:bidi w:val="0"/>
        <w:spacing w:before="0" w:after="440" w:line="240" w:lineRule="auto"/>
        <w:ind w:left="0" w:right="0" w:firstLine="0"/>
        <w:jc w:val="left"/>
      </w:pPr>
      <w:bookmarkStart w:id="7" w:name="bookmark7"/>
      <w:bookmarkEnd w:id="7"/>
      <w:r>
        <w:rPr>
          <w:color w:val="000000"/>
          <w:spacing w:val="0"/>
          <w:w w:val="100"/>
          <w:position w:val="0"/>
          <w:shd w:val="clear" w:color="auto" w:fill="auto"/>
          <w:lang w:val="cs-CZ" w:eastAsia="cs-CZ" w:bidi="cs-CZ"/>
        </w:rPr>
        <w:t>Objednatel zajistí účast svých pověřených specialistů na výrobních výborech.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PLATEBNÍ PODMÍNKY</w:t>
      </w:r>
    </w:p>
    <w:p>
      <w:pPr>
        <w:pStyle w:val="Style2"/>
        <w:keepNext w:val="0"/>
        <w:keepLines w:val="0"/>
        <w:widowControl w:val="0"/>
        <w:numPr>
          <w:ilvl w:val="0"/>
          <w:numId w:val="3"/>
        </w:numPr>
        <w:shd w:val="clear" w:color="auto" w:fill="auto"/>
        <w:tabs>
          <w:tab w:pos="382" w:val="left"/>
        </w:tabs>
        <w:bidi w:val="0"/>
        <w:spacing w:before="0" w:line="240" w:lineRule="auto"/>
        <w:ind w:left="0" w:right="0" w:firstLine="0"/>
        <w:jc w:val="left"/>
      </w:pPr>
      <w:bookmarkStart w:id="8" w:name="bookmark8"/>
      <w:bookmarkEnd w:id="8"/>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3"/>
        </w:numPr>
        <w:shd w:val="clear" w:color="auto" w:fill="auto"/>
        <w:tabs>
          <w:tab w:pos="382" w:val="left"/>
        </w:tabs>
        <w:bidi w:val="0"/>
        <w:spacing w:before="0" w:line="240" w:lineRule="auto"/>
        <w:ind w:left="380" w:right="0" w:hanging="380"/>
        <w:jc w:val="both"/>
      </w:pPr>
      <w:bookmarkStart w:id="9" w:name="bookmark9"/>
      <w:bookmarkEnd w:id="9"/>
      <w:r>
        <w:rPr>
          <w:color w:val="000000"/>
          <w:spacing w:val="0"/>
          <w:w w:val="100"/>
          <w:position w:val="0"/>
          <w:shd w:val="clear" w:color="auto" w:fill="auto"/>
          <w:lang w:val="cs-CZ" w:eastAsia="cs-CZ" w:bidi="cs-CZ"/>
        </w:rPr>
        <w:t xml:space="preserve">Cena díla bude hrazena na základě dílčí faktury vystavené ve výši do 80 % ceny díla na základě předání a převzetí konceptu závěrečné zprávy studie podle čl. III a konečné faktury na základě vyúčtování po dokončení, předání a převzetí díla. U dílčí faktury se dnem uskutečnění plnění rozumí den podpisu předávacího protokolu konceptu studie, po dokončení díla bude dnem uskutečnění plnění den podpisu předávacího protokolu celého díla. Fakturu je zhotovitel povinen prokazatelně doručit objednateli nejpozději do </w:t>
      </w:r>
      <w:r>
        <w:rPr>
          <w:b/>
          <w:bCs/>
          <w:color w:val="000000"/>
          <w:spacing w:val="0"/>
          <w:w w:val="100"/>
          <w:position w:val="0"/>
          <w:shd w:val="clear" w:color="auto" w:fill="auto"/>
          <w:lang w:val="cs-CZ" w:eastAsia="cs-CZ" w:bidi="cs-CZ"/>
        </w:rPr>
        <w:t xml:space="preserve">15 kalendářních dnů </w:t>
      </w:r>
      <w:r>
        <w:rPr>
          <w:color w:val="000000"/>
          <w:spacing w:val="0"/>
          <w:w w:val="100"/>
          <w:position w:val="0"/>
          <w:shd w:val="clear" w:color="auto" w:fill="auto"/>
          <w:lang w:val="cs-CZ" w:eastAsia="cs-CZ" w:bidi="cs-CZ"/>
        </w:rPr>
        <w:t>ode dne uskutečnění plnění.</w:t>
      </w:r>
    </w:p>
    <w:p>
      <w:pPr>
        <w:pStyle w:val="Style2"/>
        <w:keepNext w:val="0"/>
        <w:keepLines w:val="0"/>
        <w:widowControl w:val="0"/>
        <w:numPr>
          <w:ilvl w:val="0"/>
          <w:numId w:val="3"/>
        </w:numPr>
        <w:shd w:val="clear" w:color="auto" w:fill="auto"/>
        <w:tabs>
          <w:tab w:pos="382" w:val="left"/>
        </w:tabs>
        <w:bidi w:val="0"/>
        <w:spacing w:before="0" w:line="240" w:lineRule="auto"/>
        <w:ind w:left="380" w:right="0" w:hanging="380"/>
        <w:jc w:val="both"/>
      </w:pPr>
      <w:bookmarkStart w:id="10" w:name="bookmark10"/>
      <w:bookmarkEnd w:id="10"/>
      <w:r>
        <w:rPr>
          <w:color w:val="000000"/>
          <w:spacing w:val="0"/>
          <w:w w:val="100"/>
          <w:position w:val="0"/>
          <w:shd w:val="clear" w:color="auto" w:fill="auto"/>
          <w:lang w:val="cs-CZ" w:eastAsia="cs-CZ" w:bidi="cs-CZ"/>
        </w:rPr>
        <w:t xml:space="preserve">Faktura musí splňovat náležitosti ve smyslu daňových a účetních předpisů platných na území České republiky, zejména zákona č. 563/1991 Sb., o účetnictví a zákona č. 235/2004 Sb., o DPH, v platném znění, a dále náležitosti stanovené smlouvou. V případě chybějících nebo chybných náležitostí vrátí objednatel zhotoviteli fakturu </w:t>
      </w:r>
      <w:r>
        <w:rPr>
          <w:color w:val="000000"/>
          <w:spacing w:val="0"/>
          <w:w w:val="100"/>
          <w:position w:val="0"/>
          <w:shd w:val="clear" w:color="auto" w:fill="auto"/>
          <w:lang w:val="cs-CZ" w:eastAsia="cs-CZ" w:bidi="cs-CZ"/>
        </w:rPr>
        <w:t xml:space="preserve">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FF"/>
          <w:spacing w:val="0"/>
          <w:w w:val="100"/>
          <w:position w:val="0"/>
          <w:shd w:val="clear" w:color="auto" w:fill="auto"/>
          <w:lang w:val="cs-CZ" w:eastAsia="cs-CZ" w:bidi="cs-CZ"/>
        </w:rPr>
        <w:t>.</w:t>
      </w:r>
    </w:p>
    <w:p>
      <w:pPr>
        <w:pStyle w:val="Style2"/>
        <w:keepNext w:val="0"/>
        <w:keepLines w:val="0"/>
        <w:widowControl w:val="0"/>
        <w:numPr>
          <w:ilvl w:val="0"/>
          <w:numId w:val="3"/>
        </w:numPr>
        <w:shd w:val="clear" w:color="auto" w:fill="auto"/>
        <w:tabs>
          <w:tab w:pos="366" w:val="left"/>
        </w:tabs>
        <w:bidi w:val="0"/>
        <w:spacing w:before="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Zhotovitel na faktuře uvede při jejím vystavení číslo a název akce dle vzoru dodaného objednatelem. Samostatně budou vystaveny faktury na případné vícepráce.</w:t>
      </w:r>
    </w:p>
    <w:p>
      <w:pPr>
        <w:pStyle w:val="Style2"/>
        <w:keepNext w:val="0"/>
        <w:keepLines w:val="0"/>
        <w:widowControl w:val="0"/>
        <w:numPr>
          <w:ilvl w:val="0"/>
          <w:numId w:val="3"/>
        </w:numPr>
        <w:shd w:val="clear" w:color="auto" w:fill="auto"/>
        <w:tabs>
          <w:tab w:pos="366" w:val="left"/>
        </w:tabs>
        <w:bidi w:val="0"/>
        <w:spacing w:before="0" w:line="240" w:lineRule="auto"/>
        <w:ind w:left="0" w:right="0" w:firstLine="0"/>
        <w:jc w:val="left"/>
      </w:pPr>
      <w:bookmarkStart w:id="12" w:name="bookmark12"/>
      <w:bookmarkEnd w:id="12"/>
      <w:r>
        <w:rPr>
          <w:color w:val="000000"/>
          <w:spacing w:val="0"/>
          <w:w w:val="100"/>
          <w:position w:val="0"/>
          <w:shd w:val="clear" w:color="auto" w:fill="auto"/>
          <w:lang w:val="cs-CZ" w:eastAsia="cs-CZ" w:bidi="cs-CZ"/>
        </w:rPr>
        <w:t>Splatnost faktury je 15 dnů od data doručení faktury objednateli.</w:t>
      </w:r>
    </w:p>
    <w:p>
      <w:pPr>
        <w:pStyle w:val="Style2"/>
        <w:keepNext w:val="0"/>
        <w:keepLines w:val="0"/>
        <w:widowControl w:val="0"/>
        <w:numPr>
          <w:ilvl w:val="0"/>
          <w:numId w:val="3"/>
        </w:numPr>
        <w:shd w:val="clear" w:color="auto" w:fill="auto"/>
        <w:tabs>
          <w:tab w:pos="366" w:val="left"/>
        </w:tabs>
        <w:bidi w:val="0"/>
        <w:spacing w:before="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SANKCE</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4" w:name="bookmark14"/>
      <w:bookmarkEnd w:id="14"/>
      <w:r>
        <w:rPr>
          <w:color w:val="000000"/>
          <w:spacing w:val="0"/>
          <w:w w:val="100"/>
          <w:position w:val="0"/>
          <w:shd w:val="clear" w:color="auto" w:fill="auto"/>
          <w:lang w:val="cs-CZ" w:eastAsia="cs-CZ" w:bidi="cs-CZ"/>
        </w:rPr>
        <w:t>Pokud bude zhotovitel v prodlení proti jakémukoliv ujednanému dílčímu termínu provádění díla, je povinen zaplatit objednateli smluvní pokutu ve výši 0,1 % z ceny díla za každý i započatý den prodlení.</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5" w:name="bookmark15"/>
      <w:bookmarkEnd w:id="15"/>
      <w:r>
        <w:rPr>
          <w:color w:val="000000"/>
          <w:spacing w:val="0"/>
          <w:w w:val="100"/>
          <w:position w:val="0"/>
          <w:shd w:val="clear" w:color="auto" w:fill="auto"/>
          <w:lang w:val="cs-CZ" w:eastAsia="cs-CZ" w:bidi="cs-CZ"/>
        </w:rPr>
        <w:t>Pokud bude objednatel v prodlení s úhradou faktury proti termínu dokončení díla, je povinen zaplatit zhotoviteli úrok z prodlení ve výši 0,1 % z dlužné částky za každý i započatý den prodlení.</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6" w:name="bookmark16"/>
      <w:bookmarkEnd w:id="16"/>
      <w:r>
        <w:rPr>
          <w:color w:val="000000"/>
          <w:spacing w:val="0"/>
          <w:w w:val="100"/>
          <w:position w:val="0"/>
          <w:shd w:val="clear" w:color="auto" w:fill="auto"/>
          <w:lang w:val="cs-CZ" w:eastAsia="cs-CZ" w:bidi="cs-CZ"/>
        </w:rPr>
        <w:t>Sankce se nevztahují na případy, kdy prodlení nebo jiné porušení povinností bylo způsobeno okolnostmi vylučujícími odpovědnost ve smyslu § 2913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19" w:name="bookmark19"/>
      <w:bookmarkEnd w:id="1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5"/>
        </w:numPr>
        <w:shd w:val="clear" w:color="auto" w:fill="auto"/>
        <w:tabs>
          <w:tab w:pos="366" w:val="left"/>
        </w:tabs>
        <w:bidi w:val="0"/>
        <w:spacing w:before="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Zaplacením sankce není dotčen nárok objednatele na náhradu škody způsobené mu porušením povinnosti stanovené zhotoviteli smlouvou o dílo, na niž se sankce vztahuje.</w:t>
      </w:r>
    </w:p>
    <w:p>
      <w:pPr>
        <w:pStyle w:val="Style2"/>
        <w:keepNext w:val="0"/>
        <w:keepLines w:val="0"/>
        <w:widowControl w:val="0"/>
        <w:numPr>
          <w:ilvl w:val="0"/>
          <w:numId w:val="5"/>
        </w:numPr>
        <w:shd w:val="clear" w:color="auto" w:fill="auto"/>
        <w:tabs>
          <w:tab w:pos="366" w:val="left"/>
        </w:tabs>
        <w:bidi w:val="0"/>
        <w:spacing w:before="0" w:after="480" w:line="240" w:lineRule="auto"/>
        <w:ind w:left="0" w:right="0" w:firstLine="0"/>
        <w:jc w:val="left"/>
      </w:pPr>
      <w:bookmarkStart w:id="21" w:name="bookmark21"/>
      <w:bookmarkEnd w:id="21"/>
      <w:r>
        <w:rPr>
          <w:color w:val="000000"/>
          <w:spacing w:val="0"/>
          <w:w w:val="100"/>
          <w:position w:val="0"/>
          <w:shd w:val="clear" w:color="auto" w:fill="auto"/>
          <w:lang w:val="cs-CZ" w:eastAsia="cs-CZ" w:bidi="cs-CZ"/>
        </w:rPr>
        <w:t>Zaplacením smluvních pokut nejsou dotčeny nároky smluvních stran na náhradu škody.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ZAJIŠTĚNÍ ZÁVAZKU</w:t>
      </w:r>
    </w:p>
    <w:p>
      <w:pPr>
        <w:pStyle w:val="Style2"/>
        <w:keepNext w:val="0"/>
        <w:keepLines w:val="0"/>
        <w:widowControl w:val="0"/>
        <w:numPr>
          <w:ilvl w:val="0"/>
          <w:numId w:val="7"/>
        </w:numPr>
        <w:shd w:val="clear" w:color="auto" w:fill="auto"/>
        <w:tabs>
          <w:tab w:pos="366" w:val="left"/>
        </w:tabs>
        <w:bidi w:val="0"/>
        <w:spacing w:before="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Objednatel se zavazuje řádně provedené dílo bez vad a nedodělků podle ustanovení této smlouvy převzít a zaplatit za dílo dohodnutou cenu. Dílo má vadu, neodpovídá-li této smlouvě a její příloze.</w:t>
      </w:r>
    </w:p>
    <w:p>
      <w:pPr>
        <w:pStyle w:val="Style2"/>
        <w:keepNext w:val="0"/>
        <w:keepLines w:val="0"/>
        <w:widowControl w:val="0"/>
        <w:numPr>
          <w:ilvl w:val="0"/>
          <w:numId w:val="7"/>
        </w:numPr>
        <w:shd w:val="clear" w:color="auto" w:fill="auto"/>
        <w:tabs>
          <w:tab w:pos="366" w:val="left"/>
        </w:tabs>
        <w:bidi w:val="0"/>
        <w:spacing w:before="0" w:line="240" w:lineRule="auto"/>
        <w:ind w:left="380" w:right="0" w:hanging="380"/>
        <w:jc w:val="both"/>
      </w:pPr>
      <w:bookmarkStart w:id="23" w:name="bookmark23"/>
      <w:bookmarkEnd w:id="23"/>
      <w:r>
        <w:rPr>
          <w:color w:val="000000"/>
          <w:spacing w:val="0"/>
          <w:w w:val="100"/>
          <w:position w:val="0"/>
          <w:shd w:val="clear" w:color="auto" w:fill="auto"/>
          <w:lang w:val="cs-CZ" w:eastAsia="cs-CZ" w:bidi="cs-CZ"/>
        </w:rPr>
        <w:t xml:space="preserve">Zhotovitel odpovídá za to, že dílo plně vyhoví podmínkám stanoveným platnými právními předpisy a podmínkám dohodnutým v této smlouvě. Zhotovitel je povinen při provádění </w:t>
      </w:r>
      <w:r>
        <w:rPr>
          <w:color w:val="000000"/>
          <w:spacing w:val="0"/>
          <w:w w:val="100"/>
          <w:position w:val="0"/>
          <w:shd w:val="clear" w:color="auto" w:fill="auto"/>
          <w:lang w:val="cs-CZ" w:eastAsia="cs-CZ" w:bidi="cs-CZ"/>
        </w:rPr>
        <w:t>díla a jeho částí dodržovat obecně závazné právní předpisy, platné české technické normy, ujednání této smlouvy a její přílohy.</w:t>
      </w:r>
    </w:p>
    <w:p>
      <w:pPr>
        <w:pStyle w:val="Style2"/>
        <w:keepNext w:val="0"/>
        <w:keepLines w:val="0"/>
        <w:widowControl w:val="0"/>
        <w:numPr>
          <w:ilvl w:val="0"/>
          <w:numId w:val="7"/>
        </w:numPr>
        <w:shd w:val="clear" w:color="auto" w:fill="auto"/>
        <w:tabs>
          <w:tab w:pos="374" w:val="left"/>
        </w:tabs>
        <w:bidi w:val="0"/>
        <w:spacing w:before="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w:t>
      </w:r>
    </w:p>
    <w:p>
      <w:pPr>
        <w:pStyle w:val="Style2"/>
        <w:keepNext w:val="0"/>
        <w:keepLines w:val="0"/>
        <w:widowControl w:val="0"/>
        <w:numPr>
          <w:ilvl w:val="0"/>
          <w:numId w:val="7"/>
        </w:numPr>
        <w:shd w:val="clear" w:color="auto" w:fill="auto"/>
        <w:tabs>
          <w:tab w:pos="374" w:val="left"/>
        </w:tabs>
        <w:bidi w:val="0"/>
        <w:spacing w:before="0" w:line="240" w:lineRule="auto"/>
        <w:ind w:left="380" w:right="0" w:hanging="380"/>
        <w:jc w:val="both"/>
      </w:pPr>
      <w:bookmarkStart w:id="25" w:name="bookmark25"/>
      <w:bookmarkEnd w:id="25"/>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7"/>
        </w:numPr>
        <w:shd w:val="clear" w:color="auto" w:fill="auto"/>
        <w:tabs>
          <w:tab w:pos="374" w:val="left"/>
        </w:tabs>
        <w:bidi w:val="0"/>
        <w:spacing w:before="0" w:line="240" w:lineRule="auto"/>
        <w:ind w:left="0" w:right="0" w:firstLine="0"/>
        <w:jc w:val="left"/>
      </w:pPr>
      <w:bookmarkStart w:id="26" w:name="bookmark26"/>
      <w:bookmarkEnd w:id="26"/>
      <w:r>
        <w:rPr>
          <w:color w:val="000000"/>
          <w:spacing w:val="0"/>
          <w:w w:val="100"/>
          <w:position w:val="0"/>
          <w:shd w:val="clear" w:color="auto" w:fill="auto"/>
          <w:lang w:val="cs-CZ" w:eastAsia="cs-CZ" w:bidi="cs-CZ"/>
        </w:rPr>
        <w:t>Odstranění vady nemá vliv na nárok objednatele na smluvní pokutu a náhradu škody.</w:t>
      </w:r>
    </w:p>
    <w:p>
      <w:pPr>
        <w:pStyle w:val="Style2"/>
        <w:keepNext w:val="0"/>
        <w:keepLines w:val="0"/>
        <w:widowControl w:val="0"/>
        <w:numPr>
          <w:ilvl w:val="0"/>
          <w:numId w:val="7"/>
        </w:numPr>
        <w:shd w:val="clear" w:color="auto" w:fill="auto"/>
        <w:tabs>
          <w:tab w:pos="374" w:val="left"/>
        </w:tabs>
        <w:bidi w:val="0"/>
        <w:spacing w:before="0" w:line="240" w:lineRule="auto"/>
        <w:ind w:left="380" w:right="0" w:hanging="380"/>
        <w:jc w:val="both"/>
      </w:pPr>
      <w:bookmarkStart w:id="27" w:name="bookmark27"/>
      <w:bookmarkEnd w:id="27"/>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w:t>
      </w:r>
    </w:p>
    <w:p>
      <w:pPr>
        <w:pStyle w:val="Style2"/>
        <w:keepNext w:val="0"/>
        <w:keepLines w:val="0"/>
        <w:widowControl w:val="0"/>
        <w:numPr>
          <w:ilvl w:val="0"/>
          <w:numId w:val="7"/>
        </w:numPr>
        <w:shd w:val="clear" w:color="auto" w:fill="auto"/>
        <w:tabs>
          <w:tab w:pos="374" w:val="left"/>
        </w:tabs>
        <w:bidi w:val="0"/>
        <w:spacing w:before="0" w:after="440" w:line="240" w:lineRule="auto"/>
        <w:ind w:left="380" w:right="0" w:hanging="380"/>
        <w:jc w:val="both"/>
      </w:pPr>
      <w:bookmarkStart w:id="28" w:name="bookmark28"/>
      <w:bookmarkEnd w:id="28"/>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LICENČNÍ PODMÍNKY</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X. OSTATNÍ USTANOVENÍ</w:t>
      </w:r>
    </w:p>
    <w:p>
      <w:pPr>
        <w:pStyle w:val="Style2"/>
        <w:keepNext w:val="0"/>
        <w:keepLines w:val="0"/>
        <w:widowControl w:val="0"/>
        <w:numPr>
          <w:ilvl w:val="0"/>
          <w:numId w:val="9"/>
        </w:numPr>
        <w:shd w:val="clear" w:color="auto" w:fill="auto"/>
        <w:tabs>
          <w:tab w:pos="374" w:val="left"/>
        </w:tabs>
        <w:bidi w:val="0"/>
        <w:spacing w:before="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9"/>
        </w:numPr>
        <w:shd w:val="clear" w:color="auto" w:fill="auto"/>
        <w:tabs>
          <w:tab w:pos="374"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mohly mít vliv na cenu díla.</w:t>
      </w:r>
    </w:p>
    <w:p>
      <w:pPr>
        <w:pStyle w:val="Style2"/>
        <w:keepNext w:val="0"/>
        <w:keepLines w:val="0"/>
        <w:widowControl w:val="0"/>
        <w:numPr>
          <w:ilvl w:val="0"/>
          <w:numId w:val="9"/>
        </w:numPr>
        <w:shd w:val="clear" w:color="auto" w:fill="auto"/>
        <w:tabs>
          <w:tab w:pos="374"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9"/>
        </w:numPr>
        <w:shd w:val="clear" w:color="auto" w:fill="auto"/>
        <w:tabs>
          <w:tab w:pos="374" w:val="left"/>
        </w:tabs>
        <w:bidi w:val="0"/>
        <w:spacing w:before="0" w:line="240" w:lineRule="auto"/>
        <w:ind w:left="380" w:right="0" w:hanging="380"/>
        <w:jc w:val="both"/>
      </w:pPr>
      <w:bookmarkStart w:id="32" w:name="bookmark32"/>
      <w:bookmarkEnd w:id="3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9"/>
        </w:numPr>
        <w:shd w:val="clear" w:color="auto" w:fill="auto"/>
        <w:tabs>
          <w:tab w:pos="374" w:val="left"/>
        </w:tabs>
        <w:bidi w:val="0"/>
        <w:spacing w:before="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Rozsah díla může být měněn pouze na základě oboustranné dohody vyjádřené formou písemného dodatku této smlouvy.</w:t>
      </w:r>
    </w:p>
    <w:p>
      <w:pPr>
        <w:pStyle w:val="Style2"/>
        <w:keepNext w:val="0"/>
        <w:keepLines w:val="0"/>
        <w:widowControl w:val="0"/>
        <w:numPr>
          <w:ilvl w:val="0"/>
          <w:numId w:val="9"/>
        </w:numPr>
        <w:shd w:val="clear" w:color="auto" w:fill="auto"/>
        <w:tabs>
          <w:tab w:pos="374" w:val="left"/>
        </w:tabs>
        <w:bidi w:val="0"/>
        <w:spacing w:before="0" w:line="240" w:lineRule="auto"/>
        <w:ind w:left="0" w:right="0" w:firstLine="0"/>
        <w:jc w:val="left"/>
      </w:pPr>
      <w:bookmarkStart w:id="34" w:name="bookmark34"/>
      <w:bookmarkEnd w:id="34"/>
      <w:r>
        <w:rPr>
          <w:color w:val="000000"/>
          <w:spacing w:val="0"/>
          <w:w w:val="100"/>
          <w:position w:val="0"/>
          <w:shd w:val="clear" w:color="auto" w:fill="auto"/>
          <w:lang w:val="cs-CZ" w:eastAsia="cs-CZ" w:bidi="cs-CZ"/>
        </w:rPr>
        <w:t>Zhotovitel může předmět díla použít pouze se souhlasem objednatele.</w:t>
      </w:r>
    </w:p>
    <w:p>
      <w:pPr>
        <w:pStyle w:val="Style17"/>
        <w:keepNext/>
        <w:keepLines/>
        <w:widowControl w:val="0"/>
        <w:shd w:val="clear" w:color="auto" w:fill="auto"/>
        <w:bidi w:val="0"/>
        <w:spacing w:before="0" w:after="180" w:line="240" w:lineRule="auto"/>
        <w:ind w:left="0" w:right="0" w:firstLine="0"/>
        <w:jc w:val="center"/>
      </w:pPr>
      <w:bookmarkStart w:id="35" w:name="bookmark35"/>
      <w:bookmarkStart w:id="36" w:name="bookmark36"/>
      <w:bookmarkStart w:id="37" w:name="bookmark37"/>
      <w:r>
        <w:rPr>
          <w:b/>
          <w:bCs/>
          <w:color w:val="000000"/>
          <w:spacing w:val="0"/>
          <w:w w:val="100"/>
          <w:position w:val="0"/>
          <w:shd w:val="clear" w:color="auto" w:fill="auto"/>
          <w:lang w:val="cs-CZ" w:eastAsia="cs-CZ" w:bidi="cs-CZ"/>
        </w:rPr>
        <w:t>Čl. XI. COMPLIANCE DOLOŽKA</w:t>
      </w:r>
      <w:bookmarkEnd w:id="35"/>
      <w:bookmarkEnd w:id="36"/>
      <w:bookmarkEnd w:id="37"/>
    </w:p>
    <w:p>
      <w:pPr>
        <w:pStyle w:val="Style2"/>
        <w:keepNext w:val="0"/>
        <w:keepLines w:val="0"/>
        <w:widowControl w:val="0"/>
        <w:numPr>
          <w:ilvl w:val="0"/>
          <w:numId w:val="11"/>
        </w:numPr>
        <w:shd w:val="clear" w:color="auto" w:fill="auto"/>
        <w:tabs>
          <w:tab w:pos="427" w:val="left"/>
        </w:tabs>
        <w:bidi w:val="0"/>
        <w:spacing w:before="0" w:after="320" w:line="240" w:lineRule="auto"/>
        <w:ind w:left="440" w:right="0" w:hanging="440"/>
        <w:jc w:val="both"/>
      </w:pPr>
      <w:bookmarkStart w:id="38" w:name="bookmark38"/>
      <w:bookmarkEnd w:id="3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1"/>
        </w:numPr>
        <w:shd w:val="clear" w:color="auto" w:fill="auto"/>
        <w:tabs>
          <w:tab w:pos="427" w:val="left"/>
        </w:tabs>
        <w:bidi w:val="0"/>
        <w:spacing w:before="0" w:after="260" w:line="240" w:lineRule="auto"/>
        <w:ind w:left="440" w:right="0" w:hanging="440"/>
        <w:jc w:val="both"/>
      </w:pPr>
      <w:bookmarkStart w:id="39" w:name="bookmark39"/>
      <w:bookmarkEnd w:id="3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1"/>
        </w:numPr>
        <w:shd w:val="clear" w:color="auto" w:fill="auto"/>
        <w:tabs>
          <w:tab w:pos="427" w:val="left"/>
        </w:tabs>
        <w:bidi w:val="0"/>
        <w:spacing w:before="0" w:after="26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 xml:space="preserve">Zhotovitel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1"/>
        </w:numPr>
        <w:shd w:val="clear" w:color="auto" w:fill="auto"/>
        <w:tabs>
          <w:tab w:pos="427" w:val="left"/>
        </w:tabs>
        <w:bidi w:val="0"/>
        <w:spacing w:before="0" w:after="56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XII. OCHRANA A ZPRACOVÁNÍ OSOBNÍCH ÚDAJŮ</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Pr>
          <w:color w:val="000000"/>
          <w:spacing w:val="0"/>
          <w:w w:val="100"/>
          <w:position w:val="0"/>
          <w:shd w:val="clear" w:color="auto" w:fill="auto"/>
          <w:lang w:val="cs-CZ" w:eastAsia="cs-CZ" w:bidi="cs-CZ"/>
        </w:rPr>
        <w:t xml:space="preserve">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XIII. ZÁVĚREČNÁ USTANOVENÍ</w:t>
      </w:r>
    </w:p>
    <w:p>
      <w:pPr>
        <w:pStyle w:val="Style2"/>
        <w:keepNext w:val="0"/>
        <w:keepLines w:val="0"/>
        <w:widowControl w:val="0"/>
        <w:numPr>
          <w:ilvl w:val="0"/>
          <w:numId w:val="13"/>
        </w:numPr>
        <w:shd w:val="clear" w:color="auto" w:fill="auto"/>
        <w:tabs>
          <w:tab w:pos="427" w:val="left"/>
        </w:tabs>
        <w:bidi w:val="0"/>
        <w:spacing w:before="0" w:after="18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13"/>
        </w:numPr>
        <w:shd w:val="clear" w:color="auto" w:fill="auto"/>
        <w:tabs>
          <w:tab w:pos="427" w:val="left"/>
        </w:tabs>
        <w:bidi w:val="0"/>
        <w:spacing w:before="0" w:after="22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dodatku. Návrh dodatku ke smlouvě předloží zhotovitel objednateli v elektronické podobě nejpozději 14 dnů před ukončením termínu plnění dle smlouvy.</w:t>
      </w:r>
      <w:r>
        <w:br w:type="page"/>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44" w:name="bookmark44"/>
      <w:bookmarkEnd w:id="4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13"/>
        </w:numPr>
        <w:shd w:val="clear" w:color="auto" w:fill="auto"/>
        <w:tabs>
          <w:tab w:pos="427" w:val="left"/>
        </w:tabs>
        <w:bidi w:val="0"/>
        <w:spacing w:before="0" w:after="0" w:line="240" w:lineRule="auto"/>
        <w:ind w:left="380" w:right="0" w:hanging="380"/>
        <w:jc w:val="both"/>
      </w:pPr>
      <w:bookmarkStart w:id="45" w:name="bookmark45"/>
      <w:bookmarkEnd w:id="45"/>
      <w:r>
        <w:rPr>
          <w:color w:val="000000"/>
          <w:spacing w:val="0"/>
          <w:w w:val="100"/>
          <w:position w:val="0"/>
          <w:shd w:val="clear" w:color="auto" w:fill="auto"/>
          <w:lang w:val="cs-CZ" w:eastAsia="cs-CZ" w:bidi="cs-CZ"/>
        </w:rPr>
        <w:t>Objednatel je oprávněn odstoupit od smlouvy při podstatném porušení smlouvy zhotovitelem, a to zejména:</w:t>
      </w:r>
    </w:p>
    <w:p>
      <w:pPr>
        <w:pStyle w:val="Style2"/>
        <w:keepNext w:val="0"/>
        <w:keepLines w:val="0"/>
        <w:widowControl w:val="0"/>
        <w:numPr>
          <w:ilvl w:val="0"/>
          <w:numId w:val="15"/>
        </w:numPr>
        <w:shd w:val="clear" w:color="auto" w:fill="auto"/>
        <w:tabs>
          <w:tab w:pos="770" w:val="left"/>
        </w:tabs>
        <w:bidi w:val="0"/>
        <w:spacing w:before="0" w:after="0" w:line="240" w:lineRule="auto"/>
        <w:ind w:left="740" w:right="0" w:hanging="300"/>
        <w:jc w:val="both"/>
      </w:pPr>
      <w:bookmarkStart w:id="46" w:name="bookmark46"/>
      <w:bookmarkEnd w:id="46"/>
      <w:r>
        <w:rPr>
          <w:color w:val="000000"/>
          <w:spacing w:val="0"/>
          <w:w w:val="100"/>
          <w:position w:val="0"/>
          <w:shd w:val="clear" w:color="auto" w:fill="auto"/>
          <w:lang w:val="cs-CZ" w:eastAsia="cs-CZ" w:bidi="cs-CZ"/>
        </w:rPr>
        <w:t>pokud zhotovitel nezahájí provádění díla ve lhůtě do 6 týdnů po uzavření smlouvy o dílo,</w:t>
      </w:r>
    </w:p>
    <w:p>
      <w:pPr>
        <w:pStyle w:val="Style2"/>
        <w:keepNext w:val="0"/>
        <w:keepLines w:val="0"/>
        <w:widowControl w:val="0"/>
        <w:numPr>
          <w:ilvl w:val="0"/>
          <w:numId w:val="15"/>
        </w:numPr>
        <w:shd w:val="clear" w:color="auto" w:fill="auto"/>
        <w:tabs>
          <w:tab w:pos="770" w:val="left"/>
        </w:tabs>
        <w:bidi w:val="0"/>
        <w:spacing w:before="0" w:line="240" w:lineRule="auto"/>
        <w:ind w:left="0" w:right="0" w:firstLine="380"/>
        <w:jc w:val="left"/>
      </w:pPr>
      <w:bookmarkStart w:id="47" w:name="bookmark47"/>
      <w:bookmarkEnd w:id="47"/>
      <w:r>
        <w:rPr>
          <w:color w:val="000000"/>
          <w:spacing w:val="0"/>
          <w:w w:val="100"/>
          <w:position w:val="0"/>
          <w:shd w:val="clear" w:color="auto" w:fill="auto"/>
          <w:lang w:val="cs-CZ" w:eastAsia="cs-CZ" w:bidi="cs-CZ"/>
        </w:rPr>
        <w:t>při prodlení zhotovitele se splněním termínu dokončení díla delším než 30 dnů.</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V případě odstoupení od smlouvy z důvodů na straně objednatele je objednatel povinen uhradit náklady, které zhotoviteli s prováděním díla do doby odstoupení vznikly.</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Na svědectví tohoto smluvní strany tímto podepisují smlouvu. Tato smlouva je vyhotovena ve třech vyhotoveních, z nichž každé má platnost originálu. Objednatel obdrží dvě a zhotovitel jedno vyhotovení smlouvy.</w:t>
      </w:r>
    </w:p>
    <w:p>
      <w:pPr>
        <w:pStyle w:val="Style2"/>
        <w:keepNext w:val="0"/>
        <w:keepLines w:val="0"/>
        <w:widowControl w:val="0"/>
        <w:numPr>
          <w:ilvl w:val="0"/>
          <w:numId w:val="13"/>
        </w:numPr>
        <w:shd w:val="clear" w:color="auto" w:fill="auto"/>
        <w:tabs>
          <w:tab w:pos="427" w:val="left"/>
        </w:tabs>
        <w:bidi w:val="0"/>
        <w:spacing w:before="0" w:line="240" w:lineRule="auto"/>
        <w:ind w:left="0" w:right="0" w:firstLine="0"/>
        <w:jc w:val="left"/>
      </w:pPr>
      <w:bookmarkStart w:id="52" w:name="bookmark52"/>
      <w:bookmarkEnd w:id="5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3"/>
        </w:numPr>
        <w:shd w:val="clear" w:color="auto" w:fill="auto"/>
        <w:tabs>
          <w:tab w:pos="502" w:val="left"/>
        </w:tabs>
        <w:bidi w:val="0"/>
        <w:spacing w:before="0" w:after="44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Smlouva nabývá platnosti dnem jejího podpisu poslední ze smluvních stran a účinnosti zveřejněním v Registru smluv.</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1440" w:right="0" w:hanging="1440"/>
        <w:jc w:val="both"/>
      </w:pPr>
      <w:r>
        <w:rPr>
          <w:color w:val="000000"/>
          <w:spacing w:val="0"/>
          <w:w w:val="100"/>
          <w:position w:val="0"/>
          <w:shd w:val="clear" w:color="auto" w:fill="auto"/>
          <w:lang w:val="cs-CZ" w:eastAsia="cs-CZ" w:bidi="cs-CZ"/>
        </w:rPr>
        <w:t>Příloha č. 1 – Obsah studie pod názvem: „Vodohospodářské funkce propojení jezera Libouš s vodní nádrží Nechranice i v interakci s Vltavskou kaskádou“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3 – Čestné prohlášení k finančním sankcím</w:t>
      </w:r>
    </w:p>
    <w:p>
      <w:pPr>
        <w:widowControl w:val="0"/>
        <w:spacing w:line="1" w:lineRule="exact"/>
        <w:sectPr>
          <w:footnotePr>
            <w:pos w:val="pageBottom"/>
            <w:numFmt w:val="decimal"/>
            <w:numRestart w:val="continuous"/>
          </w:footnotePr>
          <w:type w:val="continuous"/>
          <w:pgSz w:w="11909" w:h="16838"/>
          <w:pgMar w:top="878" w:left="1394" w:right="857" w:bottom="1461" w:header="450" w:footer="3" w:gutter="0"/>
          <w:cols w:space="720"/>
          <w:noEndnote/>
          <w:rtlGutter w:val="0"/>
          <w:docGrid w:linePitch="360"/>
        </w:sectPr>
      </w:pPr>
      <w:r>
        <mc:AlternateContent>
          <mc:Choice Requires="wps">
            <w:drawing>
              <wp:anchor distT="508000" distB="0" distL="0" distR="0" simplePos="0" relativeHeight="125829386" behindDoc="0" locked="0" layoutInCell="1" allowOverlap="1">
                <wp:simplePos x="0" y="0"/>
                <wp:positionH relativeFrom="page">
                  <wp:posOffset>885190</wp:posOffset>
                </wp:positionH>
                <wp:positionV relativeFrom="paragraph">
                  <wp:posOffset>508000</wp:posOffset>
                </wp:positionV>
                <wp:extent cx="1999615" cy="228600"/>
                <wp:wrapTopAndBottom/>
                <wp:docPr id="11" name="Shape 11"/>
                <a:graphic xmlns:a="http://schemas.openxmlformats.org/drawingml/2006/main">
                  <a:graphicData uri="http://schemas.microsoft.com/office/word/2010/wordprocessingShape">
                    <wps:wsp>
                      <wps:cNvSpPr txBox="1"/>
                      <wps:spPr>
                        <a:xfrm>
                          <a:ext cx="19996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Chomutov, dne …………………</w:t>
                            </w:r>
                          </w:p>
                        </w:txbxContent>
                      </wps:txbx>
                      <wps:bodyPr wrap="none" lIns="0" tIns="0" rIns="0" bIns="0">
                        <a:noAutoFit/>
                      </wps:bodyPr>
                    </wps:wsp>
                  </a:graphicData>
                </a:graphic>
              </wp:anchor>
            </w:drawing>
          </mc:Choice>
          <mc:Fallback>
            <w:pict>
              <v:shape id="_x0000_s1037" type="#_x0000_t202" style="position:absolute;margin-left:69.700000000000003pt;margin-top:40.pt;width:157.45000000000002pt;height:18.pt;z-index:-125829367;mso-wrap-distance-left:0;mso-wrap-distance-top:40.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Chomutov, dne …………………</w:t>
                      </w:r>
                    </w:p>
                  </w:txbxContent>
                </v:textbox>
                <w10:wrap type="topAndBottom" anchorx="page"/>
              </v:shape>
            </w:pict>
          </mc:Fallback>
        </mc:AlternateContent>
      </w:r>
      <w:r>
        <mc:AlternateContent>
          <mc:Choice Requires="wps">
            <w:drawing>
              <wp:anchor distT="508000" distB="0" distL="0" distR="0" simplePos="0" relativeHeight="125829388" behindDoc="0" locked="0" layoutInCell="1" allowOverlap="1">
                <wp:simplePos x="0" y="0"/>
                <wp:positionH relativeFrom="page">
                  <wp:posOffset>4030980</wp:posOffset>
                </wp:positionH>
                <wp:positionV relativeFrom="paragraph">
                  <wp:posOffset>508000</wp:posOffset>
                </wp:positionV>
                <wp:extent cx="1953895" cy="228600"/>
                <wp:wrapTopAndBottom/>
                <wp:docPr id="13" name="Shape 13"/>
                <a:graphic xmlns:a="http://schemas.openxmlformats.org/drawingml/2006/main">
                  <a:graphicData uri="http://schemas.microsoft.com/office/word/2010/wordprocessingShape">
                    <wps:wsp>
                      <wps:cNvSpPr txBox="1"/>
                      <wps:spPr>
                        <a:xfrm>
                          <a:ext cx="1953895" cy="228600"/>
                        </a:xfrm>
                        <a:prstGeom prst="rect"/>
                        <a:noFill/>
                      </wps:spPr>
                      <wps:txbx>
                        <w:txbxContent>
                          <w:p>
                            <w:pPr>
                              <w:pStyle w:val="Style2"/>
                              <w:keepNext w:val="0"/>
                              <w:keepLines w:val="0"/>
                              <w:widowControl w:val="0"/>
                              <w:shd w:val="clear" w:color="auto" w:fill="auto"/>
                              <w:tabs>
                                <w:tab w:pos="3019" w:val="left"/>
                              </w:tabs>
                              <w:bidi w:val="0"/>
                              <w:spacing w:before="0" w:after="0" w:line="240" w:lineRule="auto"/>
                              <w:ind w:left="0" w:right="0" w:firstLine="0"/>
                              <w:jc w:val="right"/>
                            </w:pPr>
                            <w:r>
                              <w:rPr>
                                <w:color w:val="000000"/>
                                <w:spacing w:val="0"/>
                                <w:w w:val="100"/>
                                <w:position w:val="0"/>
                                <w:shd w:val="clear" w:color="auto" w:fill="auto"/>
                                <w:lang w:val="cs-CZ" w:eastAsia="cs-CZ" w:bidi="cs-CZ"/>
                              </w:rPr>
                              <w:t>V Praze, dne ………………</w:t>
                            </w:r>
                            <w:r>
                              <w:rPr>
                                <w:u w:val="single"/>
                              </w:rPr>
                              <w:t xml:space="preserve"> </w:t>
                              <w:tab/>
                            </w:r>
                          </w:p>
                        </w:txbxContent>
                      </wps:txbx>
                      <wps:bodyPr wrap="none" lIns="0" tIns="0" rIns="0" bIns="0">
                        <a:noAutoFit/>
                      </wps:bodyPr>
                    </wps:wsp>
                  </a:graphicData>
                </a:graphic>
              </wp:anchor>
            </w:drawing>
          </mc:Choice>
          <mc:Fallback>
            <w:pict>
              <v:shape id="_x0000_s1039" type="#_x0000_t202" style="position:absolute;margin-left:317.40000000000003pt;margin-top:40.pt;width:153.84999999999999pt;height:18.pt;z-index:-125829365;mso-wrap-distance-left:0;mso-wrap-distance-top:40.pt;mso-wrap-distance-right:0;mso-position-horizontal-relative:page" filled="f" stroked="f">
                <v:textbox inset="0,0,0,0">
                  <w:txbxContent>
                    <w:p>
                      <w:pPr>
                        <w:pStyle w:val="Style2"/>
                        <w:keepNext w:val="0"/>
                        <w:keepLines w:val="0"/>
                        <w:widowControl w:val="0"/>
                        <w:shd w:val="clear" w:color="auto" w:fill="auto"/>
                        <w:tabs>
                          <w:tab w:pos="3019" w:val="left"/>
                        </w:tabs>
                        <w:bidi w:val="0"/>
                        <w:spacing w:before="0" w:after="0" w:line="240" w:lineRule="auto"/>
                        <w:ind w:left="0" w:right="0" w:firstLine="0"/>
                        <w:jc w:val="right"/>
                      </w:pPr>
                      <w:r>
                        <w:rPr>
                          <w:color w:val="000000"/>
                          <w:spacing w:val="0"/>
                          <w:w w:val="100"/>
                          <w:position w:val="0"/>
                          <w:shd w:val="clear" w:color="auto" w:fill="auto"/>
                          <w:lang w:val="cs-CZ" w:eastAsia="cs-CZ" w:bidi="cs-CZ"/>
                        </w:rPr>
                        <w:t>V Praze, dne ………………</w:t>
                      </w:r>
                      <w:r>
                        <w:rPr>
                          <w:u w:val="single"/>
                        </w:rPr>
                        <w:t xml:space="preserve"> </w:t>
                        <w:tab/>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4" w:after="1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27" w:left="0" w:right="0" w:bottom="150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0" behindDoc="0" locked="0" layoutInCell="1" allowOverlap="1">
                <wp:simplePos x="0" y="0"/>
                <wp:positionH relativeFrom="page">
                  <wp:posOffset>885190</wp:posOffset>
                </wp:positionH>
                <wp:positionV relativeFrom="paragraph">
                  <wp:posOffset>12700</wp:posOffset>
                </wp:positionV>
                <wp:extent cx="2218690" cy="548640"/>
                <wp:wrapSquare wrapText="bothSides"/>
                <wp:docPr id="15" name="Shape 15"/>
                <a:graphic xmlns:a="http://schemas.openxmlformats.org/drawingml/2006/main">
                  <a:graphicData uri="http://schemas.microsoft.com/office/word/2010/wordprocessingShape">
                    <wps:wsp>
                      <wps:cNvSpPr txBox="1"/>
                      <wps:spPr>
                        <a:xfrm>
                          <a:ext cx="2218690" cy="548640"/>
                        </a:xfrm>
                        <a:prstGeom prst="rect"/>
                        <a:noFill/>
                      </wps:spPr>
                      <wps:txbx>
                        <w:txbxContent>
                          <w:p>
                            <w:pPr>
                              <w:pStyle w:val="Style2"/>
                              <w:keepNext w:val="0"/>
                              <w:keepLines w:val="0"/>
                              <w:widowControl w:val="0"/>
                              <w:shd w:val="clear" w:color="auto" w:fill="auto"/>
                              <w:tabs>
                                <w:tab w:leader="hyphen" w:pos="3437"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t xml:space="preserve"> ředitel správy povodí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1" type="#_x0000_t202" style="position:absolute;margin-left:69.700000000000003pt;margin-top:1.pt;width:174.70000000000002pt;height:43.200000000000003pt;z-index:-125829363;mso-wrap-distance-left:9.pt;mso-wrap-distance-right:9.pt;mso-position-horizontal-relative:page" filled="f" stroked="f">
                <v:textbox inset="0,0,0,0">
                  <w:txbxContent>
                    <w:p>
                      <w:pPr>
                        <w:pStyle w:val="Style2"/>
                        <w:keepNext w:val="0"/>
                        <w:keepLines w:val="0"/>
                        <w:widowControl w:val="0"/>
                        <w:shd w:val="clear" w:color="auto" w:fill="auto"/>
                        <w:tabs>
                          <w:tab w:leader="hyphen" w:pos="3437"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t xml:space="preserve"> ředitel správy povodí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p>
    <w:p>
      <w:pPr>
        <w:pStyle w:val="Style2"/>
        <w:keepNext w:val="0"/>
        <w:keepLines w:val="0"/>
        <w:widowControl w:val="0"/>
        <w:shd w:val="clear" w:color="auto" w:fill="auto"/>
        <w:tabs>
          <w:tab w:leader="hyphen" w:pos="4665" w:val="left"/>
        </w:tabs>
        <w:bidi w:val="0"/>
        <w:spacing w:before="0" w:after="0" w:line="240" w:lineRule="auto"/>
        <w:ind w:left="1300" w:right="0" w:firstLine="0"/>
        <w:jc w:val="left"/>
      </w:pPr>
      <w:r>
        <w:rPr>
          <w:color w:val="000000"/>
          <w:spacing w:val="0"/>
          <w:w w:val="100"/>
          <w:position w:val="0"/>
          <w:shd w:val="clear" w:color="auto" w:fill="auto"/>
          <w:lang w:val="cs-CZ" w:eastAsia="cs-CZ" w:bidi="cs-CZ"/>
        </w:rPr>
        <w:tab/>
        <w:t xml:space="preserve"> tajemník Fakulty stavební</w:t>
      </w:r>
    </w:p>
    <w:p>
      <w:pPr>
        <w:pStyle w:val="Style2"/>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cs-CZ" w:eastAsia="cs-CZ" w:bidi="cs-CZ"/>
        </w:rPr>
        <w:t>České vysoké učení technické v Praze – Fakulta stavební</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Příloha č. 1</w:t>
      </w:r>
    </w:p>
    <w:p>
      <w:pPr>
        <w:pStyle w:val="Style2"/>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„Vodohospodářské funkce propojení jezera Libouš s vodní nádrží Nechranice</w:t>
        <w:br/>
        <w:t>i v interakci s Vltavskou kaskádou“</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Specifikace prací:</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left"/>
      </w:pPr>
      <w:bookmarkStart w:id="54" w:name="bookmark54"/>
      <w:bookmarkEnd w:id="54"/>
      <w:r>
        <w:rPr>
          <w:b/>
          <w:bCs/>
          <w:color w:val="000000"/>
          <w:spacing w:val="0"/>
          <w:w w:val="100"/>
          <w:position w:val="0"/>
          <w:shd w:val="clear" w:color="auto" w:fill="auto"/>
          <w:lang w:val="cs-CZ" w:eastAsia="cs-CZ" w:bidi="cs-CZ"/>
        </w:rPr>
        <w:t>Přípravné práce</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55" w:name="bookmark55"/>
      <w:bookmarkEnd w:id="55"/>
      <w:r>
        <w:rPr>
          <w:color w:val="000000"/>
          <w:spacing w:val="0"/>
          <w:w w:val="100"/>
          <w:position w:val="0"/>
          <w:shd w:val="clear" w:color="auto" w:fill="auto"/>
          <w:lang w:val="cs-CZ" w:eastAsia="cs-CZ" w:bidi="cs-CZ"/>
        </w:rPr>
        <w:t>Příprava vstupních dat z podkladových studií</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56" w:name="bookmark56"/>
      <w:bookmarkEnd w:id="56"/>
      <w:r>
        <w:rPr>
          <w:color w:val="000000"/>
          <w:spacing w:val="0"/>
          <w:w w:val="100"/>
          <w:position w:val="0"/>
          <w:shd w:val="clear" w:color="auto" w:fill="auto"/>
          <w:lang w:val="cs-CZ" w:eastAsia="cs-CZ" w:bidi="cs-CZ"/>
        </w:rPr>
        <w:t>Rekapitulace variant propojení (v komunikaci se zpracovatelem studie proveditelnosti)</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57" w:name="bookmark57"/>
      <w:bookmarkEnd w:id="57"/>
      <w:r>
        <w:rPr>
          <w:color w:val="000000"/>
          <w:spacing w:val="0"/>
          <w:w w:val="100"/>
          <w:position w:val="0"/>
          <w:shd w:val="clear" w:color="auto" w:fill="auto"/>
          <w:lang w:val="cs-CZ" w:eastAsia="cs-CZ" w:bidi="cs-CZ"/>
        </w:rPr>
        <w:t>Zpracování charakteristik jezera Libouš pro stav po ukončení těžby a se zohledněním technického řešení propojení</w:t>
      </w:r>
    </w:p>
    <w:p>
      <w:pPr>
        <w:pStyle w:val="Style2"/>
        <w:keepNext w:val="0"/>
        <w:keepLines w:val="0"/>
        <w:widowControl w:val="0"/>
        <w:numPr>
          <w:ilvl w:val="1"/>
          <w:numId w:val="17"/>
        </w:numPr>
        <w:shd w:val="clear" w:color="auto" w:fill="auto"/>
        <w:tabs>
          <w:tab w:pos="945" w:val="left"/>
        </w:tabs>
        <w:bidi w:val="0"/>
        <w:spacing w:before="0" w:after="180" w:line="240" w:lineRule="auto"/>
        <w:ind w:left="0" w:right="0" w:firstLine="380"/>
        <w:jc w:val="left"/>
      </w:pPr>
      <w:bookmarkStart w:id="58" w:name="bookmark58"/>
      <w:bookmarkEnd w:id="58"/>
      <w:r>
        <w:rPr>
          <w:color w:val="000000"/>
          <w:spacing w:val="0"/>
          <w:w w:val="100"/>
          <w:position w:val="0"/>
          <w:shd w:val="clear" w:color="auto" w:fill="auto"/>
          <w:lang w:val="cs-CZ" w:eastAsia="cs-CZ" w:bidi="cs-CZ"/>
        </w:rPr>
        <w:t>Hydraulický výpočet kapacity variant propojení VD Nechranice a jezera Libouš</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left"/>
      </w:pPr>
      <w:bookmarkStart w:id="59" w:name="bookmark59"/>
      <w:bookmarkEnd w:id="59"/>
      <w:r>
        <w:rPr>
          <w:b/>
          <w:bCs/>
          <w:color w:val="000000"/>
          <w:spacing w:val="0"/>
          <w:w w:val="100"/>
          <w:position w:val="0"/>
          <w:shd w:val="clear" w:color="auto" w:fill="auto"/>
          <w:lang w:val="cs-CZ" w:eastAsia="cs-CZ" w:bidi="cs-CZ"/>
        </w:rPr>
        <w:t>Vyhodnocení zásobní funkce propojení</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60" w:name="bookmark60"/>
      <w:bookmarkEnd w:id="60"/>
      <w:r>
        <w:rPr>
          <w:color w:val="000000"/>
          <w:spacing w:val="0"/>
          <w:w w:val="100"/>
          <w:position w:val="0"/>
          <w:shd w:val="clear" w:color="auto" w:fill="auto"/>
          <w:lang w:val="cs-CZ" w:eastAsia="cs-CZ" w:bidi="cs-CZ"/>
        </w:rPr>
        <w:t>Příprava hydrologických podkladů (řady průtoků, srážek a teplot vzduchu v povodí Ohře, Labe a Vltavy)</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61" w:name="bookmark61"/>
      <w:bookmarkEnd w:id="61"/>
      <w:r>
        <w:rPr>
          <w:color w:val="000000"/>
          <w:spacing w:val="0"/>
          <w:w w:val="100"/>
          <w:position w:val="0"/>
          <w:shd w:val="clear" w:color="auto" w:fill="auto"/>
          <w:lang w:val="cs-CZ" w:eastAsia="cs-CZ" w:bidi="cs-CZ"/>
        </w:rPr>
        <w:t>Hydrologický model – sestavení a kalibrace konceptuálního hydrologického modelu</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2" w:name="bookmark62"/>
      <w:bookmarkEnd w:id="62"/>
      <w:r>
        <w:rPr>
          <w:color w:val="000000"/>
          <w:spacing w:val="0"/>
          <w:w w:val="100"/>
          <w:position w:val="0"/>
          <w:shd w:val="clear" w:color="auto" w:fill="auto"/>
          <w:lang w:val="cs-CZ" w:eastAsia="cs-CZ" w:bidi="cs-CZ"/>
        </w:rPr>
        <w:t>Povodí Vltavy</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3" w:name="bookmark63"/>
      <w:bookmarkEnd w:id="63"/>
      <w:r>
        <w:rPr>
          <w:color w:val="000000"/>
          <w:spacing w:val="0"/>
          <w:w w:val="100"/>
          <w:position w:val="0"/>
          <w:shd w:val="clear" w:color="auto" w:fill="auto"/>
          <w:lang w:val="cs-CZ" w:eastAsia="cs-CZ" w:bidi="cs-CZ"/>
        </w:rPr>
        <w:t>Povodí Labe</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4" w:name="bookmark64"/>
      <w:bookmarkEnd w:id="64"/>
      <w:r>
        <w:rPr>
          <w:color w:val="000000"/>
          <w:spacing w:val="0"/>
          <w:w w:val="100"/>
          <w:position w:val="0"/>
          <w:shd w:val="clear" w:color="auto" w:fill="auto"/>
          <w:lang w:val="cs-CZ" w:eastAsia="cs-CZ" w:bidi="cs-CZ"/>
        </w:rPr>
        <w:t>Povodí Ohře – aktualizace</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65" w:name="bookmark65"/>
      <w:bookmarkEnd w:id="65"/>
      <w:r>
        <w:rPr>
          <w:color w:val="000000"/>
          <w:spacing w:val="0"/>
          <w:w w:val="100"/>
          <w:position w:val="0"/>
          <w:shd w:val="clear" w:color="auto" w:fill="auto"/>
          <w:lang w:val="cs-CZ" w:eastAsia="cs-CZ" w:bidi="cs-CZ"/>
        </w:rPr>
        <w:t>Model klimatické změny</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6" w:name="bookmark66"/>
      <w:bookmarkEnd w:id="66"/>
      <w:r>
        <w:rPr>
          <w:color w:val="000000"/>
          <w:spacing w:val="0"/>
          <w:w w:val="100"/>
          <w:position w:val="0"/>
          <w:shd w:val="clear" w:color="auto" w:fill="auto"/>
          <w:lang w:val="cs-CZ" w:eastAsia="cs-CZ" w:bidi="cs-CZ"/>
        </w:rPr>
        <w:t>Příprava scénáře trendu lineárního růstu teplot vzduchu</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7" w:name="bookmark67"/>
      <w:bookmarkEnd w:id="67"/>
      <w:r>
        <w:rPr>
          <w:color w:val="000000"/>
          <w:spacing w:val="0"/>
          <w:w w:val="100"/>
          <w:position w:val="0"/>
          <w:shd w:val="clear" w:color="auto" w:fill="auto"/>
          <w:lang w:val="cs-CZ" w:eastAsia="cs-CZ" w:bidi="cs-CZ"/>
        </w:rPr>
        <w:t>Simulace hydrologickým modelem pro dva časové horizonty klimatické změny</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68" w:name="bookmark68"/>
      <w:bookmarkEnd w:id="68"/>
      <w:r>
        <w:rPr>
          <w:color w:val="000000"/>
          <w:spacing w:val="0"/>
          <w:w w:val="100"/>
          <w:position w:val="0"/>
          <w:shd w:val="clear" w:color="auto" w:fill="auto"/>
          <w:lang w:val="cs-CZ" w:eastAsia="cs-CZ" w:bidi="cs-CZ"/>
        </w:rPr>
        <w:t>Model vodohospodářské bilance zásobní funkce (zahrnutí hlavních prvků hospodaření s vodou)</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69" w:name="bookmark69"/>
      <w:bookmarkEnd w:id="69"/>
      <w:r>
        <w:rPr>
          <w:color w:val="000000"/>
          <w:spacing w:val="0"/>
          <w:w w:val="100"/>
          <w:position w:val="0"/>
          <w:shd w:val="clear" w:color="auto" w:fill="auto"/>
          <w:lang w:val="cs-CZ" w:eastAsia="cs-CZ" w:bidi="cs-CZ"/>
        </w:rPr>
        <w:t>Vltavská kaskáda – aktualizace modelu</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70" w:name="bookmark70"/>
      <w:bookmarkEnd w:id="70"/>
      <w:r>
        <w:rPr>
          <w:color w:val="000000"/>
          <w:spacing w:val="0"/>
          <w:w w:val="100"/>
          <w:position w:val="0"/>
          <w:shd w:val="clear" w:color="auto" w:fill="auto"/>
          <w:lang w:val="cs-CZ" w:eastAsia="cs-CZ" w:bidi="cs-CZ"/>
        </w:rPr>
        <w:t>Nechranice-Libouš – aktualizace modelu</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71" w:name="bookmark71"/>
      <w:bookmarkEnd w:id="71"/>
      <w:r>
        <w:rPr>
          <w:color w:val="000000"/>
          <w:spacing w:val="0"/>
          <w:w w:val="100"/>
          <w:position w:val="0"/>
          <w:shd w:val="clear" w:color="auto" w:fill="auto"/>
          <w:lang w:val="cs-CZ" w:eastAsia="cs-CZ" w:bidi="cs-CZ"/>
        </w:rPr>
        <w:t>Komplexní model VH soustavy Labe, Vltava a Ohře po profil Hřensko</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72" w:name="bookmark72"/>
      <w:bookmarkEnd w:id="72"/>
      <w:r>
        <w:rPr>
          <w:color w:val="000000"/>
          <w:spacing w:val="0"/>
          <w:w w:val="100"/>
          <w:position w:val="0"/>
          <w:shd w:val="clear" w:color="auto" w:fill="auto"/>
          <w:lang w:val="cs-CZ" w:eastAsia="cs-CZ" w:bidi="cs-CZ"/>
        </w:rPr>
        <w:t>Simulace zásobní funkce propojení VD Nechranice a jezera Libouš v systému povodí Labe po profil Hřensko. Předpokládají se tyto varianty a jejich kombinace:</w:t>
      </w:r>
    </w:p>
    <w:p>
      <w:pPr>
        <w:pStyle w:val="Style2"/>
        <w:keepNext w:val="0"/>
        <w:keepLines w:val="0"/>
        <w:widowControl w:val="0"/>
        <w:shd w:val="clear" w:color="auto" w:fill="auto"/>
        <w:bidi w:val="0"/>
        <w:spacing w:before="0" w:after="0" w:line="230" w:lineRule="auto"/>
        <w:ind w:left="1080" w:right="0" w:hanging="3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Provozní varianty: stávající režim řízení VD Nechranice dle dispečerského grafu do kóty 263 m. n. m., řízení celého zásobního prostoru po Hs,</w:t>
      </w:r>
    </w:p>
    <w:p>
      <w:pPr>
        <w:pStyle w:val="Style2"/>
        <w:keepNext w:val="0"/>
        <w:keepLines w:val="0"/>
        <w:widowControl w:val="0"/>
        <w:shd w:val="clear" w:color="auto" w:fill="auto"/>
        <w:bidi w:val="0"/>
        <w:spacing w:before="0" w:after="0" w:line="230" w:lineRule="auto"/>
        <w:ind w:left="1080" w:right="0" w:hanging="3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Technické varianty: propojení štolou, propojení povrchovým přivaděčem, bez propojení</w:t>
      </w:r>
    </w:p>
    <w:p>
      <w:pPr>
        <w:pStyle w:val="Style2"/>
        <w:keepNext w:val="0"/>
        <w:keepLines w:val="0"/>
        <w:widowControl w:val="0"/>
        <w:shd w:val="clear" w:color="auto" w:fill="auto"/>
        <w:bidi w:val="0"/>
        <w:spacing w:before="0" w:after="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Varianty batygrafie jezera Libouš</w:t>
      </w:r>
    </w:p>
    <w:p>
      <w:pPr>
        <w:pStyle w:val="Style2"/>
        <w:keepNext w:val="0"/>
        <w:keepLines w:val="0"/>
        <w:widowControl w:val="0"/>
        <w:shd w:val="clear" w:color="auto" w:fill="auto"/>
        <w:bidi w:val="0"/>
        <w:spacing w:before="0" w:after="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Klima: současné klimatické podmínky a dva časové horizonty klimatické změny,</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73" w:name="bookmark73"/>
      <w:bookmarkEnd w:id="73"/>
      <w:r>
        <w:rPr>
          <w:color w:val="000000"/>
          <w:spacing w:val="0"/>
          <w:w w:val="100"/>
          <w:position w:val="0"/>
          <w:shd w:val="clear" w:color="auto" w:fill="auto"/>
          <w:lang w:val="cs-CZ" w:eastAsia="cs-CZ" w:bidi="cs-CZ"/>
        </w:rPr>
        <w:t>Posouzení vlivu variant propojení ve smyslu zásobní funkce</w:t>
      </w:r>
    </w:p>
    <w:p>
      <w:pPr>
        <w:pStyle w:val="Style2"/>
        <w:keepNext w:val="0"/>
        <w:keepLines w:val="0"/>
        <w:widowControl w:val="0"/>
        <w:numPr>
          <w:ilvl w:val="2"/>
          <w:numId w:val="17"/>
        </w:numPr>
        <w:shd w:val="clear" w:color="auto" w:fill="auto"/>
        <w:tabs>
          <w:tab w:pos="1507" w:val="left"/>
        </w:tabs>
        <w:bidi w:val="0"/>
        <w:spacing w:before="0" w:after="0" w:line="240" w:lineRule="auto"/>
        <w:ind w:left="1240" w:right="0" w:hanging="480"/>
        <w:jc w:val="both"/>
      </w:pPr>
      <w:bookmarkStart w:id="74" w:name="bookmark74"/>
      <w:bookmarkEnd w:id="74"/>
      <w:r>
        <w:rPr>
          <w:color w:val="000000"/>
          <w:spacing w:val="0"/>
          <w:w w:val="100"/>
          <w:position w:val="0"/>
          <w:shd w:val="clear" w:color="auto" w:fill="auto"/>
          <w:lang w:val="cs-CZ" w:eastAsia="cs-CZ" w:bidi="cs-CZ"/>
        </w:rPr>
        <w:t>Nadlepšování průtoků pro dolní Ohři a dolní Labe po profil Hřensko s odhadem vlivu na SRN</w:t>
      </w:r>
    </w:p>
    <w:p>
      <w:pPr>
        <w:pStyle w:val="Style2"/>
        <w:keepNext w:val="0"/>
        <w:keepLines w:val="0"/>
        <w:widowControl w:val="0"/>
        <w:numPr>
          <w:ilvl w:val="2"/>
          <w:numId w:val="17"/>
        </w:numPr>
        <w:shd w:val="clear" w:color="auto" w:fill="auto"/>
        <w:tabs>
          <w:tab w:pos="1467" w:val="left"/>
        </w:tabs>
        <w:bidi w:val="0"/>
        <w:spacing w:before="0" w:after="180" w:line="240" w:lineRule="auto"/>
        <w:ind w:left="0" w:right="0" w:firstLine="720"/>
        <w:jc w:val="left"/>
      </w:pPr>
      <w:bookmarkStart w:id="75" w:name="bookmark75"/>
      <w:bookmarkEnd w:id="75"/>
      <w:r>
        <w:rPr>
          <w:color w:val="000000"/>
          <w:spacing w:val="0"/>
          <w:w w:val="100"/>
          <w:position w:val="0"/>
          <w:shd w:val="clear" w:color="auto" w:fill="auto"/>
          <w:lang w:val="cs-CZ" w:eastAsia="cs-CZ" w:bidi="cs-CZ"/>
        </w:rPr>
        <w:t>Nadlepšování vodních stavů pro plavbu na dolním Labi</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left"/>
      </w:pPr>
      <w:bookmarkStart w:id="76" w:name="bookmark76"/>
      <w:bookmarkEnd w:id="76"/>
      <w:r>
        <w:rPr>
          <w:b/>
          <w:bCs/>
          <w:color w:val="000000"/>
          <w:spacing w:val="0"/>
          <w:w w:val="100"/>
          <w:position w:val="0"/>
          <w:shd w:val="clear" w:color="auto" w:fill="auto"/>
          <w:lang w:val="cs-CZ" w:eastAsia="cs-CZ" w:bidi="cs-CZ"/>
        </w:rPr>
        <w:t>Vyhodnocení retenční funkce propojení</w:t>
      </w:r>
    </w:p>
    <w:p>
      <w:pPr>
        <w:pStyle w:val="Style2"/>
        <w:keepNext w:val="0"/>
        <w:keepLines w:val="0"/>
        <w:widowControl w:val="0"/>
        <w:numPr>
          <w:ilvl w:val="1"/>
          <w:numId w:val="17"/>
        </w:numPr>
        <w:shd w:val="clear" w:color="auto" w:fill="auto"/>
        <w:tabs>
          <w:tab w:pos="945" w:val="left"/>
        </w:tabs>
        <w:bidi w:val="0"/>
        <w:spacing w:before="0" w:after="0" w:line="240" w:lineRule="auto"/>
        <w:ind w:left="720" w:right="0" w:hanging="340"/>
        <w:jc w:val="both"/>
      </w:pPr>
      <w:bookmarkStart w:id="77" w:name="bookmark77"/>
      <w:bookmarkEnd w:id="77"/>
      <w:r>
        <w:rPr>
          <w:color w:val="000000"/>
          <w:spacing w:val="0"/>
          <w:w w:val="100"/>
          <w:position w:val="0"/>
          <w:shd w:val="clear" w:color="auto" w:fill="auto"/>
          <w:lang w:val="cs-CZ" w:eastAsia="cs-CZ" w:bidi="cs-CZ"/>
        </w:rPr>
        <w:t>Příprava hydrologických podkladů (Q</w:t>
      </w:r>
      <w:r>
        <w:rPr>
          <w:color w:val="000000"/>
          <w:spacing w:val="0"/>
          <w:w w:val="100"/>
          <w:position w:val="0"/>
          <w:sz w:val="12"/>
          <w:szCs w:val="12"/>
          <w:shd w:val="clear" w:color="auto" w:fill="auto"/>
          <w:lang w:val="cs-CZ" w:eastAsia="cs-CZ" w:bidi="cs-CZ"/>
        </w:rPr>
        <w:t xml:space="preserve">N </w:t>
      </w:r>
      <w:r>
        <w:rPr>
          <w:color w:val="000000"/>
          <w:spacing w:val="0"/>
          <w:w w:val="100"/>
          <w:position w:val="0"/>
          <w:shd w:val="clear" w:color="auto" w:fill="auto"/>
          <w:lang w:val="cs-CZ" w:eastAsia="cs-CZ" w:bidi="cs-CZ"/>
        </w:rPr>
        <w:t>a TPV</w:t>
      </w:r>
      <w:r>
        <w:rPr>
          <w:color w:val="000000"/>
          <w:spacing w:val="0"/>
          <w:w w:val="100"/>
          <w:position w:val="0"/>
          <w:sz w:val="12"/>
          <w:szCs w:val="12"/>
          <w:shd w:val="clear" w:color="auto" w:fill="auto"/>
          <w:lang w:val="cs-CZ" w:eastAsia="cs-CZ" w:bidi="cs-CZ"/>
        </w:rPr>
        <w:t xml:space="preserve">N </w:t>
      </w:r>
      <w:r>
        <w:rPr>
          <w:color w:val="000000"/>
          <w:spacing w:val="0"/>
          <w:w w:val="100"/>
          <w:position w:val="0"/>
          <w:shd w:val="clear" w:color="auto" w:fill="auto"/>
          <w:lang w:val="cs-CZ" w:eastAsia="cs-CZ" w:bidi="cs-CZ"/>
        </w:rPr>
        <w:t>pro výpočetní profily, kombinace Ohře a Labe)</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78" w:name="bookmark78"/>
      <w:bookmarkEnd w:id="78"/>
      <w:r>
        <w:rPr>
          <w:color w:val="000000"/>
          <w:spacing w:val="0"/>
          <w:w w:val="100"/>
          <w:position w:val="0"/>
          <w:shd w:val="clear" w:color="auto" w:fill="auto"/>
          <w:lang w:val="cs-CZ" w:eastAsia="cs-CZ" w:bidi="cs-CZ"/>
        </w:rPr>
        <w:t>Model retenční funkce propojení – aktualizace</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79" w:name="bookmark79"/>
      <w:bookmarkEnd w:id="79"/>
      <w:r>
        <w:rPr>
          <w:color w:val="000000"/>
          <w:spacing w:val="0"/>
          <w:w w:val="100"/>
          <w:position w:val="0"/>
          <w:shd w:val="clear" w:color="auto" w:fill="auto"/>
          <w:lang w:val="cs-CZ" w:eastAsia="cs-CZ" w:bidi="cs-CZ"/>
        </w:rPr>
        <w:t>Úprava parametrů modelu dle nových variant</w:t>
      </w:r>
    </w:p>
    <w:p>
      <w:pPr>
        <w:pStyle w:val="Style2"/>
        <w:keepNext w:val="0"/>
        <w:keepLines w:val="0"/>
        <w:widowControl w:val="0"/>
        <w:numPr>
          <w:ilvl w:val="2"/>
          <w:numId w:val="17"/>
        </w:numPr>
        <w:shd w:val="clear" w:color="auto" w:fill="auto"/>
        <w:tabs>
          <w:tab w:pos="1467" w:val="left"/>
        </w:tabs>
        <w:bidi w:val="0"/>
        <w:spacing w:before="0" w:after="0" w:line="240" w:lineRule="auto"/>
        <w:ind w:left="0" w:right="0" w:firstLine="720"/>
        <w:jc w:val="left"/>
      </w:pPr>
      <w:bookmarkStart w:id="80" w:name="bookmark80"/>
      <w:bookmarkEnd w:id="80"/>
      <w:r>
        <w:rPr>
          <w:color w:val="000000"/>
          <w:spacing w:val="0"/>
          <w:w w:val="100"/>
          <w:position w:val="0"/>
          <w:shd w:val="clear" w:color="auto" w:fill="auto"/>
          <w:lang w:val="cs-CZ" w:eastAsia="cs-CZ" w:bidi="cs-CZ"/>
        </w:rPr>
        <w:t>Rozšíření modelu po soutok Ohře a Labe</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left"/>
      </w:pPr>
      <w:bookmarkStart w:id="81" w:name="bookmark81"/>
      <w:bookmarkEnd w:id="81"/>
      <w:r>
        <w:rPr>
          <w:color w:val="000000"/>
          <w:spacing w:val="0"/>
          <w:w w:val="100"/>
          <w:position w:val="0"/>
          <w:shd w:val="clear" w:color="auto" w:fill="auto"/>
          <w:lang w:val="cs-CZ" w:eastAsia="cs-CZ" w:bidi="cs-CZ"/>
        </w:rPr>
        <w:t>Simulace teoretických povodňových vln TPV</w:t>
      </w:r>
      <w:r>
        <w:rPr>
          <w:color w:val="000000"/>
          <w:spacing w:val="0"/>
          <w:w w:val="100"/>
          <w:position w:val="0"/>
          <w:sz w:val="12"/>
          <w:szCs w:val="12"/>
          <w:shd w:val="clear" w:color="auto" w:fill="auto"/>
          <w:lang w:val="cs-CZ" w:eastAsia="cs-CZ" w:bidi="cs-CZ"/>
        </w:rPr>
        <w:t xml:space="preserve">N </w:t>
      </w:r>
      <w:r>
        <w:rPr>
          <w:color w:val="000000"/>
          <w:spacing w:val="0"/>
          <w:w w:val="100"/>
          <w:position w:val="0"/>
          <w:shd w:val="clear" w:color="auto" w:fill="auto"/>
          <w:lang w:val="cs-CZ" w:eastAsia="cs-CZ" w:bidi="cs-CZ"/>
        </w:rPr>
        <w:t>v řešených variantách propojení</w:t>
      </w:r>
    </w:p>
    <w:p>
      <w:pPr>
        <w:pStyle w:val="Style2"/>
        <w:keepNext w:val="0"/>
        <w:keepLines w:val="0"/>
        <w:widowControl w:val="0"/>
        <w:numPr>
          <w:ilvl w:val="1"/>
          <w:numId w:val="17"/>
        </w:numPr>
        <w:shd w:val="clear" w:color="auto" w:fill="auto"/>
        <w:tabs>
          <w:tab w:pos="945" w:val="left"/>
        </w:tabs>
        <w:bidi w:val="0"/>
        <w:spacing w:before="0" w:after="180" w:line="240" w:lineRule="auto"/>
        <w:ind w:left="720" w:right="0" w:hanging="340"/>
        <w:jc w:val="both"/>
      </w:pPr>
      <w:bookmarkStart w:id="82" w:name="bookmark82"/>
      <w:bookmarkEnd w:id="82"/>
      <w:r>
        <w:rPr>
          <w:color w:val="000000"/>
          <w:spacing w:val="0"/>
          <w:w w:val="100"/>
          <w:position w:val="0"/>
          <w:shd w:val="clear" w:color="auto" w:fill="auto"/>
          <w:lang w:val="cs-CZ" w:eastAsia="cs-CZ" w:bidi="cs-CZ"/>
        </w:rPr>
        <w:t>Posouzení vlivu variant na inundační území Labe. Podklady pro posouzení ekonomických přínosů v podobě snížení povodňových škod.</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left"/>
      </w:pPr>
      <w:bookmarkStart w:id="83" w:name="bookmark83"/>
      <w:bookmarkEnd w:id="83"/>
      <w:r>
        <w:rPr>
          <w:b/>
          <w:bCs/>
          <w:color w:val="000000"/>
          <w:spacing w:val="0"/>
          <w:w w:val="100"/>
          <w:position w:val="0"/>
          <w:shd w:val="clear" w:color="auto" w:fill="auto"/>
          <w:lang w:val="cs-CZ" w:eastAsia="cs-CZ" w:bidi="cs-CZ"/>
        </w:rPr>
        <w:t>Syntéza výsledků</w:t>
      </w:r>
    </w:p>
    <w:p>
      <w:pPr>
        <w:pStyle w:val="Style2"/>
        <w:keepNext w:val="0"/>
        <w:keepLines w:val="0"/>
        <w:widowControl w:val="0"/>
        <w:numPr>
          <w:ilvl w:val="1"/>
          <w:numId w:val="17"/>
        </w:numPr>
        <w:shd w:val="clear" w:color="auto" w:fill="auto"/>
        <w:tabs>
          <w:tab w:pos="945" w:val="left"/>
        </w:tabs>
        <w:bidi w:val="0"/>
        <w:spacing w:before="0" w:after="180" w:line="240" w:lineRule="auto"/>
        <w:ind w:left="720" w:right="0" w:hanging="340"/>
        <w:jc w:val="both"/>
      </w:pPr>
      <w:bookmarkStart w:id="84" w:name="bookmark84"/>
      <w:bookmarkEnd w:id="84"/>
      <w:r>
        <w:rPr>
          <w:color w:val="000000"/>
          <w:spacing w:val="0"/>
          <w:w w:val="100"/>
          <w:position w:val="0"/>
          <w:shd w:val="clear" w:color="auto" w:fill="auto"/>
          <w:lang w:val="cs-CZ" w:eastAsia="cs-CZ" w:bidi="cs-CZ"/>
        </w:rPr>
        <w:t>Vyhodnocení VH potenciálu variant propojení ve smyslu posílení zásobní a retenční funkce</w:t>
      </w:r>
      <w:r>
        <w:br w:type="page"/>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both"/>
      </w:pPr>
      <w:bookmarkStart w:id="85" w:name="bookmark85"/>
      <w:bookmarkEnd w:id="85"/>
      <w:r>
        <w:rPr>
          <w:color w:val="000000"/>
          <w:spacing w:val="0"/>
          <w:w w:val="100"/>
          <w:position w:val="0"/>
          <w:shd w:val="clear" w:color="auto" w:fill="auto"/>
          <w:lang w:val="cs-CZ" w:eastAsia="cs-CZ" w:bidi="cs-CZ"/>
        </w:rPr>
        <w:t>Vliv variant propojení na ostatní funkce VD Nechranice</w:t>
      </w:r>
    </w:p>
    <w:p>
      <w:pPr>
        <w:pStyle w:val="Style2"/>
        <w:keepNext w:val="0"/>
        <w:keepLines w:val="0"/>
        <w:widowControl w:val="0"/>
        <w:numPr>
          <w:ilvl w:val="1"/>
          <w:numId w:val="17"/>
        </w:numPr>
        <w:shd w:val="clear" w:color="auto" w:fill="auto"/>
        <w:tabs>
          <w:tab w:pos="945" w:val="left"/>
        </w:tabs>
        <w:bidi w:val="0"/>
        <w:spacing w:before="0" w:after="0" w:line="240" w:lineRule="auto"/>
        <w:ind w:left="0" w:right="0" w:firstLine="380"/>
        <w:jc w:val="both"/>
      </w:pPr>
      <w:bookmarkStart w:id="86" w:name="bookmark86"/>
      <w:bookmarkEnd w:id="86"/>
      <w:r>
        <w:rPr>
          <w:color w:val="000000"/>
          <w:spacing w:val="0"/>
          <w:w w:val="100"/>
          <w:position w:val="0"/>
          <w:shd w:val="clear" w:color="auto" w:fill="auto"/>
          <w:lang w:val="cs-CZ" w:eastAsia="cs-CZ" w:bidi="cs-CZ"/>
        </w:rPr>
        <w:t>Závěry a doporučení</w:t>
      </w:r>
    </w:p>
    <w:p>
      <w:pPr>
        <w:pStyle w:val="Style2"/>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Příloha č. 2</w:t>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ČESTNÉ PROHLÁŠENÍ</w:t>
      </w:r>
    </w:p>
    <w:p>
      <w:pPr>
        <w:pStyle w:val="Style2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o společensky odpovědném plnění veřejné zakázky</w:t>
      </w:r>
    </w:p>
    <w:p>
      <w:pPr>
        <w:pStyle w:val="Style2"/>
        <w:keepNext w:val="0"/>
        <w:keepLines w:val="0"/>
        <w:widowControl w:val="0"/>
        <w:shd w:val="clear" w:color="auto" w:fill="auto"/>
        <w:bidi w:val="0"/>
        <w:spacing w:before="0" w:after="60" w:line="240" w:lineRule="auto"/>
        <w:ind w:left="720" w:right="0" w:firstLine="0"/>
        <w:jc w:val="both"/>
        <w:rPr>
          <w:sz w:val="24"/>
          <w:szCs w:val="24"/>
        </w:rPr>
      </w:pPr>
      <w:r>
        <w:rPr>
          <w:b/>
          <w:bCs/>
          <w:color w:val="000000"/>
          <w:spacing w:val="0"/>
          <w:w w:val="100"/>
          <w:position w:val="0"/>
          <w:sz w:val="24"/>
          <w:szCs w:val="24"/>
          <w:shd w:val="clear" w:color="auto" w:fill="auto"/>
          <w:lang w:val="cs-CZ" w:eastAsia="cs-CZ" w:bidi="cs-CZ"/>
        </w:rPr>
        <w:t>„Vodohospodářské funkce propojení jezera Libouš s vodní nádrží Nechranice i v interakci s Vltavskou kaskádou“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tj. České vysoké učení technické v Praze – Fakulta stavební, Thákurova 7/2017, 166 29 Praha 6 Dejvice, IČO: 68407700, za kterého jedná (dále jen „dodavatel“), tímto čestně prohlašuje, že zajistí po celou dobu provádění díla:</w:t>
      </w:r>
    </w:p>
    <w:p>
      <w:pPr>
        <w:pStyle w:val="Style2"/>
        <w:keepNext w:val="0"/>
        <w:keepLines w:val="0"/>
        <w:widowControl w:val="0"/>
        <w:numPr>
          <w:ilvl w:val="0"/>
          <w:numId w:val="19"/>
        </w:numPr>
        <w:shd w:val="clear" w:color="auto" w:fill="auto"/>
        <w:tabs>
          <w:tab w:pos="817" w:val="left"/>
        </w:tabs>
        <w:bidi w:val="0"/>
        <w:spacing w:before="0" w:after="60" w:line="240" w:lineRule="auto"/>
        <w:ind w:left="720" w:right="0" w:hanging="300"/>
        <w:jc w:val="both"/>
      </w:pPr>
      <w:bookmarkStart w:id="87" w:name="bookmark87"/>
      <w:bookmarkEnd w:id="87"/>
      <w:r>
        <w:rPr>
          <w:color w:val="000000"/>
          <w:spacing w:val="0"/>
          <w:w w:val="100"/>
          <w:position w:val="0"/>
          <w:shd w:val="clear" w:color="auto" w:fill="auto"/>
          <w:lang w:val="cs-CZ" w:eastAsia="cs-CZ" w:bidi="cs-CZ"/>
        </w:rPr>
        <w:t>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pPr>
        <w:pStyle w:val="Style2"/>
        <w:keepNext w:val="0"/>
        <w:keepLines w:val="0"/>
        <w:widowControl w:val="0"/>
        <w:numPr>
          <w:ilvl w:val="0"/>
          <w:numId w:val="19"/>
        </w:numPr>
        <w:shd w:val="clear" w:color="auto" w:fill="auto"/>
        <w:tabs>
          <w:tab w:pos="817" w:val="left"/>
        </w:tabs>
        <w:bidi w:val="0"/>
        <w:spacing w:before="0" w:after="60" w:line="240" w:lineRule="auto"/>
        <w:ind w:left="720" w:right="0" w:hanging="300"/>
        <w:jc w:val="both"/>
      </w:pPr>
      <w:bookmarkStart w:id="88" w:name="bookmark88"/>
      <w:bookmarkEnd w:id="88"/>
      <w:r>
        <w:rPr>
          <w:color w:val="000000"/>
          <w:spacing w:val="0"/>
          <w:w w:val="100"/>
          <w:position w:val="0"/>
          <w:shd w:val="clear" w:color="auto" w:fill="auto"/>
          <w:lang w:val="cs-CZ" w:eastAsia="cs-CZ" w:bidi="cs-CZ"/>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pPr>
        <w:pStyle w:val="Style2"/>
        <w:keepNext w:val="0"/>
        <w:keepLines w:val="0"/>
        <w:widowControl w:val="0"/>
        <w:numPr>
          <w:ilvl w:val="0"/>
          <w:numId w:val="19"/>
        </w:numPr>
        <w:shd w:val="clear" w:color="auto" w:fill="auto"/>
        <w:tabs>
          <w:tab w:pos="817" w:val="left"/>
        </w:tabs>
        <w:bidi w:val="0"/>
        <w:spacing w:before="0" w:after="1580" w:line="240" w:lineRule="auto"/>
        <w:ind w:left="720" w:right="0" w:hanging="300"/>
        <w:jc w:val="both"/>
      </w:pPr>
      <w:bookmarkStart w:id="89" w:name="bookmark89"/>
      <w:bookmarkEnd w:id="89"/>
      <w:r>
        <w:rPr>
          <w:color w:val="000000"/>
          <w:spacing w:val="0"/>
          <w:w w:val="100"/>
          <w:position w:val="0"/>
          <w:shd w:val="clear" w:color="auto" w:fill="auto"/>
          <w:lang w:val="cs-CZ" w:eastAsia="cs-CZ" w:bidi="cs-CZ"/>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pPr>
        <w:pStyle w:val="Style2"/>
        <w:keepNext w:val="0"/>
        <w:keepLines w:val="0"/>
        <w:widowControl w:val="0"/>
        <w:shd w:val="clear" w:color="auto" w:fill="auto"/>
        <w:tabs>
          <w:tab w:leader="hyphen" w:pos="3437" w:val="left"/>
        </w:tabs>
        <w:bidi w:val="0"/>
        <w:spacing w:before="0" w:after="0" w:line="240" w:lineRule="auto"/>
        <w:ind w:left="0" w:right="0" w:firstLine="0"/>
        <w:jc w:val="both"/>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tajemník Fakulty stavební</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České vysoké učení technické v Praze – Fakulta stavební</w:t>
      </w:r>
    </w:p>
    <w:p>
      <w:pPr>
        <w:widowControl w:val="0"/>
        <w:spacing w:line="1" w:lineRule="exact"/>
      </w:pPr>
      <w:r>
        <mc:AlternateContent>
          <mc:Choice Requires="wps">
            <w:drawing>
              <wp:anchor distT="825500" distB="0" distL="0" distR="0" simplePos="0" relativeHeight="125829392" behindDoc="0" locked="0" layoutInCell="1" allowOverlap="1">
                <wp:simplePos x="0" y="0"/>
                <wp:positionH relativeFrom="page">
                  <wp:posOffset>884555</wp:posOffset>
                </wp:positionH>
                <wp:positionV relativeFrom="paragraph">
                  <wp:posOffset>825500</wp:posOffset>
                </wp:positionV>
                <wp:extent cx="2773680" cy="228600"/>
                <wp:wrapTopAndBottom/>
                <wp:docPr id="17" name="Shape 17"/>
                <a:graphic xmlns:a="http://schemas.openxmlformats.org/drawingml/2006/main">
                  <a:graphicData uri="http://schemas.microsoft.com/office/word/2010/wordprocessingShape">
                    <wps:wsp>
                      <wps:cNvSpPr txBox="1"/>
                      <wps:spPr>
                        <a:xfrm>
                          <a:ext cx="2773680" cy="228600"/>
                        </a:xfrm>
                        <a:prstGeom prst="rect"/>
                        <a:noFill/>
                      </wps:spPr>
                      <wps:txbx>
                        <w:txbxContent>
                          <w:p>
                            <w:pPr>
                              <w:pStyle w:val="Style2"/>
                              <w:keepNext w:val="0"/>
                              <w:keepLines w:val="0"/>
                              <w:widowControl w:val="0"/>
                              <w:shd w:val="clear" w:color="auto" w:fill="auto"/>
                              <w:tabs>
                                <w:tab w:pos="1435" w:val="left"/>
                                <w:tab w:pos="4310"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p>
                        </w:txbxContent>
                      </wps:txbx>
                      <wps:bodyPr wrap="none" lIns="0" tIns="0" rIns="0" bIns="0">
                        <a:noAutoFit/>
                      </wps:bodyPr>
                    </wps:wsp>
                  </a:graphicData>
                </a:graphic>
              </wp:anchor>
            </w:drawing>
          </mc:Choice>
          <mc:Fallback>
            <w:pict>
              <v:shape id="_x0000_s1043" type="#_x0000_t202" style="position:absolute;margin-left:69.650000000000006pt;margin-top:65.pt;width:218.40000000000001pt;height:18.pt;z-index:-125829361;mso-wrap-distance-left:0;mso-wrap-distance-top:65.pt;mso-wrap-distance-right:0;mso-position-horizontal-relative:page" filled="f" stroked="f">
                <v:textbox inset="0,0,0,0">
                  <w:txbxContent>
                    <w:p>
                      <w:pPr>
                        <w:pStyle w:val="Style2"/>
                        <w:keepNext w:val="0"/>
                        <w:keepLines w:val="0"/>
                        <w:widowControl w:val="0"/>
                        <w:shd w:val="clear" w:color="auto" w:fill="auto"/>
                        <w:tabs>
                          <w:tab w:pos="1435" w:val="left"/>
                          <w:tab w:pos="4310"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p>
                  </w:txbxContent>
                </v:textbox>
                <w10:wrap type="topAndBottom" anchorx="page"/>
              </v:shape>
            </w:pict>
          </mc:Fallback>
        </mc:AlternateContent>
      </w:r>
      <w:r>
        <mc:AlternateContent>
          <mc:Choice Requires="wps">
            <w:drawing>
              <wp:anchor distT="825500" distB="0" distL="0" distR="0" simplePos="0" relativeHeight="125829394" behindDoc="0" locked="0" layoutInCell="1" allowOverlap="1">
                <wp:simplePos x="0" y="0"/>
                <wp:positionH relativeFrom="page">
                  <wp:posOffset>4197985</wp:posOffset>
                </wp:positionH>
                <wp:positionV relativeFrom="paragraph">
                  <wp:posOffset>825500</wp:posOffset>
                </wp:positionV>
                <wp:extent cx="2319655" cy="228600"/>
                <wp:wrapTopAndBottom/>
                <wp:docPr id="19" name="Shape 19"/>
                <a:graphic xmlns:a="http://schemas.openxmlformats.org/drawingml/2006/main">
                  <a:graphicData uri="http://schemas.microsoft.com/office/word/2010/wordprocessingShape">
                    <wps:wsp>
                      <wps:cNvSpPr txBox="1"/>
                      <wps:spPr>
                        <a:xfrm>
                          <a:ext cx="2319655" cy="228600"/>
                        </a:xfrm>
                        <a:prstGeom prst="rect"/>
                        <a:noFill/>
                      </wps:spPr>
                      <wps:txbx>
                        <w:txbxContent>
                          <w:p>
                            <w:pPr>
                              <w:pStyle w:val="Style2"/>
                              <w:keepNext w:val="0"/>
                              <w:keepLines w:val="0"/>
                              <w:widowControl w:val="0"/>
                              <w:shd w:val="clear" w:color="auto" w:fill="auto"/>
                              <w:tabs>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Razítko: </w:t>
                            </w:r>
                            <w:r>
                              <w:rPr>
                                <w:u w:val="single"/>
                              </w:rPr>
                              <w:t xml:space="preserve"> </w:t>
                              <w:tab/>
                            </w:r>
                          </w:p>
                        </w:txbxContent>
                      </wps:txbx>
                      <wps:bodyPr wrap="none" lIns="0" tIns="0" rIns="0" bIns="0">
                        <a:noAutoFit/>
                      </wps:bodyPr>
                    </wps:wsp>
                  </a:graphicData>
                </a:graphic>
              </wp:anchor>
            </w:drawing>
          </mc:Choice>
          <mc:Fallback>
            <w:pict>
              <v:shape id="_x0000_s1045" type="#_x0000_t202" style="position:absolute;margin-left:330.55000000000001pt;margin-top:65.pt;width:182.65000000000001pt;height:18.pt;z-index:-125829359;mso-wrap-distance-left:0;mso-wrap-distance-top:65.pt;mso-wrap-distance-right:0;mso-position-horizontal-relative:page" filled="f" stroked="f">
                <v:textbox inset="0,0,0,0">
                  <w:txbxContent>
                    <w:p>
                      <w:pPr>
                        <w:pStyle w:val="Style2"/>
                        <w:keepNext w:val="0"/>
                        <w:keepLines w:val="0"/>
                        <w:widowControl w:val="0"/>
                        <w:shd w:val="clear" w:color="auto" w:fill="auto"/>
                        <w:tabs>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Razítko: </w:t>
                      </w:r>
                      <w:r>
                        <w:rPr>
                          <w:u w:val="single"/>
                        </w:rPr>
                        <w:t xml:space="preserve"> </w:t>
                        <w:tab/>
                      </w:r>
                    </w:p>
                  </w:txbxContent>
                </v:textbox>
                <w10:wrap type="topAndBottom" anchorx="page"/>
              </v:shape>
            </w:pict>
          </mc:Fallback>
        </mc:AlternateConten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Příloha č.3</w:t>
      </w:r>
    </w:p>
    <w:p>
      <w:pPr>
        <w:pStyle w:val="Style26"/>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180" w:line="240" w:lineRule="auto"/>
        <w:ind w:left="1380" w:right="0" w:hanging="138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„Vodohospodářské funkce propojení jezera Libouš s vodní nádrží Nechranice i v interakci s Vltavskou kaskádou“</w:t>
      </w:r>
    </w:p>
    <w:p>
      <w:pPr>
        <w:pStyle w:val="Style2"/>
        <w:keepNext w:val="0"/>
        <w:keepLines w:val="0"/>
        <w:widowControl w:val="0"/>
        <w:shd w:val="clear" w:color="auto" w:fill="auto"/>
        <w:bidi w:val="0"/>
        <w:spacing w:before="0" w:after="48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 xml:space="preserve">Objednatel: </w:t>
      </w:r>
      <w:r>
        <w:rPr>
          <w:color w:val="000000"/>
          <w:spacing w:val="0"/>
          <w:w w:val="100"/>
          <w:position w:val="0"/>
          <w:sz w:val="24"/>
          <w:szCs w:val="24"/>
          <w:shd w:val="clear" w:color="auto" w:fill="auto"/>
          <w:lang w:val="cs-CZ" w:eastAsia="cs-CZ" w:bidi="cs-CZ"/>
        </w:rPr>
        <w:t>Povodí Ohře, státní podnik, Bezručova 4219, 430 03 Chomutov</w:t>
      </w:r>
    </w:p>
    <w:p>
      <w:pPr>
        <w:pStyle w:val="Style2"/>
        <w:keepNext w:val="0"/>
        <w:keepLines w:val="0"/>
        <w:widowControl w:val="0"/>
        <w:shd w:val="clear" w:color="auto" w:fill="auto"/>
        <w:bidi w:val="0"/>
        <w:spacing w:before="0" w:after="48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180" w:line="221" w:lineRule="auto"/>
        <w:ind w:left="0" w:right="0" w:firstLine="0"/>
        <w:jc w:val="left"/>
      </w:pPr>
      <w:r>
        <w:rPr>
          <w:b/>
          <w:bCs/>
          <w:color w:val="000000"/>
          <w:spacing w:val="0"/>
          <w:w w:val="100"/>
          <w:position w:val="0"/>
          <w:sz w:val="24"/>
          <w:szCs w:val="24"/>
          <w:shd w:val="clear" w:color="auto" w:fill="auto"/>
          <w:lang w:val="cs-CZ" w:eastAsia="cs-CZ" w:bidi="cs-CZ"/>
        </w:rPr>
        <w:t>Zhotovitel</w:t>
      </w:r>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80" w:line="240" w:lineRule="auto"/>
        <w:ind w:left="0" w:right="0" w:firstLine="0"/>
        <w:jc w:val="both"/>
      </w:pPr>
      <w:r>
        <w:rPr>
          <w:color w:val="000000"/>
          <w:spacing w:val="0"/>
          <w:w w:val="100"/>
          <w:position w:val="0"/>
          <w:shd w:val="clear" w:color="auto" w:fill="auto"/>
          <w:lang w:val="cs-CZ" w:eastAsia="cs-CZ" w:bidi="cs-CZ"/>
        </w:rPr>
        <w:t>České vysoké učení technické v Praze – Fakulta stavební, Thákurova 7/2017, 166 29 Praha 6 Dejvice, IČO: 68407700, jednající prostřednictvím</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Zhotovitel čestně prohlašuje, že</w:t>
      </w:r>
    </w:p>
    <w:p>
      <w:pPr>
        <w:pStyle w:val="Style2"/>
        <w:keepNext w:val="0"/>
        <w:keepLines w:val="0"/>
        <w:widowControl w:val="0"/>
        <w:numPr>
          <w:ilvl w:val="0"/>
          <w:numId w:val="21"/>
        </w:numPr>
        <w:shd w:val="clear" w:color="auto" w:fill="auto"/>
        <w:tabs>
          <w:tab w:pos="397" w:val="left"/>
        </w:tabs>
        <w:bidi w:val="0"/>
        <w:spacing w:before="0" w:after="60" w:line="240" w:lineRule="auto"/>
        <w:ind w:left="300" w:right="0" w:hanging="300"/>
        <w:jc w:val="left"/>
      </w:pPr>
      <w:bookmarkStart w:id="90" w:name="bookmark90"/>
      <w:bookmarkEnd w:id="9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23"/>
        </w:numPr>
        <w:shd w:val="clear" w:color="auto" w:fill="auto"/>
        <w:tabs>
          <w:tab w:pos="310" w:val="left"/>
        </w:tabs>
        <w:bidi w:val="0"/>
        <w:spacing w:before="0" w:after="60" w:line="240" w:lineRule="auto"/>
        <w:ind w:left="300" w:right="0" w:hanging="300"/>
        <w:jc w:val="left"/>
      </w:pPr>
      <w:bookmarkStart w:id="91" w:name="bookmark91"/>
      <w:bookmarkEnd w:id="9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23"/>
        </w:numPr>
        <w:shd w:val="clear" w:color="auto" w:fill="auto"/>
        <w:tabs>
          <w:tab w:pos="358" w:val="left"/>
        </w:tabs>
        <w:bidi w:val="0"/>
        <w:spacing w:before="0" w:after="60" w:line="240" w:lineRule="auto"/>
        <w:ind w:left="300" w:right="0" w:hanging="300"/>
        <w:jc w:val="left"/>
      </w:pPr>
      <w:bookmarkStart w:id="92" w:name="bookmark92"/>
      <w:bookmarkEnd w:id="9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21"/>
        </w:numPr>
        <w:shd w:val="clear" w:color="auto" w:fill="auto"/>
        <w:tabs>
          <w:tab w:pos="397" w:val="left"/>
        </w:tabs>
        <w:bidi w:val="0"/>
        <w:spacing w:before="0" w:after="60" w:line="240" w:lineRule="auto"/>
        <w:ind w:left="0" w:right="0" w:firstLine="0"/>
        <w:jc w:val="left"/>
      </w:pPr>
      <w:bookmarkStart w:id="93" w:name="bookmark93"/>
      <w:bookmarkEnd w:id="93"/>
      <w:r>
        <w:rPr>
          <w:color w:val="000000"/>
          <w:spacing w:val="0"/>
          <w:w w:val="100"/>
          <w:position w:val="0"/>
          <w:shd w:val="clear" w:color="auto" w:fill="auto"/>
          <w:lang w:val="cs-CZ" w:eastAsia="cs-CZ" w:bidi="cs-CZ"/>
        </w:rPr>
        <w:t>zajistí po celou dobu plnění veřejné zakázky, že</w:t>
      </w:r>
    </w:p>
    <w:p>
      <w:pPr>
        <w:pStyle w:val="Style2"/>
        <w:keepNext w:val="0"/>
        <w:keepLines w:val="0"/>
        <w:widowControl w:val="0"/>
        <w:numPr>
          <w:ilvl w:val="0"/>
          <w:numId w:val="25"/>
        </w:numPr>
        <w:shd w:val="clear" w:color="auto" w:fill="auto"/>
        <w:tabs>
          <w:tab w:pos="310" w:val="left"/>
        </w:tabs>
        <w:bidi w:val="0"/>
        <w:spacing w:before="0" w:after="60" w:line="240" w:lineRule="auto"/>
        <w:ind w:left="300" w:right="0" w:hanging="300"/>
        <w:jc w:val="both"/>
      </w:pPr>
      <w:bookmarkStart w:id="94" w:name="bookmark94"/>
      <w:bookmarkEnd w:id="9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25"/>
        </w:numPr>
        <w:shd w:val="clear" w:color="auto" w:fill="auto"/>
        <w:tabs>
          <w:tab w:pos="358" w:val="left"/>
        </w:tabs>
        <w:bidi w:val="0"/>
        <w:spacing w:before="0" w:after="120" w:line="240" w:lineRule="auto"/>
        <w:ind w:left="300" w:right="0" w:hanging="300"/>
        <w:jc w:val="both"/>
      </w:pPr>
      <w:bookmarkStart w:id="95" w:name="bookmark95"/>
      <w:bookmarkEnd w:id="9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2"/>
        <w:keepNext w:val="0"/>
        <w:keepLines w:val="0"/>
        <w:widowControl w:val="0"/>
        <w:shd w:val="clear" w:color="auto" w:fill="auto"/>
        <w:bidi w:val="0"/>
        <w:spacing w:before="0" w:after="11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1104"/>
        <w:gridCol w:w="3686"/>
        <w:gridCol w:w="1426"/>
        <w:gridCol w:w="2654"/>
      </w:tblGrid>
      <w:tr>
        <w:trPr>
          <w:trHeight w:val="103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3"/>
              <w:keepNext w:val="0"/>
              <w:keepLines w:val="0"/>
              <w:widowControl w:val="0"/>
              <w:shd w:val="clear" w:color="auto" w:fill="auto"/>
              <w:tabs>
                <w:tab w:leader="dot" w:pos="3230" w:val="left"/>
              </w:tabs>
              <w:bidi w:val="0"/>
              <w:spacing w:before="0" w:after="0" w:line="240" w:lineRule="auto"/>
              <w:ind w:left="0" w:right="0" w:firstLine="360"/>
              <w:jc w:val="both"/>
            </w:pPr>
            <w:r>
              <w:rPr>
                <w:color w:val="000000"/>
                <w:spacing w:val="0"/>
                <w:w w:val="100"/>
                <w:position w:val="0"/>
                <w:shd w:val="clear" w:color="auto" w:fill="auto"/>
                <w:lang w:val="cs-CZ" w:eastAsia="cs-CZ" w:bidi="cs-CZ"/>
              </w:rPr>
              <w:tab/>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3"/>
              <w:keepNext w:val="0"/>
              <w:keepLines w:val="0"/>
              <w:widowControl w:val="0"/>
              <w:shd w:val="clear" w:color="auto" w:fill="auto"/>
              <w:tabs>
                <w:tab w:leader="dot" w:pos="244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c>
      </w:tr>
      <w:tr>
        <w:trPr>
          <w:trHeight w:val="109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3"/>
              <w:keepNext w:val="0"/>
              <w:keepLines w:val="0"/>
              <w:widowControl w:val="0"/>
              <w:shd w:val="clear" w:color="auto" w:fill="auto"/>
              <w:tabs>
                <w:tab w:leader="dot" w:pos="3230" w:val="left"/>
              </w:tabs>
              <w:bidi w:val="0"/>
              <w:spacing w:before="0" w:after="0" w:line="240" w:lineRule="auto"/>
              <w:ind w:left="0" w:right="0" w:firstLine="360"/>
              <w:jc w:val="both"/>
            </w:pPr>
            <w:r>
              <w:rPr>
                <w:color w:val="000000"/>
                <w:spacing w:val="0"/>
                <w:w w:val="100"/>
                <w:position w:val="0"/>
                <w:shd w:val="clear" w:color="auto" w:fill="auto"/>
                <w:lang w:val="cs-CZ" w:eastAsia="cs-CZ" w:bidi="cs-CZ"/>
              </w:rPr>
              <w:tab/>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Razítko:</w:t>
            </w:r>
          </w:p>
        </w:tc>
        <w:tc>
          <w:tcPr>
            <w:tcBorders/>
            <w:shd w:val="clear" w:color="auto" w:fill="FFFFFF"/>
            <w:vAlign w:val="bottom"/>
          </w:tcPr>
          <w:p>
            <w:pPr>
              <w:pStyle w:val="Style13"/>
              <w:keepNext w:val="0"/>
              <w:keepLines w:val="0"/>
              <w:widowControl w:val="0"/>
              <w:shd w:val="clear" w:color="auto" w:fill="auto"/>
              <w:tabs>
                <w:tab w:leader="dot" w:pos="244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c>
      </w:tr>
    </w:tbl>
    <w:sectPr>
      <w:footnotePr>
        <w:pos w:val="pageBottom"/>
        <w:numFmt w:val="decimal"/>
        <w:numRestart w:val="continuous"/>
      </w:footnotePr>
      <w:type w:val="continuous"/>
      <w:pgSz w:w="11909" w:h="16838"/>
      <w:pgMar w:top="1127" w:left="1393" w:right="1390" w:bottom="1504" w:header="69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3383915</wp:posOffset>
              </wp:positionH>
              <wp:positionV relativeFrom="page">
                <wp:posOffset>9853930</wp:posOffset>
              </wp:positionV>
              <wp:extent cx="798830" cy="164465"/>
              <wp:wrapNone/>
              <wp:docPr id="1" name="Shape 1"/>
              <a:graphic xmlns:a="http://schemas.openxmlformats.org/drawingml/2006/main">
                <a:graphicData uri="http://schemas.microsoft.com/office/word/2010/wordprocessingShape">
                  <wps:wsp>
                    <wps:cNvSpPr txBox="1"/>
                    <wps:spPr>
                      <a:xfrm>
                        <a:ext cx="798830" cy="164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6.44999999999999pt;margin-top:775.89999999999998pt;width:62.899999999999999pt;height:12.9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outlineLvl w:val="0"/>
    </w:pPr>
    <w:rPr>
      <w:rFonts w:ascii="Arial" w:eastAsia="Arial" w:hAnsi="Arial" w:cs="Arial"/>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spacing w:after="18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RMiskovska</dc:creator>
  <cp:keywords/>
</cp:coreProperties>
</file>