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C37" w14:textId="77777777" w:rsidR="00283DD7" w:rsidRPr="009A1BEA" w:rsidRDefault="00283DD7" w:rsidP="00283DD7">
      <w:pPr>
        <w:rPr>
          <w:rStyle w:val="StyleArial11ptPatternClearwhite"/>
          <w:rFonts w:cs="Arial"/>
        </w:rPr>
      </w:pPr>
    </w:p>
    <w:p w14:paraId="0FC9F218" w14:textId="73716171" w:rsidR="00283DD7" w:rsidRPr="009A1BEA" w:rsidRDefault="00283DD7" w:rsidP="00283DD7">
      <w:pPr>
        <w:jc w:val="center"/>
        <w:rPr>
          <w:rFonts w:cs="Arial"/>
          <w:b/>
        </w:rPr>
      </w:pPr>
      <w:bookmarkStart w:id="0" w:name="_Toc196810167"/>
      <w:r w:rsidRPr="009A1BEA">
        <w:rPr>
          <w:rFonts w:cs="Arial"/>
          <w:b/>
        </w:rPr>
        <w:t>Smlouva o partnerství</w:t>
      </w:r>
      <w:bookmarkEnd w:id="0"/>
      <w:r w:rsidRPr="009A1BEA">
        <w:rPr>
          <w:rFonts w:cs="Arial"/>
          <w:b/>
        </w:rPr>
        <w:t xml:space="preserve"> s </w:t>
      </w:r>
      <w:r w:rsidRPr="009A1BEA">
        <w:rPr>
          <w:rFonts w:cs="Arial"/>
          <w:b/>
          <w:i/>
        </w:rPr>
        <w:t>finančním příspěvkem</w:t>
      </w:r>
    </w:p>
    <w:p w14:paraId="677DE274" w14:textId="763D6CB5" w:rsidR="00283DD7" w:rsidRPr="009A1BEA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9A1BEA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  <w:r w:rsidR="000A2F60" w:rsidRPr="009A1BEA">
        <w:rPr>
          <w:rFonts w:ascii="Calibri" w:hAnsi="Calibri" w:cs="Arial"/>
          <w:b w:val="0"/>
          <w:bCs/>
          <w:sz w:val="22"/>
          <w:szCs w:val="22"/>
        </w:rPr>
        <w:t xml:space="preserve">, </w:t>
      </w:r>
      <w:r w:rsidR="00FD0743" w:rsidRPr="009A1BEA">
        <w:rPr>
          <w:rFonts w:ascii="Calibri" w:hAnsi="Calibri" w:cs="Arial"/>
          <w:b w:val="0"/>
          <w:bCs/>
          <w:sz w:val="22"/>
          <w:szCs w:val="22"/>
        </w:rPr>
        <w:t>ve znění pozdějších předpisů</w:t>
      </w:r>
    </w:p>
    <w:p w14:paraId="63656A82" w14:textId="77777777" w:rsidR="00283DD7" w:rsidRPr="009A1BEA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9A1BEA" w:rsidRDefault="00283DD7" w:rsidP="00283DD7">
      <w:pPr>
        <w:jc w:val="center"/>
        <w:rPr>
          <w:rFonts w:cs="Arial"/>
          <w:b/>
        </w:rPr>
      </w:pPr>
      <w:bookmarkStart w:id="1" w:name="_Toc196810168"/>
      <w:r w:rsidRPr="009A1BEA">
        <w:rPr>
          <w:rFonts w:cs="Arial"/>
          <w:b/>
        </w:rPr>
        <w:t>Článek I</w:t>
      </w:r>
      <w:bookmarkStart w:id="2" w:name="_Toc196810169"/>
      <w:bookmarkEnd w:id="1"/>
      <w:r w:rsidRPr="009A1BEA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9A1BEA" w:rsidRDefault="00283DD7" w:rsidP="00283DD7">
      <w:pPr>
        <w:rPr>
          <w:rFonts w:cs="Arial"/>
        </w:rPr>
      </w:pPr>
    </w:p>
    <w:p w14:paraId="7AAD9116" w14:textId="77777777" w:rsidR="00A640D1" w:rsidRPr="009A1BEA" w:rsidRDefault="00A640D1" w:rsidP="00A640D1">
      <w:pPr>
        <w:spacing w:before="40" w:after="40"/>
        <w:rPr>
          <w:rFonts w:asciiTheme="minorHAnsi" w:hAnsiTheme="minorHAnsi" w:cstheme="minorHAnsi"/>
          <w:b/>
        </w:rPr>
      </w:pPr>
      <w:r w:rsidRPr="009A1BEA">
        <w:rPr>
          <w:rFonts w:asciiTheme="minorHAnsi" w:hAnsiTheme="minorHAnsi" w:cstheme="minorHAnsi"/>
          <w:b/>
          <w:shd w:val="clear" w:color="auto" w:fill="F5F5F5"/>
        </w:rPr>
        <w:t>Ústav chemických procesů AV ČR, v. v. i. </w:t>
      </w:r>
    </w:p>
    <w:p w14:paraId="6FA4021C" w14:textId="77777777" w:rsidR="00A640D1" w:rsidRPr="009A1BEA" w:rsidRDefault="00A640D1" w:rsidP="00A640D1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>se sídlem Praha-Lysolaje, Lysolaje, Rozvojová 135/1</w:t>
      </w:r>
    </w:p>
    <w:p w14:paraId="01F1D59A" w14:textId="77777777" w:rsidR="00A640D1" w:rsidRPr="009A1BEA" w:rsidRDefault="00A640D1" w:rsidP="00A640D1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 xml:space="preserve">zastoupen </w:t>
      </w:r>
      <w:r w:rsidRPr="009A1BEA">
        <w:rPr>
          <w:rFonts w:asciiTheme="minorHAnsi" w:hAnsiTheme="minorHAnsi" w:cstheme="minorHAnsi"/>
          <w:shd w:val="clear" w:color="auto" w:fill="F5F5F5"/>
        </w:rPr>
        <w:t xml:space="preserve">Ing. Michalem </w:t>
      </w:r>
      <w:proofErr w:type="spellStart"/>
      <w:r w:rsidRPr="009A1BEA">
        <w:rPr>
          <w:rFonts w:asciiTheme="minorHAnsi" w:hAnsiTheme="minorHAnsi" w:cstheme="minorHAnsi"/>
          <w:shd w:val="clear" w:color="auto" w:fill="F5F5F5"/>
        </w:rPr>
        <w:t>Šycem</w:t>
      </w:r>
      <w:proofErr w:type="spellEnd"/>
      <w:r w:rsidRPr="009A1BEA">
        <w:rPr>
          <w:rFonts w:asciiTheme="minorHAnsi" w:hAnsiTheme="minorHAnsi" w:cstheme="minorHAnsi"/>
          <w:shd w:val="clear" w:color="auto" w:fill="F5F5F5"/>
        </w:rPr>
        <w:t>, Ph.D., ředitelem</w:t>
      </w:r>
    </w:p>
    <w:p w14:paraId="359C17F0" w14:textId="77777777" w:rsidR="00A640D1" w:rsidRPr="009A1BEA" w:rsidRDefault="00A640D1" w:rsidP="00A640D1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 xml:space="preserve">zapsaný v Rejstříku veřejných výzkumných institucí vedeném Ministerstvem školství, mládeže a tělovýchovy </w:t>
      </w:r>
    </w:p>
    <w:p w14:paraId="404F255C" w14:textId="77777777" w:rsidR="00A640D1" w:rsidRPr="009A1BEA" w:rsidRDefault="00A640D1" w:rsidP="00A640D1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 xml:space="preserve">IČ: </w:t>
      </w:r>
      <w:r w:rsidRPr="009A1BEA">
        <w:rPr>
          <w:rFonts w:asciiTheme="minorHAnsi" w:hAnsiTheme="minorHAnsi" w:cstheme="minorHAnsi"/>
          <w:shd w:val="clear" w:color="auto" w:fill="F5F5F5"/>
        </w:rPr>
        <w:t>67985858</w:t>
      </w:r>
    </w:p>
    <w:p w14:paraId="5756BA5E" w14:textId="39A353A8" w:rsidR="006E69B3" w:rsidRPr="009A1BEA" w:rsidRDefault="00A640D1" w:rsidP="00A640D1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 xml:space="preserve">bankovní spojení: </w:t>
      </w:r>
    </w:p>
    <w:p w14:paraId="436E91EE" w14:textId="1D5BBACF" w:rsidR="00283DD7" w:rsidRPr="009A1BEA" w:rsidRDefault="00283DD7" w:rsidP="00283DD7">
      <w:pPr>
        <w:spacing w:before="40" w:after="40"/>
        <w:rPr>
          <w:rFonts w:cs="Arial"/>
        </w:rPr>
      </w:pPr>
      <w:r w:rsidRPr="009A1BEA">
        <w:rPr>
          <w:rFonts w:cs="Arial"/>
        </w:rPr>
        <w:t>(dále jen „příjemce“)</w:t>
      </w:r>
    </w:p>
    <w:p w14:paraId="6F80DBE9" w14:textId="26357D46" w:rsidR="00283DD7" w:rsidRPr="009A1BEA" w:rsidRDefault="00283DD7" w:rsidP="00283DD7">
      <w:pPr>
        <w:rPr>
          <w:rFonts w:cs="Arial"/>
        </w:rPr>
      </w:pPr>
      <w:r w:rsidRPr="009A1BEA">
        <w:rPr>
          <w:rFonts w:cs="Arial"/>
        </w:rPr>
        <w:t>a</w:t>
      </w:r>
    </w:p>
    <w:p w14:paraId="0F957CA0" w14:textId="77777777" w:rsidR="00D06A83" w:rsidRPr="009A1BEA" w:rsidRDefault="00D06A83" w:rsidP="00D06A83">
      <w:pPr>
        <w:spacing w:before="40" w:after="40"/>
        <w:rPr>
          <w:rFonts w:cs="Arial"/>
          <w:b/>
        </w:rPr>
      </w:pPr>
      <w:r w:rsidRPr="009A1BEA">
        <w:rPr>
          <w:rFonts w:cs="Arial"/>
          <w:b/>
        </w:rPr>
        <w:t>Vysoké učení technické v Brně</w:t>
      </w:r>
    </w:p>
    <w:p w14:paraId="74DAB374" w14:textId="77777777" w:rsidR="00D06A83" w:rsidRPr="009A1BEA" w:rsidRDefault="00D06A83" w:rsidP="00D06A83">
      <w:pPr>
        <w:spacing w:before="40" w:after="40"/>
        <w:rPr>
          <w:rFonts w:cs="Arial"/>
        </w:rPr>
      </w:pPr>
      <w:r w:rsidRPr="009A1BEA">
        <w:rPr>
          <w:rFonts w:cs="Arial"/>
        </w:rPr>
        <w:t>se sídlem Antonínská 548/1, 601 90 Brno</w:t>
      </w:r>
    </w:p>
    <w:p w14:paraId="0523653A" w14:textId="77777777" w:rsidR="00D06A83" w:rsidRPr="009A1BEA" w:rsidRDefault="00D06A83" w:rsidP="00D06A83">
      <w:pPr>
        <w:spacing w:before="40" w:after="40"/>
        <w:rPr>
          <w:rFonts w:cs="Arial"/>
        </w:rPr>
      </w:pPr>
      <w:r w:rsidRPr="009A1BEA">
        <w:rPr>
          <w:rFonts w:cs="Arial"/>
        </w:rPr>
        <w:t xml:space="preserve">zastoupené prof. Ing. Martinem </w:t>
      </w:r>
      <w:proofErr w:type="spellStart"/>
      <w:r w:rsidRPr="009A1BEA">
        <w:rPr>
          <w:rFonts w:cs="Arial"/>
        </w:rPr>
        <w:t>Weiterem</w:t>
      </w:r>
      <w:proofErr w:type="spellEnd"/>
      <w:r w:rsidRPr="009A1BEA">
        <w:rPr>
          <w:rFonts w:cs="Arial"/>
        </w:rPr>
        <w:t>, Ph.D., prorektorem pro výzkum a transfer znalostí</w:t>
      </w:r>
    </w:p>
    <w:p w14:paraId="39EF0DC1" w14:textId="77777777" w:rsidR="00D06A83" w:rsidRPr="009A1BEA" w:rsidRDefault="00D06A83" w:rsidP="00D06A83">
      <w:pPr>
        <w:spacing w:before="40" w:after="40"/>
        <w:rPr>
          <w:rFonts w:asciiTheme="minorHAnsi" w:hAnsiTheme="minorHAnsi" w:cstheme="minorHAnsi"/>
        </w:rPr>
      </w:pPr>
      <w:r w:rsidRPr="009A1BEA">
        <w:rPr>
          <w:rFonts w:asciiTheme="minorHAnsi" w:hAnsiTheme="minorHAnsi" w:cstheme="minorHAnsi"/>
        </w:rPr>
        <w:t xml:space="preserve">veřejná vysoká škola zřízena zák. č. 111/1998 Sb., o vysokých školách, nezapisuje se do veřejného rejstříku </w:t>
      </w:r>
    </w:p>
    <w:p w14:paraId="22EF7AFC" w14:textId="77777777" w:rsidR="00D06A83" w:rsidRPr="009A1BEA" w:rsidRDefault="00D06A83" w:rsidP="00D06A83">
      <w:pPr>
        <w:spacing w:before="40" w:after="40"/>
        <w:rPr>
          <w:rFonts w:cs="Arial"/>
        </w:rPr>
      </w:pPr>
      <w:r w:rsidRPr="009A1BEA">
        <w:rPr>
          <w:rFonts w:cs="Arial"/>
        </w:rPr>
        <w:t>IČ: 00216305</w:t>
      </w:r>
    </w:p>
    <w:p w14:paraId="521FCAA6" w14:textId="77777777" w:rsidR="006D6C45" w:rsidRDefault="00D06A83" w:rsidP="00D06A83">
      <w:pPr>
        <w:spacing w:before="40" w:after="40"/>
        <w:rPr>
          <w:rFonts w:cs="Arial"/>
        </w:rPr>
      </w:pPr>
      <w:r w:rsidRPr="009A1BEA">
        <w:rPr>
          <w:rFonts w:cs="Arial"/>
        </w:rPr>
        <w:t xml:space="preserve">bankovní spojení: č. účtu </w:t>
      </w:r>
    </w:p>
    <w:p w14:paraId="584DCF2A" w14:textId="28AE2D01" w:rsidR="00D06A83" w:rsidRPr="009A1BEA" w:rsidRDefault="006D6C45" w:rsidP="00D06A83">
      <w:pPr>
        <w:spacing w:before="40" w:after="40"/>
        <w:rPr>
          <w:rFonts w:cs="Arial"/>
        </w:rPr>
      </w:pPr>
      <w:r>
        <w:rPr>
          <w:rFonts w:cs="Arial"/>
        </w:rPr>
        <w:t>v</w:t>
      </w:r>
      <w:r w:rsidR="00D06A83" w:rsidRPr="009A1BEA">
        <w:rPr>
          <w:rFonts w:cs="Arial"/>
        </w:rPr>
        <w:t>edeného u: Komerční banka a.s., Nám. Svobody 92/21, 602 00 Brno</w:t>
      </w:r>
    </w:p>
    <w:p w14:paraId="3C11723F" w14:textId="1E4CDF1E" w:rsidR="00D06A83" w:rsidRPr="009A1BEA" w:rsidRDefault="00D06A83" w:rsidP="00D06A83">
      <w:pPr>
        <w:spacing w:before="40" w:after="40"/>
        <w:rPr>
          <w:rFonts w:cs="Arial"/>
        </w:rPr>
      </w:pPr>
      <w:r w:rsidRPr="009A1BEA">
        <w:rPr>
          <w:rFonts w:cs="Arial"/>
        </w:rPr>
        <w:t>(dále jen „Partner“)</w:t>
      </w:r>
    </w:p>
    <w:p w14:paraId="77BC19FC" w14:textId="5B77EB5F" w:rsidR="00283DD7" w:rsidRPr="009A1BEA" w:rsidRDefault="00283DD7" w:rsidP="00283DD7">
      <w:pPr>
        <w:rPr>
          <w:rFonts w:cs="Arial"/>
        </w:rPr>
      </w:pPr>
      <w:r w:rsidRPr="009A1BEA">
        <w:rPr>
          <w:rFonts w:cs="Arial"/>
        </w:rPr>
        <w:t>a</w:t>
      </w:r>
    </w:p>
    <w:p w14:paraId="063DD53B" w14:textId="1346C101" w:rsidR="00283DD7" w:rsidRPr="009A1BEA" w:rsidRDefault="00684313" w:rsidP="00283DD7">
      <w:pPr>
        <w:spacing w:before="40" w:after="40"/>
        <w:rPr>
          <w:rFonts w:cs="Arial"/>
          <w:b/>
        </w:rPr>
      </w:pPr>
      <w:r w:rsidRPr="009A1BEA">
        <w:rPr>
          <w:rFonts w:cs="Arial"/>
          <w:b/>
        </w:rPr>
        <w:t>ORGREZ, a.s.</w:t>
      </w:r>
    </w:p>
    <w:p w14:paraId="0D29F581" w14:textId="28BAD83E" w:rsidR="00283DD7" w:rsidRPr="009A1BEA" w:rsidRDefault="00283DD7" w:rsidP="00283DD7">
      <w:pPr>
        <w:spacing w:before="40" w:after="40"/>
        <w:rPr>
          <w:rFonts w:cs="Arial"/>
        </w:rPr>
      </w:pPr>
      <w:r w:rsidRPr="009A1BEA">
        <w:rPr>
          <w:rFonts w:cs="Arial"/>
        </w:rPr>
        <w:t xml:space="preserve">se sídlem </w:t>
      </w:r>
      <w:r w:rsidR="000A2F60" w:rsidRPr="009A1BEA">
        <w:rPr>
          <w:rFonts w:cs="Arial"/>
        </w:rPr>
        <w:t>Hudcova 321/76, Medlánky, 612 00 Brno</w:t>
      </w:r>
    </w:p>
    <w:p w14:paraId="1DBC0AC4" w14:textId="2306812A" w:rsidR="00283DD7" w:rsidRPr="009A1BEA" w:rsidRDefault="00283DD7" w:rsidP="00283DD7">
      <w:pPr>
        <w:spacing w:before="40" w:after="40"/>
        <w:rPr>
          <w:rFonts w:cs="Arial"/>
        </w:rPr>
      </w:pPr>
      <w:r w:rsidRPr="009A1BEA">
        <w:rPr>
          <w:rFonts w:cs="Arial"/>
        </w:rPr>
        <w:t xml:space="preserve">zastoupená </w:t>
      </w:r>
      <w:r w:rsidR="000A2F60" w:rsidRPr="009A1BEA">
        <w:rPr>
          <w:rFonts w:cs="Arial"/>
        </w:rPr>
        <w:t>Ing. Leem Hrubým, MBA, prokuristou</w:t>
      </w:r>
    </w:p>
    <w:p w14:paraId="51F5BDD2" w14:textId="60842410" w:rsidR="00283DD7" w:rsidRPr="009A1BEA" w:rsidRDefault="00283DD7" w:rsidP="00283DD7">
      <w:pPr>
        <w:spacing w:before="40" w:after="40"/>
        <w:rPr>
          <w:rFonts w:cs="Arial"/>
        </w:rPr>
      </w:pPr>
      <w:r w:rsidRPr="009A1BEA">
        <w:rPr>
          <w:rFonts w:cs="Arial"/>
        </w:rPr>
        <w:t>zapsaná u</w:t>
      </w:r>
      <w:r w:rsidR="000A2F60" w:rsidRPr="009A1BEA">
        <w:rPr>
          <w:rFonts w:cs="Arial"/>
        </w:rPr>
        <w:t xml:space="preserve"> Krajského </w:t>
      </w:r>
      <w:r w:rsidRPr="009A1BEA">
        <w:rPr>
          <w:rFonts w:cs="Arial"/>
        </w:rPr>
        <w:t>soudu v </w:t>
      </w:r>
      <w:proofErr w:type="gramStart"/>
      <w:r w:rsidR="000A2F60" w:rsidRPr="009A1BEA">
        <w:rPr>
          <w:rFonts w:cs="Arial"/>
        </w:rPr>
        <w:t xml:space="preserve">Brně,  </w:t>
      </w:r>
      <w:r w:rsidRPr="009A1BEA">
        <w:rPr>
          <w:rFonts w:cs="Arial"/>
        </w:rPr>
        <w:t>oddíl</w:t>
      </w:r>
      <w:proofErr w:type="gramEnd"/>
      <w:r w:rsidRPr="009A1BEA">
        <w:rPr>
          <w:rFonts w:cs="Arial"/>
        </w:rPr>
        <w:t xml:space="preserve"> </w:t>
      </w:r>
      <w:r w:rsidR="000A2F60" w:rsidRPr="009A1BEA">
        <w:rPr>
          <w:rFonts w:cs="Arial"/>
        </w:rPr>
        <w:t xml:space="preserve">B, </w:t>
      </w:r>
      <w:r w:rsidRPr="009A1BEA">
        <w:rPr>
          <w:rFonts w:cs="Arial"/>
        </w:rPr>
        <w:t xml:space="preserve">vložka </w:t>
      </w:r>
      <w:r w:rsidR="000A2F60" w:rsidRPr="009A1BEA">
        <w:rPr>
          <w:rFonts w:cs="Arial"/>
        </w:rPr>
        <w:t>852</w:t>
      </w:r>
    </w:p>
    <w:p w14:paraId="5B7FF91B" w14:textId="48686556" w:rsidR="00283DD7" w:rsidRPr="009A1BEA" w:rsidRDefault="00283DD7" w:rsidP="00283DD7">
      <w:pPr>
        <w:spacing w:before="40" w:after="40"/>
        <w:rPr>
          <w:rFonts w:cs="Arial"/>
        </w:rPr>
      </w:pPr>
      <w:bookmarkStart w:id="3" w:name="_Toc196810173"/>
      <w:r w:rsidRPr="009A1BEA">
        <w:rPr>
          <w:rFonts w:cs="Arial"/>
        </w:rPr>
        <w:t xml:space="preserve">IČ: </w:t>
      </w:r>
      <w:bookmarkEnd w:id="3"/>
      <w:r w:rsidR="000A2F60" w:rsidRPr="009A1BEA">
        <w:rPr>
          <w:rFonts w:cs="Arial"/>
        </w:rPr>
        <w:t>46900829</w:t>
      </w:r>
    </w:p>
    <w:p w14:paraId="57845627" w14:textId="3D014C04" w:rsidR="00283DD7" w:rsidRPr="009A1BEA" w:rsidRDefault="00283DD7" w:rsidP="00283DD7">
      <w:pPr>
        <w:spacing w:before="40" w:after="40"/>
        <w:rPr>
          <w:rFonts w:cs="Arial"/>
        </w:rPr>
      </w:pPr>
      <w:bookmarkStart w:id="4" w:name="_Toc196810174"/>
      <w:r w:rsidRPr="009A1BEA">
        <w:rPr>
          <w:rFonts w:cs="Arial"/>
        </w:rPr>
        <w:t xml:space="preserve">bankovní spojení: </w:t>
      </w:r>
      <w:bookmarkEnd w:id="4"/>
      <w:r w:rsidR="000A2F60" w:rsidRPr="009A1BEA">
        <w:rPr>
          <w:rFonts w:cs="Arial"/>
        </w:rPr>
        <w:t xml:space="preserve">Raiffeisenbank a.s., </w:t>
      </w:r>
    </w:p>
    <w:p w14:paraId="0AE9EBBD" w14:textId="4303BD0A" w:rsidR="00283DD7" w:rsidRPr="009A1BEA" w:rsidRDefault="00283DD7" w:rsidP="00283DD7">
      <w:pPr>
        <w:spacing w:before="40" w:after="40"/>
        <w:rPr>
          <w:rFonts w:cs="Arial"/>
        </w:rPr>
      </w:pPr>
      <w:bookmarkStart w:id="5" w:name="_Toc196810175"/>
      <w:r w:rsidRPr="009A1BEA">
        <w:rPr>
          <w:rFonts w:cs="Arial"/>
        </w:rPr>
        <w:t>(dále jen „partner“)</w:t>
      </w:r>
      <w:bookmarkEnd w:id="5"/>
    </w:p>
    <w:p w14:paraId="01780D91" w14:textId="20572B36" w:rsidR="003A4AB3" w:rsidRPr="009A1BEA" w:rsidRDefault="003A4AB3" w:rsidP="00283DD7">
      <w:pPr>
        <w:spacing w:before="40" w:after="40"/>
        <w:rPr>
          <w:rFonts w:cs="Arial"/>
        </w:rPr>
      </w:pPr>
      <w:r w:rsidRPr="009A1BEA">
        <w:rPr>
          <w:rFonts w:cs="Arial"/>
        </w:rPr>
        <w:t>a</w:t>
      </w:r>
    </w:p>
    <w:p w14:paraId="02D1BCBE" w14:textId="7E365434" w:rsidR="00974489" w:rsidRPr="009A1BEA" w:rsidRDefault="00684313" w:rsidP="00974489">
      <w:pPr>
        <w:spacing w:before="40" w:after="40"/>
        <w:rPr>
          <w:rFonts w:cs="Arial"/>
          <w:b/>
        </w:rPr>
      </w:pPr>
      <w:r w:rsidRPr="009A1BEA">
        <w:rPr>
          <w:rFonts w:cs="Arial"/>
          <w:b/>
        </w:rPr>
        <w:t>Vysoká škola chemicko-technologická v Praze</w:t>
      </w:r>
    </w:p>
    <w:p w14:paraId="0CD3DDCF" w14:textId="77777777" w:rsidR="00DC600C" w:rsidRPr="009A1BEA" w:rsidRDefault="00DC600C" w:rsidP="00DC600C">
      <w:pPr>
        <w:spacing w:before="40" w:after="40"/>
        <w:rPr>
          <w:rFonts w:cs="Arial"/>
        </w:rPr>
      </w:pPr>
      <w:r w:rsidRPr="009A1BEA">
        <w:rPr>
          <w:rFonts w:cs="Arial"/>
        </w:rPr>
        <w:t>se sídlem Technická 1905/5, 166 28 Praha 6</w:t>
      </w:r>
    </w:p>
    <w:p w14:paraId="36F10BF1" w14:textId="77777777" w:rsidR="00DC600C" w:rsidRPr="009A1BEA" w:rsidRDefault="00DC600C" w:rsidP="00DC600C">
      <w:pPr>
        <w:spacing w:before="40" w:after="40"/>
        <w:rPr>
          <w:rFonts w:cs="Arial"/>
        </w:rPr>
      </w:pPr>
      <w:r w:rsidRPr="009A1BEA">
        <w:rPr>
          <w:rFonts w:cs="Arial"/>
        </w:rPr>
        <w:t>zastoupená prof. Ing. Milanem Pospíšilem, CSc., rektorem</w:t>
      </w:r>
    </w:p>
    <w:p w14:paraId="5863E9CD" w14:textId="77777777" w:rsidR="00DC600C" w:rsidRPr="009A1BEA" w:rsidRDefault="00DC600C" w:rsidP="00DC600C">
      <w:pPr>
        <w:spacing w:before="40" w:after="40"/>
        <w:rPr>
          <w:rFonts w:cs="Arial"/>
        </w:rPr>
      </w:pPr>
      <w:r w:rsidRPr="009A1BEA">
        <w:rPr>
          <w:rFonts w:cs="Arial"/>
        </w:rPr>
        <w:t>IČ: 60461373</w:t>
      </w:r>
    </w:p>
    <w:p w14:paraId="0C0D41BB" w14:textId="75CE0852" w:rsidR="00DC600C" w:rsidRPr="009A1BEA" w:rsidRDefault="00DC600C" w:rsidP="00DC600C">
      <w:pPr>
        <w:spacing w:before="40" w:after="40"/>
        <w:rPr>
          <w:rFonts w:cs="Arial"/>
        </w:rPr>
      </w:pPr>
      <w:r w:rsidRPr="009A1BEA">
        <w:rPr>
          <w:rFonts w:cs="Arial"/>
        </w:rPr>
        <w:t xml:space="preserve">bankovní spojení: </w:t>
      </w:r>
    </w:p>
    <w:p w14:paraId="739F57C1" w14:textId="77777777" w:rsidR="00DC600C" w:rsidRPr="009A1BEA" w:rsidRDefault="00DC600C" w:rsidP="00DC600C">
      <w:pPr>
        <w:spacing w:before="40" w:after="40"/>
        <w:rPr>
          <w:rFonts w:cs="Arial"/>
        </w:rPr>
      </w:pPr>
      <w:r w:rsidRPr="009A1BEA">
        <w:rPr>
          <w:rFonts w:cs="Arial"/>
        </w:rPr>
        <w:t>(dále jen „partner“)</w:t>
      </w:r>
    </w:p>
    <w:p w14:paraId="4B0575C5" w14:textId="77777777" w:rsidR="00283DD7" w:rsidRPr="009A1BEA" w:rsidRDefault="00283DD7" w:rsidP="00283DD7">
      <w:pPr>
        <w:keepNext/>
        <w:keepLines/>
        <w:rPr>
          <w:rFonts w:cs="Arial"/>
        </w:rPr>
      </w:pPr>
    </w:p>
    <w:p w14:paraId="2B83E4AE" w14:textId="0F2C9D72" w:rsidR="00283DD7" w:rsidRPr="009A1BEA" w:rsidRDefault="00283DD7">
      <w:pPr>
        <w:pStyle w:val="Obsah2"/>
      </w:pPr>
      <w:r w:rsidRPr="009A1BEA">
        <w:t>uzavřeli níže uvedeného dne, měsíce a roku tuto Smlouvu o partnerství (dále jen „smlouva“):</w:t>
      </w:r>
    </w:p>
    <w:p w14:paraId="7DE8A014" w14:textId="77777777" w:rsidR="00283DD7" w:rsidRPr="009A1BEA" w:rsidRDefault="00283DD7" w:rsidP="00283DD7">
      <w:pPr>
        <w:rPr>
          <w:rFonts w:cs="Arial"/>
        </w:rPr>
      </w:pPr>
    </w:p>
    <w:p w14:paraId="5278ED8C" w14:textId="49C5A514" w:rsidR="008E084E" w:rsidRPr="009A1BEA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9A1BEA">
        <w:rPr>
          <w:rFonts w:cs="Arial"/>
          <w:b/>
        </w:rPr>
        <w:t>Článek II</w:t>
      </w:r>
      <w:bookmarkEnd w:id="6"/>
      <w:r w:rsidRPr="009A1BEA">
        <w:rPr>
          <w:rFonts w:cs="Arial"/>
          <w:b/>
        </w:rPr>
        <w:br/>
        <w:t xml:space="preserve">Předmět a účel </w:t>
      </w:r>
      <w:r w:rsidR="00FD0743" w:rsidRPr="009A1BEA">
        <w:rPr>
          <w:rFonts w:cs="Arial"/>
          <w:b/>
        </w:rPr>
        <w:t>s</w:t>
      </w:r>
      <w:r w:rsidRPr="009A1BEA">
        <w:rPr>
          <w:rFonts w:cs="Arial"/>
          <w:b/>
        </w:rPr>
        <w:t>mlouvy</w:t>
      </w:r>
    </w:p>
    <w:p w14:paraId="6940CEBB" w14:textId="1B602664" w:rsidR="00283DD7" w:rsidRPr="009A1BEA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Předmětem této </w:t>
      </w:r>
      <w:r w:rsidR="00FD0743" w:rsidRPr="009A1BEA">
        <w:rPr>
          <w:rFonts w:ascii="Calibri" w:hAnsi="Calibri" w:cs="Arial"/>
          <w:sz w:val="22"/>
          <w:szCs w:val="22"/>
        </w:rPr>
        <w:t>s</w:t>
      </w:r>
      <w:r w:rsidRPr="009A1BEA">
        <w:rPr>
          <w:rFonts w:ascii="Calibri" w:hAnsi="Calibri" w:cs="Arial"/>
          <w:sz w:val="22"/>
          <w:szCs w:val="22"/>
        </w:rPr>
        <w:t xml:space="preserve">mlouvy je úprava právního postavení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říjemce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a jeho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artner</w:t>
      </w:r>
      <w:r w:rsidR="00FD0743" w:rsidRPr="009A1BEA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9A1BEA">
        <w:rPr>
          <w:rFonts w:ascii="Calibri" w:hAnsi="Calibri" w:cs="Arial"/>
          <w:sz w:val="22"/>
          <w:szCs w:val="22"/>
          <w:lang w:val="cs-CZ"/>
        </w:rPr>
        <w:t>po</w:t>
      </w:r>
      <w:r w:rsidRPr="009A1BEA">
        <w:rPr>
          <w:rFonts w:ascii="Calibri" w:hAnsi="Calibri" w:cs="Arial"/>
          <w:sz w:val="22"/>
          <w:szCs w:val="22"/>
        </w:rPr>
        <w:t xml:space="preserve">dle </w:t>
      </w:r>
      <w:r w:rsidRPr="009A1BEA">
        <w:rPr>
          <w:rFonts w:ascii="Calibri" w:hAnsi="Calibri" w:cs="Arial"/>
          <w:sz w:val="22"/>
          <w:szCs w:val="22"/>
          <w:lang w:val="cs-CZ"/>
        </w:rPr>
        <w:t>bodu</w:t>
      </w:r>
      <w:r w:rsidRPr="009A1BEA">
        <w:rPr>
          <w:rFonts w:ascii="Calibri" w:hAnsi="Calibri" w:cs="Arial"/>
          <w:sz w:val="22"/>
          <w:szCs w:val="22"/>
        </w:rPr>
        <w:t xml:space="preserve"> 2 tohoto článku </w:t>
      </w:r>
      <w:r w:rsidR="00FD0743" w:rsidRPr="009A1BEA">
        <w:rPr>
          <w:rFonts w:ascii="Calibri" w:hAnsi="Calibri" w:cs="Arial"/>
          <w:sz w:val="22"/>
          <w:szCs w:val="22"/>
        </w:rPr>
        <w:t>s</w:t>
      </w:r>
      <w:r w:rsidRPr="009A1BEA">
        <w:rPr>
          <w:rFonts w:ascii="Calibri" w:hAnsi="Calibri" w:cs="Arial"/>
          <w:sz w:val="22"/>
          <w:szCs w:val="22"/>
        </w:rPr>
        <w:t>mlouvy.</w:t>
      </w:r>
    </w:p>
    <w:p w14:paraId="7647DB9C" w14:textId="6985C28B" w:rsidR="00283DD7" w:rsidRPr="009A1BEA" w:rsidRDefault="00283DD7" w:rsidP="00DE484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Účelem této </w:t>
      </w:r>
      <w:r w:rsidR="00FD0743" w:rsidRPr="009A1BEA">
        <w:rPr>
          <w:rFonts w:ascii="Calibri" w:hAnsi="Calibri" w:cs="Arial"/>
          <w:sz w:val="22"/>
          <w:szCs w:val="22"/>
        </w:rPr>
        <w:t>s</w:t>
      </w:r>
      <w:r w:rsidRPr="009A1BEA">
        <w:rPr>
          <w:rFonts w:ascii="Calibri" w:hAnsi="Calibri" w:cs="Arial"/>
          <w:sz w:val="22"/>
          <w:szCs w:val="22"/>
        </w:rPr>
        <w:t xml:space="preserve">mlouvy je upravit vzájemnou spolupráci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říjemce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a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artner</w:t>
      </w:r>
      <w:r w:rsidR="00FD0743" w:rsidRPr="009A1BEA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, kteří společně realizují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rojekt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</w:t>
      </w:r>
      <w:r w:rsidRPr="009A1BEA">
        <w:rPr>
          <w:rFonts w:ascii="Calibri" w:hAnsi="Calibri" w:cs="Arial"/>
          <w:sz w:val="22"/>
          <w:szCs w:val="22"/>
          <w:lang w:val="cs-CZ"/>
        </w:rPr>
        <w:t>s</w:t>
      </w:r>
      <w:r w:rsidR="00DE4847" w:rsidRPr="009A1BEA">
        <w:rPr>
          <w:rFonts w:ascii="Calibri" w:hAnsi="Calibri" w:cs="Arial"/>
          <w:sz w:val="22"/>
          <w:szCs w:val="22"/>
          <w:lang w:val="cs-CZ"/>
        </w:rPr>
        <w:t> </w:t>
      </w:r>
      <w:r w:rsidRPr="009A1BEA">
        <w:rPr>
          <w:rFonts w:ascii="Calibri" w:hAnsi="Calibri" w:cs="Arial"/>
          <w:sz w:val="22"/>
          <w:szCs w:val="22"/>
          <w:lang w:val="cs-CZ"/>
        </w:rPr>
        <w:t>názvem</w:t>
      </w:r>
      <w:r w:rsidR="00DE4847" w:rsidRPr="009A1BEA">
        <w:rPr>
          <w:rFonts w:ascii="Calibri" w:hAnsi="Calibri" w:cs="Arial"/>
          <w:sz w:val="22"/>
          <w:szCs w:val="22"/>
          <w:lang w:val="cs-CZ"/>
        </w:rPr>
        <w:t xml:space="preserve"> ŽIVOTNÍ CYKLUS NOVÝCH ZDROJŮ ENERGIE, CZ.02.01.01/00/23_020/0008508</w:t>
      </w:r>
      <w:r w:rsidRPr="009A1BEA">
        <w:rPr>
          <w:rFonts w:ascii="Calibri" w:hAnsi="Calibri" w:cs="Arial"/>
          <w:sz w:val="22"/>
          <w:szCs w:val="22"/>
        </w:rPr>
        <w:t xml:space="preserve"> v rámci Operačního programu </w:t>
      </w:r>
      <w:r w:rsidRPr="009A1BEA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DE4847" w:rsidRPr="009A1BEA">
        <w:rPr>
          <w:rFonts w:ascii="Calibri" w:hAnsi="Calibri" w:cs="Arial"/>
          <w:sz w:val="22"/>
          <w:szCs w:val="22"/>
        </w:rPr>
        <w:t>.</w:t>
      </w:r>
    </w:p>
    <w:p w14:paraId="3DC0DD4B" w14:textId="4B853526" w:rsidR="00283DD7" w:rsidRPr="009A1BE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Vztahy mezi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říjemcem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a jeho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artner</w:t>
      </w:r>
      <w:r w:rsidR="00FD0743" w:rsidRPr="009A1BEA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9A1BEA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9A1BEA">
        <w:rPr>
          <w:rFonts w:ascii="Calibri" w:hAnsi="Calibri" w:cs="Arial"/>
          <w:sz w:val="22"/>
          <w:szCs w:val="22"/>
        </w:rPr>
        <w:t xml:space="preserve">Operačního programu </w:t>
      </w:r>
      <w:r w:rsidRPr="009A1BEA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9A1BEA">
        <w:rPr>
          <w:rFonts w:ascii="Calibri" w:hAnsi="Calibri" w:cs="Arial"/>
          <w:sz w:val="22"/>
          <w:szCs w:val="22"/>
        </w:rPr>
        <w:t>(dále jen „</w:t>
      </w:r>
      <w:r w:rsidRPr="009A1BEA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9A1BEA">
        <w:rPr>
          <w:rFonts w:ascii="Calibri" w:hAnsi="Calibri" w:cs="Arial"/>
          <w:sz w:val="22"/>
          <w:szCs w:val="22"/>
        </w:rPr>
        <w:t>“)</w:t>
      </w:r>
      <w:r w:rsidRPr="009A1BEA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9A1BEA">
        <w:rPr>
          <w:rFonts w:ascii="Calibri" w:hAnsi="Calibri" w:cs="Arial"/>
          <w:sz w:val="22"/>
          <w:szCs w:val="22"/>
        </w:rPr>
        <w:t xml:space="preserve"> v právní</w:t>
      </w:r>
      <w:r w:rsidRPr="009A1BEA">
        <w:rPr>
          <w:rFonts w:ascii="Calibri" w:hAnsi="Calibri" w:cs="Arial"/>
          <w:sz w:val="22"/>
          <w:szCs w:val="22"/>
          <w:lang w:val="cs-CZ"/>
        </w:rPr>
        <w:t>m</w:t>
      </w:r>
      <w:r w:rsidRPr="009A1BEA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9A1BEA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47558EBC" w14:textId="5F5B71B3" w:rsidR="00283DD7" w:rsidRPr="009A1BE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Příjemce se zavazuje uveřejnit tuto </w:t>
      </w:r>
      <w:r w:rsidR="00FD0743" w:rsidRPr="009A1BEA">
        <w:rPr>
          <w:rFonts w:ascii="Calibri" w:hAnsi="Calibri" w:cs="Arial"/>
          <w:sz w:val="22"/>
          <w:szCs w:val="22"/>
        </w:rPr>
        <w:t>s</w:t>
      </w:r>
      <w:r w:rsidRPr="009A1BEA">
        <w:rPr>
          <w:rFonts w:ascii="Calibri" w:hAnsi="Calibri" w:cs="Arial"/>
          <w:sz w:val="22"/>
          <w:szCs w:val="22"/>
        </w:rPr>
        <w:t xml:space="preserve">mlouvu v registru smluv </w:t>
      </w:r>
      <w:r w:rsidRPr="009A1BEA">
        <w:rPr>
          <w:rFonts w:ascii="Calibri" w:hAnsi="Calibri" w:cs="Arial"/>
          <w:sz w:val="22"/>
          <w:szCs w:val="22"/>
          <w:lang w:val="cs-CZ"/>
        </w:rPr>
        <w:t>po</w:t>
      </w:r>
      <w:r w:rsidRPr="009A1BEA">
        <w:rPr>
          <w:rFonts w:ascii="Calibri" w:hAnsi="Calibri" w:cs="Arial"/>
          <w:sz w:val="22"/>
          <w:szCs w:val="22"/>
        </w:rPr>
        <w:t xml:space="preserve">dle zákona č. 340/2015 Sb., o registru smluv, </w:t>
      </w:r>
      <w:bookmarkStart w:id="7" w:name="_Hlk173397158"/>
      <w:r w:rsidRPr="009A1BEA">
        <w:rPr>
          <w:rFonts w:ascii="Calibri" w:hAnsi="Calibri" w:cs="Arial"/>
          <w:sz w:val="22"/>
          <w:szCs w:val="22"/>
        </w:rPr>
        <w:t>ve znění pozdějších předpisů</w:t>
      </w:r>
      <w:bookmarkEnd w:id="7"/>
      <w:r w:rsidRPr="009A1BEA">
        <w:rPr>
          <w:rFonts w:ascii="Calibri" w:hAnsi="Calibri" w:cs="Arial"/>
          <w:sz w:val="22"/>
          <w:szCs w:val="22"/>
          <w:lang w:val="cs-CZ"/>
        </w:rPr>
        <w:t>,</w:t>
      </w:r>
      <w:r w:rsidRPr="009A1BEA">
        <w:rPr>
          <w:rFonts w:ascii="Calibri" w:hAnsi="Calibri" w:cs="Arial"/>
          <w:sz w:val="22"/>
          <w:szCs w:val="22"/>
        </w:rPr>
        <w:t xml:space="preserve"> a informovat o jejím uveřejnění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artner</w:t>
      </w:r>
      <w:r w:rsidR="00FD0743" w:rsidRPr="009A1BEA">
        <w:rPr>
          <w:rFonts w:ascii="Calibri" w:hAnsi="Calibri" w:cs="Arial"/>
          <w:sz w:val="22"/>
          <w:szCs w:val="22"/>
        </w:rPr>
        <w:t>y</w:t>
      </w:r>
      <w:proofErr w:type="spellEnd"/>
      <w:r w:rsidRPr="009A1BEA">
        <w:rPr>
          <w:rFonts w:ascii="Calibri" w:hAnsi="Calibri" w:cs="Arial"/>
          <w:sz w:val="22"/>
          <w:szCs w:val="22"/>
        </w:rPr>
        <w:t>.</w:t>
      </w:r>
      <w:r w:rsidRPr="009A1BEA">
        <w:rPr>
          <w:rStyle w:val="Znakapoznpodarou"/>
          <w:rFonts w:ascii="Calibri" w:hAnsi="Calibri" w:cs="Arial"/>
          <w:sz w:val="22"/>
          <w:szCs w:val="22"/>
        </w:rPr>
        <w:footnoteReference w:id="1"/>
      </w:r>
      <w:r w:rsidRPr="009A1BEA">
        <w:rPr>
          <w:rFonts w:ascii="Calibri" w:hAnsi="Calibri" w:cs="Arial"/>
          <w:sz w:val="22"/>
          <w:szCs w:val="22"/>
        </w:rPr>
        <w:t xml:space="preserve"> </w:t>
      </w:r>
    </w:p>
    <w:p w14:paraId="06F28DF5" w14:textId="48897533" w:rsidR="00283DD7" w:rsidRPr="009A1BEA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8" w:name="_Toc196810177"/>
      <w:r w:rsidRPr="009A1BEA">
        <w:rPr>
          <w:rFonts w:cs="Arial"/>
          <w:b/>
        </w:rPr>
        <w:t>Článek III</w:t>
      </w:r>
      <w:bookmarkEnd w:id="8"/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Práva a povinnosti smluvních stran</w:t>
      </w:r>
    </w:p>
    <w:p w14:paraId="223C91B9" w14:textId="77777777" w:rsidR="00283DD7" w:rsidRPr="009A1BEA" w:rsidRDefault="00283DD7" w:rsidP="00283DD7">
      <w:pPr>
        <w:keepNext/>
        <w:tabs>
          <w:tab w:val="num" w:pos="0"/>
        </w:tabs>
        <w:rPr>
          <w:rFonts w:cs="Arial"/>
        </w:rPr>
      </w:pPr>
      <w:r w:rsidRPr="009A1BEA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9A1BE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401A48BA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řízení projektu,</w:t>
      </w:r>
    </w:p>
    <w:p w14:paraId="4B64D831" w14:textId="45466907" w:rsidR="00DE4847" w:rsidRPr="009A1BEA" w:rsidRDefault="00DE484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výzkumnou činnost v rozsahu dle Žádosti o podporu projektu</w:t>
      </w:r>
      <w:r w:rsidR="00FD0743" w:rsidRPr="009A1BEA">
        <w:rPr>
          <w:rFonts w:cs="Arial"/>
          <w:i/>
          <w:iCs/>
        </w:rPr>
        <w:t>,</w:t>
      </w:r>
    </w:p>
    <w:p w14:paraId="49440AA7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zpracování návrhu projektu a jeho změn a doplnění,</w:t>
      </w:r>
    </w:p>
    <w:p w14:paraId="525974B8" w14:textId="3409B79F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průběžné informování partner</w:t>
      </w:r>
      <w:r w:rsidR="00974489" w:rsidRPr="009A1BEA">
        <w:rPr>
          <w:rFonts w:cs="Arial"/>
          <w:i/>
          <w:iCs/>
        </w:rPr>
        <w:t>ů</w:t>
      </w:r>
      <w:r w:rsidRPr="009A1BEA">
        <w:rPr>
          <w:rFonts w:cs="Arial"/>
          <w:i/>
          <w:iCs/>
        </w:rPr>
        <w:t>,</w:t>
      </w:r>
    </w:p>
    <w:p w14:paraId="4CDF9EB2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publicitu projektu,</w:t>
      </w:r>
    </w:p>
    <w:p w14:paraId="5C8F5CEF" w14:textId="7F09BBEA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projednání veškerých změn a povinností s</w:t>
      </w:r>
      <w:r w:rsidR="00974489" w:rsidRPr="009A1BEA">
        <w:rPr>
          <w:rFonts w:cs="Arial"/>
          <w:i/>
          <w:iCs/>
        </w:rPr>
        <w:t> </w:t>
      </w:r>
      <w:r w:rsidRPr="009A1BEA">
        <w:rPr>
          <w:rFonts w:cs="Arial"/>
          <w:i/>
          <w:iCs/>
        </w:rPr>
        <w:t>p</w:t>
      </w:r>
      <w:r w:rsidR="00974489" w:rsidRPr="009A1BEA">
        <w:rPr>
          <w:rFonts w:cs="Arial"/>
          <w:i/>
          <w:iCs/>
        </w:rPr>
        <w:t>artnery a poskytovatelem</w:t>
      </w:r>
      <w:r w:rsidRPr="009A1BEA">
        <w:rPr>
          <w:rFonts w:cs="Arial"/>
          <w:i/>
          <w:iCs/>
        </w:rPr>
        <w:t>,</w:t>
      </w:r>
    </w:p>
    <w:p w14:paraId="02ED2893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vykazování hospodářského využití podpořených kapacit,</w:t>
      </w:r>
    </w:p>
    <w:p w14:paraId="5A49B638" w14:textId="395D953E" w:rsidR="00283DD7" w:rsidRPr="009A1BEA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9A1BEA">
        <w:rPr>
          <w:rFonts w:cs="Arial"/>
          <w:i/>
          <w:iCs/>
        </w:rPr>
        <w:t>proplácení způsobilých výdajů p</w:t>
      </w:r>
      <w:r w:rsidR="00974489" w:rsidRPr="009A1BEA">
        <w:rPr>
          <w:rFonts w:cs="Arial"/>
          <w:i/>
          <w:iCs/>
        </w:rPr>
        <w:t>artnerů</w:t>
      </w:r>
      <w:r w:rsidR="00FD0743" w:rsidRPr="009A1BEA">
        <w:rPr>
          <w:rFonts w:cs="Arial"/>
          <w:i/>
          <w:iCs/>
        </w:rPr>
        <w:t>,</w:t>
      </w:r>
    </w:p>
    <w:p w14:paraId="2770B9AE" w14:textId="15BBBF52" w:rsidR="00974489" w:rsidRPr="009A1BEA" w:rsidRDefault="00974489" w:rsidP="00974489">
      <w:pPr>
        <w:tabs>
          <w:tab w:val="clear" w:pos="5790"/>
        </w:tabs>
        <w:jc w:val="left"/>
        <w:rPr>
          <w:rFonts w:cs="Arial"/>
          <w:i/>
          <w:iCs/>
        </w:rPr>
      </w:pPr>
    </w:p>
    <w:p w14:paraId="5EA76F40" w14:textId="6C8B22ED" w:rsidR="003A4AB3" w:rsidRPr="009A1BEA" w:rsidRDefault="003A4AB3" w:rsidP="00974489">
      <w:pPr>
        <w:tabs>
          <w:tab w:val="clear" w:pos="5790"/>
        </w:tabs>
        <w:jc w:val="left"/>
        <w:rPr>
          <w:rFonts w:cs="Arial"/>
          <w:i/>
          <w:iCs/>
        </w:rPr>
      </w:pPr>
    </w:p>
    <w:p w14:paraId="30C7CCC5" w14:textId="7E6AF0B9" w:rsidR="003A4AB3" w:rsidRPr="009A1BEA" w:rsidRDefault="003A4AB3" w:rsidP="00974489">
      <w:pPr>
        <w:tabs>
          <w:tab w:val="clear" w:pos="5790"/>
        </w:tabs>
        <w:jc w:val="left"/>
        <w:rPr>
          <w:rFonts w:cs="Arial"/>
          <w:i/>
          <w:iCs/>
        </w:rPr>
      </w:pPr>
    </w:p>
    <w:p w14:paraId="67A1DC12" w14:textId="368BD9A2" w:rsidR="003A4AB3" w:rsidRPr="009A1BEA" w:rsidRDefault="003A4AB3" w:rsidP="00974489">
      <w:pPr>
        <w:tabs>
          <w:tab w:val="clear" w:pos="5790"/>
        </w:tabs>
        <w:jc w:val="left"/>
        <w:rPr>
          <w:rFonts w:cs="Arial"/>
          <w:i/>
          <w:iCs/>
        </w:rPr>
      </w:pPr>
    </w:p>
    <w:p w14:paraId="2E28FCF6" w14:textId="77777777" w:rsidR="003A4AB3" w:rsidRPr="009A1BEA" w:rsidRDefault="003A4AB3" w:rsidP="00974489">
      <w:pPr>
        <w:tabs>
          <w:tab w:val="clear" w:pos="5790"/>
        </w:tabs>
        <w:jc w:val="left"/>
        <w:rPr>
          <w:rFonts w:cs="Arial"/>
          <w:i/>
          <w:iCs/>
        </w:rPr>
      </w:pPr>
    </w:p>
    <w:p w14:paraId="73EFE75E" w14:textId="7B17A3D4" w:rsidR="0043779A" w:rsidRPr="009A1BEA" w:rsidRDefault="00283DD7" w:rsidP="00FD0743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Partner</w:t>
      </w:r>
      <w:r w:rsidR="00265813" w:rsidRPr="009A1BEA">
        <w:rPr>
          <w:rFonts w:ascii="Calibri" w:hAnsi="Calibri" w:cs="Arial"/>
          <w:sz w:val="22"/>
          <w:szCs w:val="22"/>
          <w:lang w:val="cs-CZ"/>
        </w:rPr>
        <w:t xml:space="preserve"> každý sám za sebe</w:t>
      </w:r>
      <w:r w:rsidRPr="009A1BEA">
        <w:rPr>
          <w:rFonts w:ascii="Calibri" w:hAnsi="Calibri" w:cs="Arial"/>
          <w:sz w:val="22"/>
          <w:szCs w:val="22"/>
        </w:rPr>
        <w:t xml:space="preserve"> bude provádět tyto činnosti: </w:t>
      </w:r>
    </w:p>
    <w:p w14:paraId="23572548" w14:textId="332B4EC7" w:rsidR="0043779A" w:rsidRPr="009A1BEA" w:rsidRDefault="0043779A" w:rsidP="0043779A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realizace jím prováděné výzkumné činnosti v rozsahu dle Žádosti o podporu projektu</w:t>
      </w:r>
      <w:r w:rsidR="00FD0743" w:rsidRPr="009A1BEA">
        <w:rPr>
          <w:rFonts w:cs="Arial"/>
          <w:i/>
          <w:iCs/>
        </w:rPr>
        <w:t>,</w:t>
      </w:r>
    </w:p>
    <w:p w14:paraId="71F41A69" w14:textId="3767B58D" w:rsidR="0043779A" w:rsidRPr="009A1BEA" w:rsidRDefault="0043779A" w:rsidP="0043779A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spolupráce na administrativním řízení projektu, zejména v rámci přípravy a podání změnových řízení a periodických zpráv o realizaci a žádostí o platbu,</w:t>
      </w:r>
    </w:p>
    <w:p w14:paraId="36817FE0" w14:textId="4AEF86A5" w:rsidR="0043779A" w:rsidRPr="009A1BEA" w:rsidRDefault="0043779A" w:rsidP="00D30A1F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připomínkování a hodnocení výstupů z projektu,</w:t>
      </w:r>
    </w:p>
    <w:p w14:paraId="58BC3B4C" w14:textId="77777777" w:rsidR="00283DD7" w:rsidRPr="009A1BEA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spolupráce na návrhu změn a doplnění projektu,</w:t>
      </w:r>
    </w:p>
    <w:p w14:paraId="483BAABA" w14:textId="77777777" w:rsidR="00283DD7" w:rsidRPr="009A1BEA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 xml:space="preserve">vyúčtování vynaložených prostředků, </w:t>
      </w:r>
    </w:p>
    <w:p w14:paraId="34116C6D" w14:textId="77777777" w:rsidR="00283DD7" w:rsidRPr="009A1BEA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zpracování zpráv o své činnosti v dohodnutých termínech</w:t>
      </w:r>
    </w:p>
    <w:p w14:paraId="1B7956AF" w14:textId="6741B023" w:rsidR="00283DD7" w:rsidRPr="009A1BEA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vykazování hospodářských činností podpořených kapacit,</w:t>
      </w:r>
    </w:p>
    <w:p w14:paraId="5E0F2D0B" w14:textId="3BCF6861" w:rsidR="00D30A1F" w:rsidRPr="009A1BEA" w:rsidRDefault="00D30A1F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A1BEA">
        <w:rPr>
          <w:rFonts w:cs="Arial"/>
          <w:i/>
          <w:iCs/>
        </w:rPr>
        <w:t>spolupráce na plnění sjednaných monitorovacích ukazatelů projektu</w:t>
      </w:r>
      <w:r w:rsidR="00FD0743" w:rsidRPr="009A1BEA">
        <w:rPr>
          <w:rFonts w:cs="Arial"/>
          <w:i/>
          <w:iCs/>
        </w:rPr>
        <w:t>,</w:t>
      </w:r>
    </w:p>
    <w:p w14:paraId="18FF3D2F" w14:textId="77777777" w:rsidR="00283DD7" w:rsidRPr="009A1BEA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  <w:iCs/>
        </w:rPr>
      </w:pPr>
      <w:r w:rsidRPr="009A1BEA">
        <w:rPr>
          <w:rFonts w:cs="Arial"/>
          <w:i/>
          <w:iCs/>
        </w:rPr>
        <w:t xml:space="preserve">zastupovat příjemce při výkonu práv a povinností souvisejících se zadávacím řízením nebo soutěží o návrh podle </w:t>
      </w:r>
      <w:r w:rsidRPr="009A1BEA">
        <w:rPr>
          <w:rFonts w:cs="Arial"/>
          <w:i/>
        </w:rPr>
        <w:t>§ 143 zákona č. 134/2016 Sb., o zadávání veřejných zakázek, ve znění pozdějších předpisů.</w:t>
      </w:r>
    </w:p>
    <w:p w14:paraId="12DB041A" w14:textId="77DE354C" w:rsidR="00283DD7" w:rsidRPr="009A1BE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Příjemce a </w:t>
      </w:r>
      <w:r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z w:val="22"/>
          <w:szCs w:val="22"/>
        </w:rPr>
        <w:t>artne</w:t>
      </w:r>
      <w:r w:rsidR="00D30A1F" w:rsidRPr="009A1BEA">
        <w:rPr>
          <w:rFonts w:ascii="Calibri" w:hAnsi="Calibri" w:cs="Arial"/>
          <w:sz w:val="22"/>
          <w:szCs w:val="22"/>
          <w:lang w:val="cs-CZ"/>
        </w:rPr>
        <w:t>ři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se zavazuj</w:t>
      </w:r>
      <w:r w:rsidRPr="009A1BEA">
        <w:rPr>
          <w:rFonts w:ascii="Calibri" w:hAnsi="Calibri" w:cs="Arial"/>
          <w:sz w:val="22"/>
          <w:szCs w:val="22"/>
          <w:lang w:val="cs-CZ"/>
        </w:rPr>
        <w:t>í</w:t>
      </w:r>
      <w:r w:rsidRPr="009A1BEA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9A1BEA">
        <w:rPr>
          <w:rFonts w:ascii="Calibri" w:hAnsi="Calibri" w:cs="Arial"/>
          <w:sz w:val="22"/>
          <w:szCs w:val="22"/>
          <w:lang w:val="cs-CZ"/>
        </w:rPr>
        <w:t>po</w:t>
      </w:r>
      <w:r w:rsidRPr="009A1BEA">
        <w:rPr>
          <w:rFonts w:ascii="Calibri" w:hAnsi="Calibri" w:cs="Arial"/>
          <w:sz w:val="22"/>
          <w:szCs w:val="22"/>
        </w:rPr>
        <w:t xml:space="preserve">dle této </w:t>
      </w:r>
      <w:r w:rsidRPr="009A1BEA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9A1BEA">
        <w:rPr>
          <w:rFonts w:ascii="Calibri" w:hAnsi="Calibri" w:cs="Arial"/>
          <w:sz w:val="22"/>
          <w:szCs w:val="22"/>
        </w:rPr>
        <w:t>mlouvy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.  </w:t>
      </w:r>
    </w:p>
    <w:p w14:paraId="77390C9E" w14:textId="5A5A8A45" w:rsidR="00283DD7" w:rsidRPr="009A1BEA" w:rsidRDefault="00D30A1F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Partneři jsou povinni</w:t>
      </w:r>
      <w:r w:rsidR="00283DD7" w:rsidRPr="009A1BEA">
        <w:rPr>
          <w:rFonts w:ascii="Calibri" w:hAnsi="Calibri" w:cs="Arial"/>
          <w:sz w:val="22"/>
          <w:szCs w:val="22"/>
        </w:rPr>
        <w:t xml:space="preserve"> jednat způsobem, který neohrožuje realizaci projektu a zájmy </w:t>
      </w:r>
      <w:r w:rsidR="00283DD7"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9A1BEA">
        <w:rPr>
          <w:rFonts w:ascii="Calibri" w:hAnsi="Calibri" w:cs="Arial"/>
          <w:sz w:val="22"/>
          <w:szCs w:val="22"/>
        </w:rPr>
        <w:t>říjemce</w:t>
      </w:r>
      <w:proofErr w:type="spellEnd"/>
      <w:r w:rsidR="00283DD7" w:rsidRPr="009A1BEA">
        <w:rPr>
          <w:rFonts w:ascii="Calibri" w:hAnsi="Calibri" w:cs="Arial"/>
          <w:sz w:val="22"/>
          <w:szCs w:val="22"/>
        </w:rPr>
        <w:t xml:space="preserve">. </w:t>
      </w:r>
    </w:p>
    <w:p w14:paraId="62A60BEC" w14:textId="52A3E619" w:rsidR="00283DD7" w:rsidRPr="009A1BEA" w:rsidRDefault="00D30A1F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Partneři mají</w:t>
      </w:r>
      <w:r w:rsidR="00283DD7" w:rsidRPr="009A1BEA">
        <w:rPr>
          <w:rFonts w:ascii="Calibri" w:hAnsi="Calibri" w:cs="Arial"/>
          <w:sz w:val="22"/>
          <w:szCs w:val="22"/>
        </w:rPr>
        <w:t xml:space="preserve"> právo na veškeré informace týkající se projektu, dosažených výsledků </w:t>
      </w:r>
      <w:r w:rsidR="00283DD7" w:rsidRPr="009A1BE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9A1BEA">
        <w:rPr>
          <w:rFonts w:ascii="Calibri" w:hAnsi="Calibri" w:cs="Arial"/>
          <w:sz w:val="22"/>
          <w:szCs w:val="22"/>
        </w:rPr>
        <w:t>rojektu</w:t>
      </w:r>
      <w:proofErr w:type="spellEnd"/>
      <w:r w:rsidR="00283DD7" w:rsidRPr="009A1BEA">
        <w:rPr>
          <w:rFonts w:ascii="Calibri" w:hAnsi="Calibri" w:cs="Arial"/>
          <w:sz w:val="22"/>
          <w:szCs w:val="22"/>
        </w:rPr>
        <w:t xml:space="preserve"> a</w:t>
      </w:r>
      <w:r w:rsidR="00283DD7" w:rsidRPr="009A1BEA">
        <w:rPr>
          <w:rFonts w:ascii="Calibri" w:hAnsi="Calibri" w:cs="Arial"/>
          <w:sz w:val="22"/>
          <w:szCs w:val="22"/>
          <w:lang w:val="cs-CZ"/>
        </w:rPr>
        <w:t> </w:t>
      </w:r>
      <w:r w:rsidR="00283DD7" w:rsidRPr="009A1BEA">
        <w:rPr>
          <w:rFonts w:ascii="Calibri" w:hAnsi="Calibri" w:cs="Arial"/>
          <w:sz w:val="22"/>
          <w:szCs w:val="22"/>
        </w:rPr>
        <w:t>související dokumentac</w:t>
      </w:r>
      <w:r w:rsidR="00283DD7" w:rsidRPr="009A1BEA">
        <w:rPr>
          <w:rFonts w:ascii="Calibri" w:hAnsi="Calibri" w:cs="Arial"/>
          <w:sz w:val="22"/>
          <w:szCs w:val="22"/>
          <w:lang w:val="cs-CZ"/>
        </w:rPr>
        <w:t>i</w:t>
      </w:r>
      <w:r w:rsidR="00283DD7" w:rsidRPr="009A1BEA">
        <w:rPr>
          <w:rFonts w:ascii="Calibri" w:hAnsi="Calibri" w:cs="Arial"/>
          <w:sz w:val="22"/>
          <w:szCs w:val="22"/>
        </w:rPr>
        <w:t>.</w:t>
      </w:r>
    </w:p>
    <w:p w14:paraId="172446C3" w14:textId="0FF35C50" w:rsidR="00283DD7" w:rsidRPr="009A1BE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Partner </w:t>
      </w:r>
      <w:r w:rsidR="00D30A1F" w:rsidRPr="009A1BEA">
        <w:rPr>
          <w:rFonts w:ascii="Calibri" w:hAnsi="Calibri" w:cs="Arial"/>
          <w:sz w:val="22"/>
          <w:szCs w:val="22"/>
          <w:lang w:val="cs-CZ"/>
        </w:rPr>
        <w:t xml:space="preserve">každý sám za sebe </w:t>
      </w:r>
      <w:r w:rsidRPr="009A1BEA">
        <w:rPr>
          <w:rFonts w:ascii="Calibri" w:hAnsi="Calibri" w:cs="Arial"/>
          <w:sz w:val="22"/>
          <w:szCs w:val="22"/>
        </w:rPr>
        <w:t>se dále zavazuje:</w:t>
      </w:r>
    </w:p>
    <w:p w14:paraId="65BB5B23" w14:textId="28BD9EBE" w:rsidR="00283DD7" w:rsidRPr="009A1BEA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64CD3598" w:rsidR="00283DD7" w:rsidRPr="009A1BEA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vést oddělenou účetní evidenci všech účetních případů vztahujících se k projektu;</w:t>
      </w:r>
    </w:p>
    <w:p w14:paraId="126FB96A" w14:textId="340F6A97" w:rsidR="00283DD7" w:rsidRPr="009A1BEA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9A1BEA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22AF9E72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9A1BEA"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3294EDF7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uzavřít smlouvu dle čl. 38 Obecného nařízení o ochraně osobních údajů s příjemcem a s dodavateli partnera (je-li to relevantní), která upraví podmínky zpracování osobních údajů obdobně jako právní akt o poskytnutí/převodu podpory, který je přílohou č. 2 této smlouvy.</w:t>
      </w:r>
    </w:p>
    <w:p w14:paraId="1679EBDC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během realizace projektu poskytnout součinnost při naplňování indikátorů projektu uvedených v příloze č. 4 této smlouvy</w:t>
      </w:r>
      <w:r w:rsidRPr="009A1BEA">
        <w:rPr>
          <w:rFonts w:cs="Arial"/>
          <w:snapToGrid w:val="0"/>
        </w:rPr>
        <w:t>;</w:t>
      </w:r>
    </w:p>
    <w:p w14:paraId="5E5A0334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3914265C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9A1BEA">
        <w:rPr>
          <w:rFonts w:cs="Arial"/>
        </w:rPr>
        <w:lastRenderedPageBreak/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9A1BEA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9" w:name="_Hlk101978578"/>
      <w:r w:rsidRPr="009A1BEA">
        <w:rPr>
          <w:rFonts w:cs="Arial"/>
        </w:rPr>
        <w:t xml:space="preserve"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odcizení. </w:t>
      </w:r>
    </w:p>
    <w:p w14:paraId="7575128B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 w:rsidRPr="009A1BEA"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9A1BEA">
        <w:rPr>
          <w:rFonts w:cs="Arial"/>
          <w:vertAlign w:val="superscript"/>
        </w:rPr>
        <w:footnoteReference w:id="2"/>
      </w:r>
      <w:r w:rsidRPr="009A1BEA">
        <w:rPr>
          <w:rFonts w:cs="Arial"/>
        </w:rPr>
        <w:t xml:space="preserve">), a dále nesmí být  tento majetek po tuto dobu bez předchozího písemného souhlasu Řídicího orgánu OP JAK a příjemce zatížen, ani nesmí být vlastnické právo partnera nijak omezeno.  </w:t>
      </w:r>
    </w:p>
    <w:p w14:paraId="2755666B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 xml:space="preserve">zajistit, aby majetek přenechaný k užívání nebyl dále přenechán k užívání další osobě. V případě </w:t>
      </w:r>
      <w:r w:rsidRPr="009A1BEA">
        <w:rPr>
          <w:rFonts w:cs="Arial"/>
          <w:lang w:val="x-none"/>
        </w:rPr>
        <w:t>pronájmu</w:t>
      </w:r>
      <w:r w:rsidRPr="009A1BEA">
        <w:rPr>
          <w:rFonts w:cs="Arial"/>
        </w:rPr>
        <w:t>/výpůjčky</w:t>
      </w:r>
      <w:r w:rsidRPr="009A1BEA">
        <w:rPr>
          <w:rFonts w:cs="Arial"/>
          <w:lang w:val="x-none"/>
        </w:rPr>
        <w:t xml:space="preserve"> přístrojů </w:t>
      </w:r>
      <w:r w:rsidRPr="009A1BEA">
        <w:rPr>
          <w:rFonts w:cs="Arial"/>
        </w:rPr>
        <w:t>(s výjimkou přístrojů podpořených v režimu podpory de minimis) je partner povinen</w:t>
      </w:r>
      <w:r w:rsidRPr="009A1BEA">
        <w:rPr>
          <w:rFonts w:cs="Arial"/>
          <w:lang w:val="x-none"/>
        </w:rPr>
        <w:t xml:space="preserve"> </w:t>
      </w:r>
      <w:r w:rsidRPr="009A1BEA">
        <w:rPr>
          <w:rFonts w:cs="Arial"/>
        </w:rPr>
        <w:t xml:space="preserve">vést </w:t>
      </w:r>
      <w:r w:rsidRPr="009A1BEA">
        <w:rPr>
          <w:rFonts w:cs="Arial"/>
          <w:lang w:val="x-none"/>
        </w:rPr>
        <w:t>u přístroje, který chce doplňkově pronajmout</w:t>
      </w:r>
      <w:r w:rsidRPr="009A1BEA">
        <w:rPr>
          <w:rFonts w:cs="Arial"/>
        </w:rPr>
        <w:t>/vypůjčit</w:t>
      </w:r>
      <w:r w:rsidRPr="009A1BEA">
        <w:rPr>
          <w:rFonts w:cs="Arial"/>
          <w:lang w:val="x-none"/>
        </w:rPr>
        <w:t>, přístrojový deník</w:t>
      </w:r>
      <w:r w:rsidRPr="009A1BEA">
        <w:rPr>
          <w:rFonts w:cs="Arial"/>
        </w:rPr>
        <w:t>, ve kterém musí být odlišen pronájem/výpůjčka od ostatního využití partnerem. V případě pronájmu/výpůjčky nemovitostí (s výjimkou majetku podpořeného v režimu podpory de minimis) je partner obdobně povinen</w:t>
      </w:r>
      <w:r w:rsidRPr="009A1BEA">
        <w:rPr>
          <w:rFonts w:cs="Arial"/>
          <w:lang w:val="x-none"/>
        </w:rPr>
        <w:t xml:space="preserve"> </w:t>
      </w:r>
      <w:r w:rsidRPr="009A1BEA">
        <w:rPr>
          <w:rFonts w:cs="Arial"/>
        </w:rPr>
        <w:t xml:space="preserve">vést deník plochy, </w:t>
      </w:r>
      <w:r w:rsidRPr="009A1BEA">
        <w:rPr>
          <w:rFonts w:cs="Arial"/>
          <w:bCs/>
        </w:rPr>
        <w:t>který umožní odlišit pronájem/výpůjčku nemovitosti či její části od ostatního využití partnerem</w:t>
      </w:r>
      <w:r w:rsidRPr="009A1BEA">
        <w:rPr>
          <w:rFonts w:cs="Arial"/>
        </w:rPr>
        <w:t xml:space="preserve">. </w:t>
      </w:r>
      <w:r w:rsidRPr="009A1BEA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9A1BEA">
        <w:rPr>
          <w:rFonts w:cs="Arial"/>
          <w:vertAlign w:val="superscript"/>
        </w:rPr>
        <w:footnoteReference w:id="3"/>
      </w:r>
      <w:r w:rsidRPr="009A1BEA"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o realizaci</w:t>
      </w:r>
      <w:r w:rsidRPr="009A1BEA">
        <w:rPr>
          <w:rFonts w:asciiTheme="minorHAnsi" w:hAnsiTheme="minorHAnsi" w:cstheme="minorHAnsi"/>
        </w:rPr>
        <w:t xml:space="preserve">/udržitelnosti </w:t>
      </w:r>
      <w:r w:rsidRPr="009A1BEA">
        <w:rPr>
          <w:rFonts w:cs="Arial"/>
        </w:rPr>
        <w:t>projektu. Partner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Partner je povinen se při nakládání s majetkem pořízeným z finanční podpory dále řídit Pravidly pro žadatele a příjemce a právním aktem o poskytnutí/převodu podpory;</w:t>
      </w:r>
      <w:bookmarkEnd w:id="9"/>
    </w:p>
    <w:p w14:paraId="1246DD88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asciiTheme="minorHAnsi" w:hAnsiTheme="minorHAnsi" w:cstheme="minorHAnsi"/>
        </w:rPr>
        <w:t xml:space="preserve">postupovat v souladu s </w:t>
      </w:r>
      <w:r w:rsidRPr="009A1BEA">
        <w:rPr>
          <w:rFonts w:asciiTheme="minorHAnsi" w:hAnsiTheme="minorHAnsi" w:cstheme="minorHAnsi"/>
          <w:i/>
        </w:rPr>
        <w:t>Metodikou pro nakládání s majetkem spolufinancovaným z OP JAK</w:t>
      </w:r>
      <w:r w:rsidRPr="009A1BEA">
        <w:rPr>
          <w:rFonts w:asciiTheme="minorHAnsi" w:hAnsiTheme="minorHAnsi" w:cstheme="minorHAnsi"/>
        </w:rPr>
        <w:t xml:space="preserve">, která je k dispozici na </w:t>
      </w:r>
      <w:hyperlink r:id="rId12" w:history="1">
        <w:r w:rsidRPr="009A1BEA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9A1BEA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9A1BEA">
        <w:rPr>
          <w:rStyle w:val="Znakapoznpodarou"/>
          <w:rFonts w:asciiTheme="minorHAnsi" w:hAnsiTheme="minorHAnsi" w:cstheme="minorHAnsi"/>
        </w:rPr>
        <w:footnoteReference w:id="4"/>
      </w:r>
      <w:r w:rsidRPr="009A1BEA">
        <w:rPr>
          <w:rFonts w:asciiTheme="minorHAnsi" w:hAnsiTheme="minorHAnsi" w:cstheme="minorHAnsi"/>
        </w:rPr>
        <w:t>;</w:t>
      </w:r>
    </w:p>
    <w:p w14:paraId="43AD68E6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6E9E05C3" w14:textId="77777777" w:rsidR="00283DD7" w:rsidRPr="009A1BEA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lastRenderedPageBreak/>
        <w:t>předkládat příjemci v pravidelných intervalech nebo vždy, když o to příjemce požádá, podklady pro zprávy o realizaci projektu, informace o pokroku v realizaci projektu, příp. zprávy o udržitelnosti projektu podle Pravidel pro žadatele a příjemce;</w:t>
      </w:r>
    </w:p>
    <w:p w14:paraId="3F4FEB3F" w14:textId="77777777" w:rsidR="00283DD7" w:rsidRPr="009A1BEA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  <w:bCs/>
        </w:rPr>
        <w:t xml:space="preserve">umožnit </w:t>
      </w:r>
      <w:r w:rsidRPr="009A1BEA"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9A1BEA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14:paraId="4D3F8D73" w14:textId="77777777" w:rsidR="00283DD7" w:rsidRPr="009A1BEA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A1BEA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14:paraId="1A2242A1" w14:textId="14A44CFB" w:rsidR="00283DD7" w:rsidRPr="009A1BEA" w:rsidRDefault="00D30A1F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Partneři</w:t>
      </w:r>
      <w:r w:rsidRPr="009A1BEA">
        <w:rPr>
          <w:rFonts w:ascii="Calibri" w:hAnsi="Calibri" w:cs="Arial"/>
          <w:snapToGrid w:val="0"/>
          <w:sz w:val="22"/>
          <w:szCs w:val="22"/>
        </w:rPr>
        <w:t xml:space="preserve"> nejsou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oprávněn</w:t>
      </w:r>
      <w:r w:rsidRPr="009A1BEA"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žádnou z aktivit, kterou provádí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="00283DD7" w:rsidRPr="009A1BEA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="00283DD7" w:rsidRPr="009A1BEA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96524D" w:rsidRPr="009A1BEA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="00283DD7" w:rsidRPr="009A1BEA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5"/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78BE134D" w:rsidR="00283DD7" w:rsidRPr="009A1BEA" w:rsidRDefault="00D30A1F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Partneři jsou povinni</w:t>
      </w:r>
      <w:r w:rsidR="00283DD7" w:rsidRPr="009A1BEA">
        <w:rPr>
          <w:rFonts w:ascii="Calibri" w:hAnsi="Calibri" w:cs="Arial"/>
          <w:sz w:val="22"/>
          <w:szCs w:val="22"/>
        </w:rPr>
        <w:t xml:space="preserve"> při všech svých činnostech pro cílové skupiny, které </w:t>
      </w:r>
      <w:r w:rsidR="00283DD7" w:rsidRPr="009A1BEA">
        <w:rPr>
          <w:rFonts w:ascii="Calibri" w:hAnsi="Calibri" w:cs="Arial"/>
          <w:sz w:val="22"/>
          <w:szCs w:val="22"/>
          <w:lang w:val="cs-CZ"/>
        </w:rPr>
        <w:t>zakládají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malého rozsahu („de minimis“) nebo veřejn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>blokových výjimk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="00283DD7" w:rsidRPr="009A1BEA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="00283DD7" w:rsidRPr="009A1BEA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="00283DD7" w:rsidRPr="009A1BEA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77777777" w:rsidR="00283DD7" w:rsidRPr="009A1BE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 w:rsidRPr="009A1BEA">
        <w:rPr>
          <w:rFonts w:ascii="Calibri" w:hAnsi="Calibri" w:cs="Arial"/>
          <w:sz w:val="22"/>
          <w:szCs w:val="22"/>
          <w:lang w:val="cs-CZ"/>
        </w:rPr>
        <w:t>pa</w:t>
      </w:r>
      <w:r w:rsidRPr="009A1BEA">
        <w:rPr>
          <w:rFonts w:ascii="Calibri" w:hAnsi="Calibri" w:cs="Arial"/>
          <w:sz w:val="22"/>
          <w:szCs w:val="22"/>
        </w:rPr>
        <w:t>rtner</w:t>
      </w:r>
      <w:r w:rsidRPr="009A1BEA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9A1BEA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9A1BEA">
        <w:rPr>
          <w:rFonts w:ascii="Calibri" w:hAnsi="Calibri" w:cs="Arial"/>
          <w:sz w:val="22"/>
          <w:szCs w:val="22"/>
          <w:lang w:val="cs-CZ"/>
        </w:rPr>
        <w:t>o</w:t>
      </w:r>
      <w:r w:rsidRPr="009A1BEA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9A1BEA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9A1BEA">
        <w:rPr>
          <w:rFonts w:ascii="Calibri" w:hAnsi="Calibri" w:cs="Arial"/>
          <w:sz w:val="22"/>
          <w:szCs w:val="22"/>
        </w:rPr>
        <w:t>mlouvy</w:t>
      </w:r>
      <w:proofErr w:type="spellEnd"/>
      <w:r w:rsidRPr="009A1BEA">
        <w:rPr>
          <w:rFonts w:ascii="Calibri" w:hAnsi="Calibri" w:cs="Arial"/>
          <w:sz w:val="22"/>
          <w:szCs w:val="22"/>
        </w:rPr>
        <w:t>, zejména m</w:t>
      </w:r>
      <w:r w:rsidRPr="009A1BEA">
        <w:rPr>
          <w:rFonts w:ascii="Calibri" w:hAnsi="Calibri" w:cs="Arial"/>
          <w:sz w:val="22"/>
          <w:szCs w:val="22"/>
          <w:lang w:val="cs-CZ"/>
        </w:rPr>
        <w:t>u</w:t>
      </w:r>
      <w:r w:rsidRPr="009A1BEA">
        <w:rPr>
          <w:rFonts w:ascii="Calibri" w:hAnsi="Calibri" w:cs="Arial"/>
          <w:sz w:val="22"/>
          <w:szCs w:val="22"/>
        </w:rPr>
        <w:t xml:space="preserve"> poskytnout</w:t>
      </w:r>
      <w:r w:rsidRPr="009A1BEA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9A1BEA">
        <w:rPr>
          <w:rFonts w:ascii="Calibri" w:hAnsi="Calibri" w:cs="Arial"/>
          <w:sz w:val="22"/>
          <w:szCs w:val="22"/>
        </w:rPr>
        <w:t xml:space="preserve"> případn</w:t>
      </w:r>
      <w:r w:rsidRPr="009A1BEA">
        <w:rPr>
          <w:rFonts w:ascii="Calibri" w:hAnsi="Calibri" w:cs="Arial"/>
          <w:sz w:val="22"/>
          <w:szCs w:val="22"/>
          <w:lang w:val="cs-CZ"/>
        </w:rPr>
        <w:t>á</w:t>
      </w:r>
      <w:r w:rsidRPr="009A1BEA">
        <w:rPr>
          <w:rFonts w:ascii="Calibri" w:hAnsi="Calibri" w:cs="Arial"/>
          <w:sz w:val="22"/>
          <w:szCs w:val="22"/>
        </w:rPr>
        <w:t xml:space="preserve"> </w:t>
      </w:r>
      <w:r w:rsidRPr="009A1BEA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9A1BEA">
        <w:rPr>
          <w:rFonts w:ascii="Calibri" w:hAnsi="Calibri" w:cs="Arial"/>
          <w:i/>
          <w:sz w:val="22"/>
          <w:szCs w:val="22"/>
        </w:rPr>
        <w:t>.</w:t>
      </w:r>
    </w:p>
    <w:p w14:paraId="4ACC143E" w14:textId="7C8F4AAE" w:rsidR="00283DD7" w:rsidRPr="009A1BE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9A1BEA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9A1BEA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9A1BEA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9A1BEA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9A1BEA">
        <w:rPr>
          <w:rFonts w:ascii="Calibri" w:hAnsi="Calibri" w:cs="Arial"/>
          <w:snapToGrid w:val="0"/>
          <w:sz w:val="22"/>
          <w:szCs w:val="22"/>
        </w:rPr>
        <w:t>. K</w:t>
      </w:r>
      <w:r w:rsidRPr="009A1BEA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9A1BEA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9A1BEA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9A1BEA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bodu 20 Rámce pro státní podporu výzkumu, vývoje a inovací / 207 Sdělení o pojmu státní podpora) je nutno dodržovat po celou dobu životnosti, resp. odpisování majetku. Pro účely prokázání čistě vedlejšího charakteru hospodářských činností je </w:t>
      </w:r>
      <w:r w:rsidRPr="009A1BEA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9A1BEA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9A1BEA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9A1BEA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9A1BEA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9A1BEA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9A1BEA">
        <w:rPr>
          <w:rFonts w:cs="Arial"/>
          <w:b/>
        </w:rPr>
        <w:lastRenderedPageBreak/>
        <w:t xml:space="preserve">Článek IV </w:t>
      </w:r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Financování projektu</w:t>
      </w:r>
    </w:p>
    <w:p w14:paraId="619A5315" w14:textId="4BCB7EBA" w:rsidR="00283DD7" w:rsidRPr="009A1BEA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A1BEA"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112798A0" w:rsidR="00283DD7" w:rsidRPr="009A1BEA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A1BEA">
        <w:rPr>
          <w:rFonts w:cs="Arial"/>
        </w:rPr>
        <w:t>Výdaje na činnosti, jimiž se příjemce a partne</w:t>
      </w:r>
      <w:r w:rsidR="0096524D" w:rsidRPr="009A1BEA">
        <w:rPr>
          <w:rFonts w:cs="Arial"/>
        </w:rPr>
        <w:t>ři</w:t>
      </w:r>
      <w:r w:rsidRPr="009A1BEA">
        <w:rPr>
          <w:rFonts w:cs="Arial"/>
        </w:rPr>
        <w:t xml:space="preserve"> podílejí na projektu, jsou podrobně rozepsány v žádosti o podporu, která tvoří přílohu č. 1 této smlouvy. Celkový finanční podíl příjemce a jednotlivých partnerů na projektu činí: </w:t>
      </w:r>
    </w:p>
    <w:p w14:paraId="0BF73A30" w14:textId="77777777" w:rsidR="00033D2F" w:rsidRPr="009A1BEA" w:rsidRDefault="00033D2F" w:rsidP="00033D2F">
      <w:pPr>
        <w:numPr>
          <w:ilvl w:val="1"/>
          <w:numId w:val="20"/>
        </w:numPr>
        <w:tabs>
          <w:tab w:val="clear" w:pos="5790"/>
        </w:tabs>
        <w:rPr>
          <w:rFonts w:eastAsia="Times New Roman"/>
        </w:rPr>
      </w:pPr>
      <w:r w:rsidRPr="009A1BEA">
        <w:rPr>
          <w:rFonts w:eastAsia="Times New Roman"/>
        </w:rPr>
        <w:t>příjemce:</w:t>
      </w:r>
    </w:p>
    <w:p w14:paraId="267FE994" w14:textId="77777777" w:rsidR="00033D2F" w:rsidRPr="009A1BEA" w:rsidRDefault="00033D2F" w:rsidP="00033D2F">
      <w:pPr>
        <w:numPr>
          <w:ilvl w:val="2"/>
          <w:numId w:val="20"/>
        </w:numPr>
        <w:tabs>
          <w:tab w:val="clear" w:pos="5790"/>
        </w:tabs>
      </w:pPr>
      <w:r w:rsidRPr="009A1BEA">
        <w:t>Ústav chemických procesů AV ČR, v. v. i. [38 426 850] Kč</w:t>
      </w:r>
    </w:p>
    <w:p w14:paraId="143097B4" w14:textId="77777777" w:rsidR="00033D2F" w:rsidRPr="009A1BEA" w:rsidRDefault="00033D2F" w:rsidP="00033D2F">
      <w:pPr>
        <w:numPr>
          <w:ilvl w:val="1"/>
          <w:numId w:val="20"/>
        </w:numPr>
        <w:tabs>
          <w:tab w:val="clear" w:pos="5790"/>
        </w:tabs>
        <w:rPr>
          <w:rFonts w:eastAsia="Times New Roman"/>
        </w:rPr>
      </w:pPr>
      <w:r w:rsidRPr="009A1BEA">
        <w:rPr>
          <w:rFonts w:eastAsia="Times New Roman"/>
        </w:rPr>
        <w:t>partneři:</w:t>
      </w:r>
    </w:p>
    <w:p w14:paraId="27388C10" w14:textId="77777777" w:rsidR="00033D2F" w:rsidRPr="009A1BEA" w:rsidRDefault="00033D2F" w:rsidP="00033D2F">
      <w:pPr>
        <w:numPr>
          <w:ilvl w:val="2"/>
          <w:numId w:val="20"/>
        </w:numPr>
        <w:tabs>
          <w:tab w:val="clear" w:pos="5790"/>
        </w:tabs>
        <w:rPr>
          <w:rFonts w:eastAsia="Times New Roman"/>
        </w:rPr>
      </w:pPr>
      <w:r w:rsidRPr="009A1BEA">
        <w:rPr>
          <w:rFonts w:eastAsia="Times New Roman"/>
        </w:rPr>
        <w:t xml:space="preserve">Vysoké učení technické v Brně </w:t>
      </w:r>
      <w:r w:rsidRPr="009A1BEA">
        <w:rPr>
          <w:rFonts w:eastAsia="Times New Roman"/>
          <w:lang w:val="en-US"/>
        </w:rPr>
        <w:t>[24 298 147</w:t>
      </w:r>
      <w:r w:rsidRPr="009A1BEA">
        <w:rPr>
          <w:rFonts w:eastAsia="Times New Roman"/>
        </w:rPr>
        <w:t>] Kč</w:t>
      </w:r>
    </w:p>
    <w:p w14:paraId="3F621A14" w14:textId="77777777" w:rsidR="00033D2F" w:rsidRPr="009A1BEA" w:rsidRDefault="00033D2F" w:rsidP="00033D2F">
      <w:pPr>
        <w:numPr>
          <w:ilvl w:val="2"/>
          <w:numId w:val="20"/>
        </w:numPr>
        <w:tabs>
          <w:tab w:val="clear" w:pos="5790"/>
        </w:tabs>
        <w:rPr>
          <w:rFonts w:eastAsia="Times New Roman"/>
        </w:rPr>
      </w:pPr>
      <w:r w:rsidRPr="009A1BEA">
        <w:rPr>
          <w:rFonts w:eastAsia="Times New Roman"/>
        </w:rPr>
        <w:t>ORGREZ, a.s. [29 060 982] Kč</w:t>
      </w:r>
    </w:p>
    <w:p w14:paraId="318F4A0F" w14:textId="77777777" w:rsidR="00033D2F" w:rsidRPr="009A1BEA" w:rsidRDefault="00033D2F" w:rsidP="00033D2F">
      <w:pPr>
        <w:numPr>
          <w:ilvl w:val="2"/>
          <w:numId w:val="20"/>
        </w:numPr>
        <w:tabs>
          <w:tab w:val="clear" w:pos="5790"/>
        </w:tabs>
        <w:rPr>
          <w:rFonts w:eastAsia="Times New Roman"/>
        </w:rPr>
      </w:pPr>
      <w:r w:rsidRPr="009A1BEA">
        <w:rPr>
          <w:rFonts w:eastAsia="Times New Roman"/>
        </w:rPr>
        <w:t>Vysoká škola chemicko-technologická v Praze [4 660 869] Kč</w:t>
      </w:r>
    </w:p>
    <w:p w14:paraId="6D70405E" w14:textId="3716DB56" w:rsidR="00283DD7" w:rsidRPr="009A1BEA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A1BEA">
        <w:rPr>
          <w:rFonts w:cs="Arial"/>
        </w:rPr>
        <w:t xml:space="preserve">Prostředky získané na realizaci činností podle článku III </w:t>
      </w:r>
      <w:r w:rsidR="0096524D" w:rsidRPr="009A1BEA">
        <w:rPr>
          <w:rFonts w:cs="Arial"/>
        </w:rPr>
        <w:t>t</w:t>
      </w:r>
      <w:r w:rsidRPr="009A1BEA">
        <w:rPr>
          <w:rFonts w:cs="Arial"/>
        </w:rPr>
        <w:t>éto smlouvy je partner s finančním příspěvkem oprávněn použít pouze na úhradu výdajů, které jsou způsobilé dle Pravidel pro žadatele a příjemce.</w:t>
      </w:r>
    </w:p>
    <w:p w14:paraId="06624F63" w14:textId="4A88D9C4" w:rsidR="00283DD7" w:rsidRPr="009A1BEA" w:rsidRDefault="00D30A1F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A1BEA">
        <w:rPr>
          <w:rFonts w:cs="Arial"/>
        </w:rPr>
        <w:t>Partneři jsou povinni</w:t>
      </w:r>
      <w:r w:rsidR="00283DD7" w:rsidRPr="009A1BEA">
        <w:rPr>
          <w:rFonts w:cs="Arial"/>
        </w:rPr>
        <w:t xml:space="preserve"> dodržovat strukturu výdajů v členění na příjemce a partner</w:t>
      </w:r>
      <w:r w:rsidR="0096524D" w:rsidRPr="009A1BEA">
        <w:rPr>
          <w:rFonts w:cs="Arial"/>
        </w:rPr>
        <w:t>y</w:t>
      </w:r>
      <w:r w:rsidR="00283DD7" w:rsidRPr="009A1BEA">
        <w:rPr>
          <w:rFonts w:cs="Arial"/>
        </w:rPr>
        <w:t xml:space="preserve"> a v členění na položky rozpočtu podle přílohy č. 3 této </w:t>
      </w:r>
      <w:r w:rsidR="0096524D" w:rsidRPr="009A1BEA">
        <w:rPr>
          <w:rFonts w:cs="Arial"/>
        </w:rPr>
        <w:t>s</w:t>
      </w:r>
      <w:r w:rsidR="00283DD7" w:rsidRPr="009A1BEA">
        <w:rPr>
          <w:rFonts w:cs="Arial"/>
        </w:rPr>
        <w:t>mlouvy.</w:t>
      </w:r>
    </w:p>
    <w:p w14:paraId="5790EC48" w14:textId="7F171BD4" w:rsidR="00283DD7" w:rsidRPr="009A1BEA" w:rsidRDefault="00283DD7" w:rsidP="00D5026C">
      <w:pPr>
        <w:numPr>
          <w:ilvl w:val="0"/>
          <w:numId w:val="25"/>
        </w:numPr>
        <w:tabs>
          <w:tab w:val="clear" w:pos="1440"/>
          <w:tab w:val="clear" w:pos="5790"/>
          <w:tab w:val="num" w:pos="468"/>
        </w:tabs>
        <w:ind w:left="709" w:hanging="283"/>
        <w:rPr>
          <w:rFonts w:cs="Arial"/>
          <w:iCs/>
        </w:rPr>
      </w:pPr>
      <w:r w:rsidRPr="009A1BEA">
        <w:rPr>
          <w:rFonts w:cs="Arial"/>
          <w:iCs/>
        </w:rPr>
        <w:t>Způsobilé výdaje vzniklé při realizaci projektu budou hrazeny partner</w:t>
      </w:r>
      <w:r w:rsidR="00CB7583" w:rsidRPr="009A1BEA">
        <w:rPr>
          <w:rFonts w:cs="Arial"/>
          <w:iCs/>
        </w:rPr>
        <w:t>ům</w:t>
      </w:r>
      <w:r w:rsidRPr="009A1BEA">
        <w:rPr>
          <w:rFonts w:cs="Arial"/>
          <w:iCs/>
        </w:rPr>
        <w:t xml:space="preserve"> </w:t>
      </w:r>
      <w:r w:rsidR="00D5026C" w:rsidRPr="009A1BEA">
        <w:rPr>
          <w:rFonts w:cs="Arial"/>
          <w:iCs/>
        </w:rPr>
        <w:t>takto:</w:t>
      </w:r>
      <w:r w:rsidR="00CB7583" w:rsidRPr="009A1BEA">
        <w:rPr>
          <w:rFonts w:cs="Arial"/>
          <w:iCs/>
        </w:rPr>
        <w:t xml:space="preserve"> </w:t>
      </w:r>
      <w:r w:rsidRPr="009A1BEA">
        <w:rPr>
          <w:rFonts w:cs="Arial"/>
          <w:iCs/>
        </w:rPr>
        <w:t>Příjemce poskytne první zálohu p</w:t>
      </w:r>
      <w:r w:rsidR="00D5026C" w:rsidRPr="009A1BEA">
        <w:rPr>
          <w:rFonts w:cs="Arial"/>
          <w:iCs/>
        </w:rPr>
        <w:t xml:space="preserve">artnerům v maximální výši </w:t>
      </w:r>
      <w:proofErr w:type="gramStart"/>
      <w:r w:rsidR="00D5026C" w:rsidRPr="009A1BEA">
        <w:rPr>
          <w:rFonts w:cs="Arial"/>
          <w:iCs/>
        </w:rPr>
        <w:t>30%</w:t>
      </w:r>
      <w:proofErr w:type="gramEnd"/>
      <w:r w:rsidR="00D5026C" w:rsidRPr="009A1BEA">
        <w:rPr>
          <w:rFonts w:cs="Arial"/>
          <w:iCs/>
        </w:rPr>
        <w:t xml:space="preserve"> předpokládaných způsobilých výdajů každého jednotlivého partnera.</w:t>
      </w:r>
    </w:p>
    <w:p w14:paraId="6DC56743" w14:textId="34938CE0" w:rsidR="00283DD7" w:rsidRPr="009A1BEA" w:rsidRDefault="00283DD7" w:rsidP="00283DD7">
      <w:pPr>
        <w:ind w:left="709"/>
        <w:rPr>
          <w:rFonts w:cs="Arial"/>
          <w:iCs/>
        </w:rPr>
      </w:pPr>
      <w:r w:rsidRPr="009A1BEA">
        <w:rPr>
          <w:rFonts w:cs="Arial"/>
          <w:iCs/>
        </w:rPr>
        <w:t>P</w:t>
      </w:r>
      <w:r w:rsidR="00D5026C" w:rsidRPr="009A1BEA">
        <w:rPr>
          <w:rFonts w:cs="Arial"/>
          <w:iCs/>
        </w:rPr>
        <w:t>artneři jsou povinni</w:t>
      </w:r>
      <w:r w:rsidRPr="009A1BEA">
        <w:rPr>
          <w:rFonts w:cs="Arial"/>
          <w:iCs/>
        </w:rPr>
        <w:t xml:space="preserve"> využívat k úhradě způsobilých výdajů (včetně plateb dodavatelům) zálohu</w:t>
      </w:r>
      <w:r w:rsidRPr="009A1BEA" w:rsidDel="00281A66">
        <w:rPr>
          <w:rFonts w:cs="Arial"/>
          <w:iCs/>
        </w:rPr>
        <w:t xml:space="preserve"> </w:t>
      </w:r>
      <w:r w:rsidRPr="009A1BEA">
        <w:rPr>
          <w:rFonts w:cs="Arial"/>
          <w:iCs/>
        </w:rPr>
        <w:t xml:space="preserve">poskytnutou příjemcem. Partner je povinen tuto i každou další zálohu příjemci řádně vyúčtovat a výdaje prokázat. Další zálohu příjemce partnerovi poskytne na základě předloženého vyúčtování, případně žádosti partnera. </w:t>
      </w:r>
      <w:r w:rsidRPr="009A1BEA">
        <w:rPr>
          <w:rFonts w:cs="Arial"/>
        </w:rPr>
        <w:t xml:space="preserve">Zálohu (a každou další) je příjemce povinen poskytnout partnerovi nejpozději do </w:t>
      </w:r>
      <w:r w:rsidR="00D5026C" w:rsidRPr="009A1BEA">
        <w:rPr>
          <w:rFonts w:cs="Arial"/>
        </w:rPr>
        <w:t>30</w:t>
      </w:r>
      <w:r w:rsidRPr="009A1BEA">
        <w:rPr>
          <w:rFonts w:cs="Arial"/>
        </w:rPr>
        <w:t xml:space="preserve"> dnů od připsání první platby v rámci finanční podpory na účet </w:t>
      </w:r>
      <w:r w:rsidR="00CB7583" w:rsidRPr="009A1BEA">
        <w:rPr>
          <w:rFonts w:cs="Arial"/>
        </w:rPr>
        <w:t>p</w:t>
      </w:r>
      <w:r w:rsidRPr="009A1BEA">
        <w:rPr>
          <w:rFonts w:cs="Arial"/>
        </w:rPr>
        <w:t>říjemce, případně po připsání prostředků finanční podpory odpovídající schválené zprávě o realizaci / žádosti o platbu, jejíž součástí bylo vyúčtování partnera,</w:t>
      </w:r>
      <w:r w:rsidRPr="009A1BEA">
        <w:rPr>
          <w:rFonts w:cs="Arial"/>
          <w:iCs/>
        </w:rPr>
        <w:t xml:space="preserve"> příjemce poskytne partnerovi finanční prostředky maximálně ve výši stanovené v článku IV, bodu 2 této smlouvy.</w:t>
      </w:r>
    </w:p>
    <w:p w14:paraId="5FF2C235" w14:textId="138D295B" w:rsidR="00283DD7" w:rsidRPr="009A1BEA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9A1BEA">
        <w:rPr>
          <w:rFonts w:cs="Arial"/>
          <w:b/>
        </w:rPr>
        <w:t>Článek V</w:t>
      </w:r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Odpovědnost za škodu</w:t>
      </w:r>
    </w:p>
    <w:p w14:paraId="7F1149FF" w14:textId="77777777" w:rsidR="00283DD7" w:rsidRPr="009A1BEA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AD6E931" w:rsidR="00283DD7" w:rsidRPr="009A1BEA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Partner</w:t>
      </w:r>
      <w:r w:rsidR="00DC6B34" w:rsidRPr="009A1BEA">
        <w:rPr>
          <w:rFonts w:ascii="Calibri" w:hAnsi="Calibri" w:cs="Arial"/>
          <w:sz w:val="22"/>
          <w:szCs w:val="22"/>
        </w:rPr>
        <w:t xml:space="preserve"> každý sám za sebe</w:t>
      </w:r>
      <w:r w:rsidRPr="009A1BEA">
        <w:rPr>
          <w:rFonts w:ascii="Calibri" w:hAnsi="Calibri" w:cs="Arial"/>
          <w:sz w:val="22"/>
          <w:szCs w:val="22"/>
        </w:rPr>
        <w:t xml:space="preserve">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1B9046C4" w:rsidR="00283DD7" w:rsidRPr="009A1BEA" w:rsidRDefault="00DC6B34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A1BEA">
        <w:rPr>
          <w:rFonts w:ascii="Calibri" w:hAnsi="Calibri" w:cs="Arial"/>
          <w:sz w:val="22"/>
          <w:szCs w:val="22"/>
        </w:rPr>
        <w:t>Partne</w:t>
      </w:r>
      <w:r w:rsidR="00CB7583" w:rsidRPr="009A1BEA">
        <w:rPr>
          <w:rFonts w:ascii="Calibri" w:hAnsi="Calibri" w:cs="Arial"/>
          <w:sz w:val="22"/>
          <w:szCs w:val="22"/>
        </w:rPr>
        <w:t>r</w:t>
      </w:r>
      <w:r w:rsidR="00283DD7" w:rsidRPr="009A1BEA">
        <w:rPr>
          <w:rFonts w:ascii="Calibri" w:hAnsi="Calibri" w:cs="Arial"/>
          <w:sz w:val="22"/>
          <w:szCs w:val="22"/>
        </w:rPr>
        <w:t xml:space="preserve"> neodpovídá za škodu vzniklou konáním nebo opomenutím příjemce nebo jiného partnera. </w:t>
      </w:r>
    </w:p>
    <w:p w14:paraId="4D849C4B" w14:textId="28A64039" w:rsidR="00283DD7" w:rsidRPr="009A1BEA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9A1BEA">
        <w:rPr>
          <w:rFonts w:cs="Arial"/>
          <w:b/>
        </w:rPr>
        <w:lastRenderedPageBreak/>
        <w:t>Článek VI</w:t>
      </w:r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Další práva a povinnosti smluvních stran</w:t>
      </w:r>
    </w:p>
    <w:p w14:paraId="736CCBC6" w14:textId="77777777" w:rsidR="00283DD7" w:rsidRPr="009A1BEA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77777777" w:rsidR="00283DD7" w:rsidRPr="009A1BEA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3592F29D" w14:textId="77777777" w:rsidR="00283DD7" w:rsidRPr="009A1BEA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3CF24DC6" w:rsidR="00283DD7" w:rsidRPr="009A1BEA" w:rsidRDefault="00DC6B34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>Partneři jsou povinni</w:t>
      </w:r>
      <w:r w:rsidR="00283DD7" w:rsidRPr="009A1BEA">
        <w:rPr>
          <w:rFonts w:cs="Arial"/>
        </w:rPr>
        <w:t xml:space="preserve"> příjemci oznámit do </w:t>
      </w:r>
      <w:r w:rsidRPr="009A1BEA">
        <w:rPr>
          <w:rFonts w:cs="Arial"/>
        </w:rPr>
        <w:t>14</w:t>
      </w:r>
      <w:r w:rsidR="00283DD7" w:rsidRPr="009A1BEA">
        <w:rPr>
          <w:rFonts w:cs="Arial"/>
        </w:rPr>
        <w:t xml:space="preserve"> dnů kontaktní údaje pracovníka pověřeného koordinací svých prací na projektu podle článku II této smlouvy.</w:t>
      </w:r>
    </w:p>
    <w:p w14:paraId="050AB60E" w14:textId="3A1C7316" w:rsidR="00283DD7" w:rsidRPr="009A1BEA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429A8680" w14:textId="77777777" w:rsidR="000E25A8" w:rsidRPr="009A1BEA" w:rsidRDefault="000E25A8" w:rsidP="000E25A8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 xml:space="preserve">Smluvní strany se dohodly, že výstupy a produkty, které budou v rámci realizace projektu vytvořeny pouze jednou smluvní stranou, budou zcela ve vlastnictví strany, která tyto výstupy a produkty vytvořila. Výstupy a produkty, které budou dosaženy v rámci projektu více stranami společně tak, že jednotlivé tvůrčí </w:t>
      </w:r>
      <w:r w:rsidRPr="009A1BEA">
        <w:t xml:space="preserve">příspěvky smluvních stran nelze oddělit bez ztráty jejich podstaty, budou ve společném vlastnictví smluvních stran. Pokud nelze určit tvůrčí podíly jednotlivých smluvních stran na výstupech a produktech a strany se nedohodly jinak, platí, že jsou spoluvlastnické podíly rovné. </w:t>
      </w:r>
    </w:p>
    <w:p w14:paraId="3D26BCA2" w14:textId="77777777" w:rsidR="000E25A8" w:rsidRPr="009A1BEA" w:rsidRDefault="000E25A8" w:rsidP="000E25A8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t>Smluvní strany jsou povinny zajistit si vůči nositelům chráněných práv duševního vlastnictví vzniklých v souvislosti s realizací části projektu možnost volného nakládání s těmito právy. Každá ze stran je zodpovědná za vypořádání nároků autorů a původců na své straně.</w:t>
      </w:r>
    </w:p>
    <w:p w14:paraId="121F6E6B" w14:textId="3ABFC75A" w:rsidR="000E25A8" w:rsidRPr="009A1BEA" w:rsidRDefault="000E25A8" w:rsidP="000E25A8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 xml:space="preserve">Partner se zavazuje zajistit, aby jím vytvořené výstupy a produkty, u kterých to poskytovatel předpokládá, byly dány k dispozici veřejnosti takovým způsobem, aby k nim měl každý neomezený a bezplatný dálkový přístup a bylo mu umožněno dílo dále sdílet a jinak užívat, tak aby byla naplněna podmínka uplatnění principu otevřené vědy. Partner je </w:t>
      </w:r>
      <w:proofErr w:type="spellStart"/>
      <w:r w:rsidRPr="009A1BEA">
        <w:rPr>
          <w:rFonts w:cs="Arial"/>
        </w:rPr>
        <w:t>povinnen</w:t>
      </w:r>
      <w:proofErr w:type="spellEnd"/>
      <w:r w:rsidRPr="009A1BEA">
        <w:rPr>
          <w:rFonts w:cs="Arial"/>
        </w:rPr>
        <w:t xml:space="preserve"> postupovat v souladu s Pravidly pro žadatele a příjemce – specifickou částí, výzva Mezisektorová spolupráce, stanovující povinné postupy otevřené vědy.</w:t>
      </w:r>
    </w:p>
    <w:p w14:paraId="5ADBB0FF" w14:textId="77777777" w:rsidR="000E25A8" w:rsidRPr="009A1BEA" w:rsidRDefault="000E25A8" w:rsidP="000E25A8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rPr>
          <w:rFonts w:cs="Arial"/>
        </w:rPr>
        <w:t xml:space="preserve">V případě, že výstupy a produkty, u kterých to poskytovatel předpokládá, mohou být průmyslově-právně chráněny, partner se zavazuje zajistit vhodnou průmyslově-právní ochranu spočívající především v podání domácích nebo zahraničních přihlášek technického řešení jako je patentově chráněný vynález, užitný vzor a průmyslový vzor. V případě, že jsou takovéto výstupy a produkty ve spoluvlastnictví více smluvních stran, podají tyto smluvní strany společně přihlášku a to tak, aby se smluvní strany staly spoluvlastníky příslušného ochranného institutu. </w:t>
      </w:r>
      <w:r w:rsidRPr="009A1BEA">
        <w:t xml:space="preserve">Pro vztahy mezi smluvními stranami jako spolumajiteli příslušného předmětu práv průmyslového vlastnictví se použijí ustanovení obecně závazných právních předpisů upravující podílové spoluvlastnictví; pokud se strany nedohodnou jinak, tak se na nákladech spojených se získáním a udržováním ochrany podílejí podle spoluvlastnických podílů. </w:t>
      </w:r>
    </w:p>
    <w:p w14:paraId="39221455" w14:textId="0BC76881" w:rsidR="000E25A8" w:rsidRPr="009A1BEA" w:rsidRDefault="000E25A8" w:rsidP="000E25A8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A1BEA">
        <w:t>Partner má povinnost si zajistit vlastní prostředky na financování udržitelnosti výstupů a produktů projektu po dobu udržitelnosti projektu.</w:t>
      </w:r>
    </w:p>
    <w:p w14:paraId="7C00DEDF" w14:textId="77777777" w:rsidR="009F2645" w:rsidRPr="009A1BEA" w:rsidRDefault="009F2645" w:rsidP="009F2645">
      <w:pPr>
        <w:tabs>
          <w:tab w:val="clear" w:pos="5790"/>
          <w:tab w:val="left" w:pos="0"/>
          <w:tab w:val="num" w:pos="468"/>
        </w:tabs>
        <w:ind w:left="360"/>
        <w:rPr>
          <w:rFonts w:cs="Arial"/>
        </w:rPr>
      </w:pPr>
    </w:p>
    <w:p w14:paraId="7077E509" w14:textId="77777777" w:rsidR="000E25A8" w:rsidRPr="009A1BEA" w:rsidRDefault="000E25A8" w:rsidP="000E25A8">
      <w:pPr>
        <w:tabs>
          <w:tab w:val="clear" w:pos="5790"/>
          <w:tab w:val="left" w:pos="0"/>
          <w:tab w:val="num" w:pos="468"/>
        </w:tabs>
        <w:ind w:left="360"/>
        <w:rPr>
          <w:rFonts w:cs="Arial"/>
        </w:rPr>
      </w:pPr>
    </w:p>
    <w:p w14:paraId="0C38A76A" w14:textId="637C4352" w:rsidR="00283DD7" w:rsidRPr="009A1BEA" w:rsidRDefault="00283DD7" w:rsidP="008E084E">
      <w:pPr>
        <w:spacing w:before="240"/>
        <w:jc w:val="center"/>
        <w:rPr>
          <w:rFonts w:cs="Arial"/>
          <w:b/>
        </w:rPr>
      </w:pPr>
      <w:r w:rsidRPr="009A1BEA">
        <w:rPr>
          <w:rFonts w:cs="Arial"/>
          <w:b/>
        </w:rPr>
        <w:lastRenderedPageBreak/>
        <w:t>Článek VII</w:t>
      </w:r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Trvání smlouvy</w:t>
      </w:r>
    </w:p>
    <w:p w14:paraId="747B512A" w14:textId="35FD47FE" w:rsidR="00283DD7" w:rsidRPr="009A1BEA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 xml:space="preserve">Smlouva se uzavírá na dobu do konce udržitelnosti projektu, s výjimkou povinnosti partnera </w:t>
      </w:r>
    </w:p>
    <w:p w14:paraId="39E5B949" w14:textId="77777777" w:rsidR="00283DD7" w:rsidRPr="009A1BE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A1BEA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9A1BE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A1BEA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08F79B6F" w:rsidR="00283DD7" w:rsidRPr="009A1BEA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 xml:space="preserve">Poruší-li partner závažným způsobem nebo opětovně některou z povinností vyplývající pro něj z této smlouvy nebo z platných právních předpisů ČR a EU, může být na základě schválené změny projektu vyloučen z další účasti na realizaci </w:t>
      </w:r>
      <w:r w:rsidR="00CB7583" w:rsidRPr="009A1BEA">
        <w:rPr>
          <w:rFonts w:cs="Arial"/>
        </w:rPr>
        <w:t>p</w:t>
      </w:r>
      <w:r w:rsidRPr="009A1BEA">
        <w:rPr>
          <w:rFonts w:cs="Arial"/>
        </w:rPr>
        <w:t>rojektu. V tomto případě je povinen se s ostatními účastníky smlouvy dohodnout, kdo z účastníků smlouvy převezme jeho závazky a majetek financovaný z finanční podpory, a předat příjemci či určenému partnerovi všechny dokumenty a informace vztahující se k projektu.</w:t>
      </w:r>
    </w:p>
    <w:p w14:paraId="0ED0C5BA" w14:textId="7809BA5E" w:rsidR="008E084E" w:rsidRPr="009A1BEA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14:paraId="51FD1FD8" w14:textId="5128E356" w:rsidR="00283DD7" w:rsidRPr="009A1BEA" w:rsidRDefault="00283DD7" w:rsidP="008E084E">
      <w:pPr>
        <w:keepNext/>
        <w:spacing w:before="240"/>
        <w:jc w:val="center"/>
        <w:rPr>
          <w:rFonts w:cs="Arial"/>
          <w:b/>
        </w:rPr>
      </w:pPr>
      <w:r w:rsidRPr="009A1BEA">
        <w:rPr>
          <w:rFonts w:cs="Arial"/>
          <w:b/>
        </w:rPr>
        <w:t>Článek VIII</w:t>
      </w:r>
      <w:r w:rsidR="00E326F5" w:rsidRPr="009A1BEA">
        <w:rPr>
          <w:rFonts w:cs="Arial"/>
          <w:b/>
        </w:rPr>
        <w:br/>
      </w:r>
      <w:r w:rsidRPr="009A1BEA">
        <w:rPr>
          <w:rFonts w:cs="Arial"/>
          <w:b/>
        </w:rPr>
        <w:t>Ostatní ustanovení</w:t>
      </w:r>
    </w:p>
    <w:p w14:paraId="76BB8CB0" w14:textId="54747AD0" w:rsidR="00283DD7" w:rsidRPr="009A1BEA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9A1BEA">
        <w:t>Tato smlouva nabývá pla</w:t>
      </w:r>
      <w:r w:rsidR="00DC6B34" w:rsidRPr="009A1BEA">
        <w:t>tnosti dnem jejího podpisu všemi</w:t>
      </w:r>
      <w:r w:rsidRPr="009A1BEA">
        <w:t xml:space="preserve"> smluvními stranami, účinnosti pak nabývá dnem jejího zveřejnění v registru smluv (https://smlouvy.gov.cz). V případě, že právní akt o poskytnutí/převodu podpory nabude právní moci později, než bude tato smlouva zveřejněna v registru smluv, pak</w:t>
      </w:r>
      <w:r w:rsidRPr="009A1BEA">
        <w:rPr>
          <w:rStyle w:val="Znakapoznpodarou"/>
          <w:rFonts w:cs="Arial"/>
        </w:rPr>
        <w:footnoteReference w:id="6"/>
      </w:r>
      <w:r w:rsidRPr="009A1BEA">
        <w:t xml:space="preserve"> účinnost smlouvy nastane dnem nabytí právní moci právního aktu o poskytnutí/převodu podpory. </w:t>
      </w:r>
    </w:p>
    <w:p w14:paraId="1411395F" w14:textId="77777777" w:rsidR="00283DD7" w:rsidRPr="009A1BEA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3D2A7AF" w14:textId="2675ECA9" w:rsidR="00283DD7" w:rsidRPr="009A1BEA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 xml:space="preserve">Vztahy smluvních stran výslovně touto smlouvou neupravené se řídí zákonem č. 89/2012 Sb., občanský zákoník, </w:t>
      </w:r>
      <w:r w:rsidR="00442D8B" w:rsidRPr="009A1BEA">
        <w:rPr>
          <w:rFonts w:cs="Arial"/>
        </w:rPr>
        <w:t xml:space="preserve">ve znění pozdějších předpisů, </w:t>
      </w:r>
      <w:r w:rsidRPr="009A1BEA">
        <w:rPr>
          <w:rFonts w:cs="Arial"/>
        </w:rPr>
        <w:t>a dalšími obecně závaznými právními předpisy České republiky.</w:t>
      </w:r>
    </w:p>
    <w:p w14:paraId="7377CAEC" w14:textId="1E1296B7" w:rsidR="00283DD7" w:rsidRPr="009A1BEA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 xml:space="preserve">Tato smlouva je vyhotovena </w:t>
      </w:r>
      <w:r w:rsidR="00095BEF" w:rsidRPr="009A1BEA">
        <w:rPr>
          <w:rFonts w:cs="Arial"/>
        </w:rPr>
        <w:t xml:space="preserve">v elektronické podobě a bude podepsána tím způsobem, že jednotlivé smluvní strany připojí ke </w:t>
      </w:r>
      <w:r w:rsidR="00442D8B" w:rsidRPr="009A1BEA">
        <w:rPr>
          <w:rFonts w:cs="Arial"/>
        </w:rPr>
        <w:t>s</w:t>
      </w:r>
      <w:r w:rsidR="00095BEF" w:rsidRPr="009A1BEA">
        <w:rPr>
          <w:rFonts w:cs="Arial"/>
        </w:rPr>
        <w:t>mlouvě elektronické podpisy osob oprávněných je zastupovat.</w:t>
      </w:r>
    </w:p>
    <w:p w14:paraId="542C6C61" w14:textId="77777777" w:rsidR="00E326F5" w:rsidRPr="009A1BEA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 xml:space="preserve">Nedílnou součástí této smlouvy jsou přílohy č. 1 až 4. </w:t>
      </w:r>
    </w:p>
    <w:p w14:paraId="54627932" w14:textId="6DB63C68" w:rsidR="00283DD7" w:rsidRPr="009A1BEA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A1BEA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9A1BEA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9"/>
        <w:gridCol w:w="4054"/>
      </w:tblGrid>
      <w:tr w:rsidR="00283DD7" w:rsidRPr="009A1BEA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A1BE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9A1BEA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9A1BEA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9A1BEA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9A1BEA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41FDCC1B" w:rsidR="00283DD7" w:rsidRPr="009A1BEA" w:rsidRDefault="00E40813" w:rsidP="009A1BEA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Ústav chemických procesů AV ČR, v. v. i.</w:t>
            </w:r>
          </w:p>
        </w:tc>
        <w:tc>
          <w:tcPr>
            <w:tcW w:w="1080" w:type="dxa"/>
          </w:tcPr>
          <w:p w14:paraId="5EE06E0C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4F118412" w14:textId="77777777" w:rsidR="00283DD7" w:rsidRPr="009A1BEA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  <w:p w14:paraId="62EAAEEE" w14:textId="21CCC0CE" w:rsidR="00E40813" w:rsidRPr="009A1BEA" w:rsidRDefault="00E40813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ORGREZ, a.s.</w:t>
            </w:r>
          </w:p>
        </w:tc>
      </w:tr>
    </w:tbl>
    <w:p w14:paraId="16CCEEFD" w14:textId="02162812" w:rsidR="008E084E" w:rsidRPr="009A1BEA" w:rsidRDefault="008E084E" w:rsidP="00283DD7">
      <w:pPr>
        <w:rPr>
          <w:rFonts w:cs="Arial"/>
        </w:rPr>
      </w:pPr>
    </w:p>
    <w:p w14:paraId="12546C51" w14:textId="77777777" w:rsidR="003A4AB3" w:rsidRPr="009A1BEA" w:rsidRDefault="003A4AB3" w:rsidP="003A4AB3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6"/>
        <w:gridCol w:w="1030"/>
        <w:gridCol w:w="4054"/>
      </w:tblGrid>
      <w:tr w:rsidR="003A4AB3" w:rsidRPr="009A1BEA" w14:paraId="476D8C91" w14:textId="77777777" w:rsidTr="00E40813">
        <w:trPr>
          <w:jc w:val="center"/>
        </w:trPr>
        <w:tc>
          <w:tcPr>
            <w:tcW w:w="3986" w:type="dxa"/>
          </w:tcPr>
          <w:p w14:paraId="4BCC0AE2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30" w:type="dxa"/>
          </w:tcPr>
          <w:p w14:paraId="6DCA676D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</w:tcPr>
          <w:p w14:paraId="08EEACF3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A1BE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3A4AB3" w:rsidRPr="009A1BEA" w14:paraId="2BB76B53" w14:textId="77777777" w:rsidTr="00E40813">
        <w:trPr>
          <w:jc w:val="center"/>
        </w:trPr>
        <w:tc>
          <w:tcPr>
            <w:tcW w:w="3986" w:type="dxa"/>
          </w:tcPr>
          <w:p w14:paraId="50B6698C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0" w:type="dxa"/>
          </w:tcPr>
          <w:p w14:paraId="00FBF5A8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4" w:type="dxa"/>
          </w:tcPr>
          <w:p w14:paraId="5D0BE0AE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3A4AB3" w:rsidRPr="009A1BEA" w14:paraId="5F8A4168" w14:textId="77777777" w:rsidTr="00E40813">
        <w:trPr>
          <w:trHeight w:val="947"/>
          <w:jc w:val="center"/>
        </w:trPr>
        <w:tc>
          <w:tcPr>
            <w:tcW w:w="3986" w:type="dxa"/>
            <w:tcBorders>
              <w:bottom w:val="dashed" w:sz="8" w:space="0" w:color="auto"/>
            </w:tcBorders>
          </w:tcPr>
          <w:p w14:paraId="369D149D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432C8D1F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  <w:tcBorders>
              <w:bottom w:val="dashed" w:sz="8" w:space="0" w:color="auto"/>
            </w:tcBorders>
          </w:tcPr>
          <w:p w14:paraId="1F2EC00C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3A4AB3" w:rsidRPr="009A1BEA" w14:paraId="0111B329" w14:textId="77777777" w:rsidTr="00E40813">
        <w:trPr>
          <w:jc w:val="center"/>
        </w:trPr>
        <w:tc>
          <w:tcPr>
            <w:tcW w:w="3986" w:type="dxa"/>
            <w:tcBorders>
              <w:top w:val="dashed" w:sz="8" w:space="0" w:color="auto"/>
            </w:tcBorders>
          </w:tcPr>
          <w:p w14:paraId="44F2599A" w14:textId="16293FC3" w:rsidR="003A4AB3" w:rsidRPr="009A1BEA" w:rsidRDefault="003A4AB3" w:rsidP="00D76C14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Partner </w:t>
            </w:r>
          </w:p>
        </w:tc>
        <w:tc>
          <w:tcPr>
            <w:tcW w:w="1030" w:type="dxa"/>
          </w:tcPr>
          <w:p w14:paraId="20643F0A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  <w:tcBorders>
              <w:top w:val="dashed" w:sz="8" w:space="0" w:color="auto"/>
            </w:tcBorders>
          </w:tcPr>
          <w:p w14:paraId="40D33128" w14:textId="77777777" w:rsidR="003A4AB3" w:rsidRPr="009A1BEA" w:rsidRDefault="003A4AB3" w:rsidP="00D76C14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A1BE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270BF450" w14:textId="2BB05893" w:rsidR="003A4AB3" w:rsidRPr="009A1BEA" w:rsidRDefault="00E40813" w:rsidP="00283DD7">
      <w:pPr>
        <w:rPr>
          <w:rFonts w:cs="Arial"/>
        </w:rPr>
      </w:pPr>
      <w:r w:rsidRPr="009A1BEA">
        <w:rPr>
          <w:rFonts w:cs="Arial"/>
        </w:rPr>
        <w:t xml:space="preserve">                  Vysoké učení technické v Brně                             Vysoká škola chemicko-technologická v Praze</w:t>
      </w:r>
    </w:p>
    <w:p w14:paraId="4E7F3DC3" w14:textId="77777777" w:rsidR="003A4AB3" w:rsidRPr="009A1BEA" w:rsidRDefault="003A4AB3" w:rsidP="00283DD7">
      <w:pPr>
        <w:rPr>
          <w:rFonts w:cs="Arial"/>
        </w:rPr>
      </w:pPr>
    </w:p>
    <w:p w14:paraId="0CD11A93" w14:textId="77777777" w:rsidR="00283DD7" w:rsidRPr="009A1BEA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9A1BEA">
        <w:rPr>
          <w:rFonts w:cs="Arial"/>
          <w:b/>
        </w:rPr>
        <w:t xml:space="preserve">Přílohy: </w:t>
      </w:r>
    </w:p>
    <w:p w14:paraId="4CF5339F" w14:textId="77777777" w:rsidR="00283DD7" w:rsidRPr="009A1BEA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A1BEA">
        <w:rPr>
          <w:rFonts w:cs="Arial"/>
        </w:rPr>
        <w:t>Žádost o podporu k projektu</w:t>
      </w:r>
    </w:p>
    <w:p w14:paraId="75CA39C5" w14:textId="77777777" w:rsidR="00283DD7" w:rsidRPr="009A1BEA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A1BEA">
        <w:rPr>
          <w:rFonts w:cs="Arial"/>
        </w:rPr>
        <w:t>Právní akt o poskytnutí/převodu podpory včetně příloh</w:t>
      </w:r>
    </w:p>
    <w:p w14:paraId="6A1720B1" w14:textId="77777777" w:rsidR="00283DD7" w:rsidRPr="009A1BEA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A1BEA">
        <w:rPr>
          <w:rFonts w:cs="Arial"/>
        </w:rPr>
        <w:t>Rozpočet projektu v rozdělení prostředků připadajících na partnera s finančním příspěvkem</w:t>
      </w:r>
    </w:p>
    <w:p w14:paraId="12BB1079" w14:textId="4FCBDCF1" w:rsidR="00283DD7" w:rsidRPr="009A1BEA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A1BEA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5AB5" w14:textId="77777777" w:rsidR="007103A6" w:rsidRDefault="007103A6" w:rsidP="00CE3205">
      <w:r>
        <w:separator/>
      </w:r>
    </w:p>
  </w:endnote>
  <w:endnote w:type="continuationSeparator" w:id="0">
    <w:p w14:paraId="234144FF" w14:textId="77777777" w:rsidR="007103A6" w:rsidRDefault="007103A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6BAA2FE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484">
          <w:rPr>
            <w:noProof/>
          </w:rP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5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5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485E" w14:textId="77777777" w:rsidR="007103A6" w:rsidRDefault="007103A6" w:rsidP="00CE3205">
      <w:r>
        <w:separator/>
      </w:r>
    </w:p>
  </w:footnote>
  <w:footnote w:type="continuationSeparator" w:id="0">
    <w:p w14:paraId="05A98152" w14:textId="77777777" w:rsidR="007103A6" w:rsidRDefault="007103A6" w:rsidP="00CE3205">
      <w:r>
        <w:continuationSeparator/>
      </w:r>
    </w:p>
  </w:footnote>
  <w:footnote w:id="1">
    <w:p w14:paraId="7EFA32F9" w14:textId="77777777" w:rsidR="00283DD7" w:rsidRPr="00DB14D3" w:rsidRDefault="00283DD7" w:rsidP="00283DD7">
      <w:pPr>
        <w:pStyle w:val="Poznmkypodarou"/>
      </w:pPr>
      <w:r w:rsidRPr="009A1BEA">
        <w:rPr>
          <w:rStyle w:val="Znakapoznpodarou"/>
          <w:rFonts w:asciiTheme="minorHAnsi" w:hAnsiTheme="minorHAnsi" w:cstheme="minorHAnsi"/>
        </w:rPr>
        <w:footnoteRef/>
      </w:r>
      <w:r w:rsidRPr="009A1BEA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2">
    <w:p w14:paraId="5F826F6B" w14:textId="77777777" w:rsidR="00283DD7" w:rsidRPr="006F0AFC" w:rsidRDefault="00283DD7" w:rsidP="00283DD7">
      <w:pPr>
        <w:pStyle w:val="Poznmkypodarou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3">
    <w:p w14:paraId="29F94A8B" w14:textId="77777777" w:rsidR="00283DD7" w:rsidRPr="006F0AFC" w:rsidRDefault="00283DD7" w:rsidP="00283DD7">
      <w:pPr>
        <w:pStyle w:val="Poznmkypodarou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Pr="006F0AFC">
        <w:t>nehospodářských</w:t>
      </w:r>
      <w:proofErr w:type="spellEnd"/>
      <w:r w:rsidRPr="006F0AFC">
        <w:t xml:space="preserve"> činností. </w:t>
      </w:r>
    </w:p>
  </w:footnote>
  <w:footnote w:id="4">
    <w:p w14:paraId="5BAD74D6" w14:textId="77777777" w:rsidR="00283DD7" w:rsidRDefault="00283DD7" w:rsidP="00283DD7">
      <w:pPr>
        <w:pStyle w:val="Poznmkypodarou"/>
      </w:pPr>
      <w:r w:rsidRPr="009A1BEA">
        <w:rPr>
          <w:rStyle w:val="Znakapoznpodarou"/>
        </w:rPr>
        <w:footnoteRef/>
      </w:r>
      <w:r w:rsidRPr="009A1BEA">
        <w:t xml:space="preserve"> Šedá část je relevantní jen u výzev podpořených mimo </w:t>
      </w:r>
      <w:proofErr w:type="spellStart"/>
      <w:r w:rsidRPr="009A1BEA">
        <w:t>VPo</w:t>
      </w:r>
      <w:proofErr w:type="spellEnd"/>
      <w:r w:rsidRPr="009A1BEA">
        <w:t>, v případě, kdy je celý projekt podpořen v režimu de minimis/SOHZ/GBER, tuto část odstraňte.</w:t>
      </w:r>
    </w:p>
  </w:footnote>
  <w:footnote w:id="5">
    <w:p w14:paraId="28681461" w14:textId="77777777" w:rsidR="00283DD7" w:rsidRPr="00A36412" w:rsidRDefault="00283DD7" w:rsidP="00283DD7">
      <w:pPr>
        <w:pStyle w:val="Poznmkypodarou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</w:footnote>
  <w:footnote w:id="6">
    <w:p w14:paraId="3BE29086" w14:textId="77777777" w:rsidR="00283DD7" w:rsidRPr="00251111" w:rsidRDefault="00283DD7" w:rsidP="00283DD7">
      <w:pPr>
        <w:pStyle w:val="Poznmkypodarou"/>
      </w:pPr>
      <w:r w:rsidRPr="006A6A8C">
        <w:rPr>
          <w:rStyle w:val="Znakapoznpodarou"/>
        </w:rPr>
        <w:footnoteRef/>
      </w:r>
      <w:r w:rsidRPr="006A6A8C">
        <w:t xml:space="preserve"> Označenou část vypusťte, pokud pro smlouvu není zákon o registru smluv 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  <w:num w:numId="29">
    <w:abstractNumId w:val="2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NDM3NDO1NDAyMLZU0lEKTi0uzszPAykwrQUA7abN/SwAAAA="/>
  </w:docVars>
  <w:rsids>
    <w:rsidRoot w:val="00130172"/>
    <w:rsid w:val="00021AFD"/>
    <w:rsid w:val="00033D2F"/>
    <w:rsid w:val="00054A83"/>
    <w:rsid w:val="00055063"/>
    <w:rsid w:val="000912C1"/>
    <w:rsid w:val="00095BEF"/>
    <w:rsid w:val="000A2F60"/>
    <w:rsid w:val="000E1578"/>
    <w:rsid w:val="000E25A8"/>
    <w:rsid w:val="000F1484"/>
    <w:rsid w:val="0010035A"/>
    <w:rsid w:val="00124B82"/>
    <w:rsid w:val="00127CF4"/>
    <w:rsid w:val="00130172"/>
    <w:rsid w:val="001518E0"/>
    <w:rsid w:val="001554F1"/>
    <w:rsid w:val="00172C93"/>
    <w:rsid w:val="001D50F8"/>
    <w:rsid w:val="001E00F5"/>
    <w:rsid w:val="00205E8E"/>
    <w:rsid w:val="00236D32"/>
    <w:rsid w:val="00240DEB"/>
    <w:rsid w:val="00253E4F"/>
    <w:rsid w:val="00265813"/>
    <w:rsid w:val="00283DD7"/>
    <w:rsid w:val="002A3637"/>
    <w:rsid w:val="00330941"/>
    <w:rsid w:val="003359FF"/>
    <w:rsid w:val="00356FD6"/>
    <w:rsid w:val="003A4AB3"/>
    <w:rsid w:val="004357F1"/>
    <w:rsid w:val="0043779A"/>
    <w:rsid w:val="00442D8B"/>
    <w:rsid w:val="00445D8B"/>
    <w:rsid w:val="004538FE"/>
    <w:rsid w:val="0045507A"/>
    <w:rsid w:val="004843BA"/>
    <w:rsid w:val="004C4791"/>
    <w:rsid w:val="00535AE8"/>
    <w:rsid w:val="00595B52"/>
    <w:rsid w:val="005F194B"/>
    <w:rsid w:val="00643506"/>
    <w:rsid w:val="00684313"/>
    <w:rsid w:val="006A6A8C"/>
    <w:rsid w:val="006D0408"/>
    <w:rsid w:val="006D6C45"/>
    <w:rsid w:val="006E69B3"/>
    <w:rsid w:val="006F1B93"/>
    <w:rsid w:val="006F4488"/>
    <w:rsid w:val="007103A6"/>
    <w:rsid w:val="00741D1F"/>
    <w:rsid w:val="00754AB0"/>
    <w:rsid w:val="007A5DAC"/>
    <w:rsid w:val="007A74C8"/>
    <w:rsid w:val="007C4763"/>
    <w:rsid w:val="007F10ED"/>
    <w:rsid w:val="007F432E"/>
    <w:rsid w:val="007F4F78"/>
    <w:rsid w:val="00831EAC"/>
    <w:rsid w:val="00866748"/>
    <w:rsid w:val="008B721A"/>
    <w:rsid w:val="008E084E"/>
    <w:rsid w:val="008F5355"/>
    <w:rsid w:val="00912332"/>
    <w:rsid w:val="00951B61"/>
    <w:rsid w:val="0096524D"/>
    <w:rsid w:val="009740D5"/>
    <w:rsid w:val="00974489"/>
    <w:rsid w:val="00975C9C"/>
    <w:rsid w:val="0099683D"/>
    <w:rsid w:val="009A1BEA"/>
    <w:rsid w:val="009E0423"/>
    <w:rsid w:val="009F2645"/>
    <w:rsid w:val="00A01894"/>
    <w:rsid w:val="00A45DA2"/>
    <w:rsid w:val="00A640D1"/>
    <w:rsid w:val="00AA3555"/>
    <w:rsid w:val="00AB200E"/>
    <w:rsid w:val="00AE0ADF"/>
    <w:rsid w:val="00B12607"/>
    <w:rsid w:val="00B16F6E"/>
    <w:rsid w:val="00B540B2"/>
    <w:rsid w:val="00B73F73"/>
    <w:rsid w:val="00B90C5A"/>
    <w:rsid w:val="00BA4D8E"/>
    <w:rsid w:val="00BC49D3"/>
    <w:rsid w:val="00BD607C"/>
    <w:rsid w:val="00BE607E"/>
    <w:rsid w:val="00BF52B5"/>
    <w:rsid w:val="00C04C73"/>
    <w:rsid w:val="00C06B3B"/>
    <w:rsid w:val="00C1430E"/>
    <w:rsid w:val="00C60A28"/>
    <w:rsid w:val="00C72F93"/>
    <w:rsid w:val="00C87F0C"/>
    <w:rsid w:val="00C95DC0"/>
    <w:rsid w:val="00CB7583"/>
    <w:rsid w:val="00CE3205"/>
    <w:rsid w:val="00D00E84"/>
    <w:rsid w:val="00D06A83"/>
    <w:rsid w:val="00D30A1F"/>
    <w:rsid w:val="00D5026C"/>
    <w:rsid w:val="00D65C9F"/>
    <w:rsid w:val="00DC600C"/>
    <w:rsid w:val="00DC6B34"/>
    <w:rsid w:val="00DE4847"/>
    <w:rsid w:val="00E21754"/>
    <w:rsid w:val="00E261D0"/>
    <w:rsid w:val="00E326F5"/>
    <w:rsid w:val="00E40813"/>
    <w:rsid w:val="00E61CEE"/>
    <w:rsid w:val="00EA5AE8"/>
    <w:rsid w:val="00EB4E3D"/>
    <w:rsid w:val="00EE3BB3"/>
    <w:rsid w:val="00F036A7"/>
    <w:rsid w:val="00F05483"/>
    <w:rsid w:val="00F07BA8"/>
    <w:rsid w:val="00F17324"/>
    <w:rsid w:val="00F60EBD"/>
    <w:rsid w:val="00F6208B"/>
    <w:rsid w:val="00F83796"/>
    <w:rsid w:val="00FA5BAE"/>
    <w:rsid w:val="00FD0743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0A2F6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15OPMSMT0001-78-11761</_dlc_DocId>
    <_dlc_DocIdUrl xmlns="0104a4cd-1400-468e-be1b-c7aad71d7d5a">
      <Url>https://op.msmt.cz/_layouts/15/DocIdRedir.aspx?ID=15OPMSMT0001-78-11761</Url>
      <Description>15OPMSMT0001-78-11761</Description>
    </_dlc_DocIdUrl>
  </documentManagement>
</p:properties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4ECC19-E8EA-465F-B720-8C164CCD5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5370E-50B5-4193-93F2-E986B4F5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3048</Words>
  <Characters>18445</Characters>
  <Application>Microsoft Office Word</Application>
  <DocSecurity>0</DocSecurity>
  <Lines>361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Hanakova Tereza UCHP</cp:lastModifiedBy>
  <cp:revision>12</cp:revision>
  <cp:lastPrinted>2024-08-12T09:59:00Z</cp:lastPrinted>
  <dcterms:created xsi:type="dcterms:W3CDTF">2024-08-07T09:32:00Z</dcterms:created>
  <dcterms:modified xsi:type="dcterms:W3CDTF">2024-09-02T11:12:00Z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0291a6dc-89db-4ad9-82e9-a83dbe39b8cd</vt:lpwstr>
  </property>
  <property fmtid="{D5CDD505-2E9C-101B-9397-08002B2CF9AE}" pid="4" name="GrammarlyDocumentId">
    <vt:lpwstr>c2f3aca422e02f3f296b2b4db6f9f92cdfa33757e5a55b2ef5f6112554aecb51</vt:lpwstr>
  </property>
</Properties>
</file>