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746/2024</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Revize elektrických zařízení v objektech Povodí Ohře, státní podnik na rok</w:t>
        <w:br/>
        <w:t>2024</w:t>
      </w:r>
      <w:r>
        <w:rPr>
          <w:b/>
          <w:bCs/>
          <w:color w:val="000000"/>
          <w:spacing w:val="0"/>
          <w:w w:val="100"/>
          <w:position w:val="0"/>
          <w:shd w:val="clear" w:color="auto" w:fill="auto"/>
          <w:lang w:val="cs-CZ" w:eastAsia="cs-CZ" w:bidi="cs-CZ"/>
        </w:rPr>
        <w:t>”</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810"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810"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10"/>
        <w:keepNext w:val="0"/>
        <w:keepLines w:val="0"/>
        <w:widowControl w:val="0"/>
        <w:shd w:val="clear" w:color="auto" w:fill="auto"/>
        <w:bidi w:val="0"/>
        <w:spacing w:before="0" w:after="24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46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tbl>
      <w:tblPr>
        <w:tblOverlap w:val="never"/>
        <w:jc w:val="center"/>
        <w:tblLayout w:type="fixed"/>
      </w:tblPr>
      <w:tblGrid>
        <w:gridCol w:w="4061"/>
        <w:gridCol w:w="5054"/>
      </w:tblGrid>
      <w:tr>
        <w:trPr>
          <w:trHeight w:val="1181"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31" w:name="bookmark31"/>
            <w:r>
              <w:rPr>
                <w:color w:val="000000"/>
                <w:spacing w:val="0"/>
                <w:w w:val="100"/>
                <w:position w:val="0"/>
                <w:shd w:val="clear" w:color="auto" w:fill="auto"/>
                <w:lang w:val="cs-CZ" w:eastAsia="cs-CZ" w:bidi="cs-CZ"/>
              </w:rPr>
              <w:t>IČO:</w:t>
            </w:r>
            <w:bookmarkEnd w:id="31"/>
          </w:p>
          <w:p>
            <w:pPr>
              <w:pStyle w:val="Style16"/>
              <w:keepNext w:val="0"/>
              <w:keepLines w:val="0"/>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 bankovní spojení: číslo účtu:</w:t>
            </w:r>
            <w:bookmarkEnd w:id="32"/>
            <w:bookmarkEnd w:id="33"/>
            <w:bookmarkEnd w:id="34"/>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line="240" w:lineRule="auto"/>
        <w:ind w:left="0" w:right="0" w:firstLine="0"/>
        <w:jc w:val="left"/>
      </w:pPr>
      <w:bookmarkStart w:id="29" w:name="bookmark29"/>
      <w:r>
        <w:rPr>
          <w:color w:val="000000"/>
          <w:spacing w:val="0"/>
          <w:w w:val="100"/>
          <w:position w:val="0"/>
          <w:shd w:val="clear" w:color="auto" w:fill="auto"/>
          <w:lang w:val="cs-CZ" w:eastAsia="cs-CZ" w:bidi="cs-CZ"/>
        </w:rPr>
        <w:t>zápis v obchodním rejstříku: u</w:t>
      </w:r>
      <w:bookmarkEnd w:id="29"/>
    </w:p>
    <w:p>
      <w:pPr>
        <w:pStyle w:val="Style14"/>
        <w:keepNext w:val="0"/>
        <w:keepLines w:val="0"/>
        <w:widowControl w:val="0"/>
        <w:shd w:val="clear" w:color="auto" w:fill="auto"/>
        <w:bidi w:val="0"/>
        <w:spacing w:before="0" w:after="0" w:line="240" w:lineRule="auto"/>
        <w:ind w:left="0" w:right="0" w:firstLine="0"/>
        <w:jc w:val="left"/>
      </w:pPr>
      <w:bookmarkStart w:id="30" w:name="bookmark30"/>
      <w:r>
        <w:rPr>
          <w:color w:val="000000"/>
          <w:spacing w:val="0"/>
          <w:w w:val="100"/>
          <w:position w:val="0"/>
          <w:shd w:val="clear" w:color="auto" w:fill="auto"/>
          <w:lang w:val="cs-CZ" w:eastAsia="cs-CZ" w:bidi="cs-CZ"/>
        </w:rPr>
        <w:t>(dále jen „objednatel“)</w:t>
      </w:r>
      <w:bookmarkEnd w:id="30"/>
    </w:p>
    <w:p>
      <w:pPr>
        <w:widowControl w:val="0"/>
        <w:spacing w:after="179" w:line="1" w:lineRule="exact"/>
      </w:pPr>
    </w:p>
    <w:p>
      <w:pPr>
        <w:pStyle w:val="Style2"/>
        <w:keepNext/>
        <w:keepLines/>
        <w:widowControl w:val="0"/>
        <w:shd w:val="clear" w:color="auto" w:fill="auto"/>
        <w:bidi w:val="0"/>
        <w:spacing w:before="0" w:after="18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2810"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Milan Spanilý</w:t>
      </w:r>
      <w:bookmarkEnd w:id="38"/>
      <w:bookmarkEnd w:id="39"/>
      <w:bookmarkEnd w:id="40"/>
    </w:p>
    <w:p>
      <w:pPr>
        <w:pStyle w:val="Style2"/>
        <w:keepNext/>
        <w:keepLines/>
        <w:widowControl w:val="0"/>
        <w:shd w:val="clear" w:color="auto" w:fill="auto"/>
        <w:tabs>
          <w:tab w:pos="2810"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Mostecká 718, 431 11 Jirkov</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oprávněn k podpisu smlouvy:</w:t>
      </w:r>
      <w:bookmarkEnd w:id="44"/>
      <w:bookmarkEnd w:id="45"/>
      <w:bookmarkEnd w:id="46"/>
    </w:p>
    <w:p>
      <w:pPr>
        <w:pStyle w:val="Style2"/>
        <w:keepNext/>
        <w:keepLines/>
        <w:widowControl w:val="0"/>
        <w:shd w:val="clear" w:color="auto" w:fill="auto"/>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oprávněn jednat o věcech smluvních:</w:t>
      </w:r>
      <w:bookmarkEnd w:id="47"/>
      <w:bookmarkEnd w:id="48"/>
      <w:bookmarkEnd w:id="49"/>
    </w:p>
    <w:p>
      <w:pPr>
        <w:pStyle w:val="Style2"/>
        <w:keepNext/>
        <w:keepLines/>
        <w:widowControl w:val="0"/>
        <w:shd w:val="clear" w:color="auto" w:fill="auto"/>
        <w:bidi w:val="0"/>
        <w:spacing w:before="0" w:after="180" w:line="240" w:lineRule="auto"/>
        <w:ind w:left="0" w:right="0" w:firstLine="0"/>
        <w:jc w:val="left"/>
      </w:pPr>
      <w:bookmarkStart w:id="50" w:name="bookmark50"/>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technických:</w:t>
      </w:r>
      <w:bookmarkEnd w:id="50"/>
      <w:bookmarkEnd w:id="51"/>
      <w:bookmarkEnd w:id="52"/>
      <w:bookmarkEnd w:id="53"/>
    </w:p>
    <w:tbl>
      <w:tblPr>
        <w:tblOverlap w:val="never"/>
        <w:jc w:val="center"/>
        <w:tblLayout w:type="fixed"/>
      </w:tblPr>
      <w:tblGrid>
        <w:gridCol w:w="4061"/>
        <w:gridCol w:w="5054"/>
      </w:tblGrid>
      <w:tr>
        <w:trPr>
          <w:trHeight w:val="1171"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57" w:name="bookmark57"/>
            <w:r>
              <w:rPr>
                <w:color w:val="000000"/>
                <w:spacing w:val="0"/>
                <w:w w:val="100"/>
                <w:position w:val="0"/>
                <w:shd w:val="clear" w:color="auto" w:fill="auto"/>
                <w:lang w:val="cs-CZ" w:eastAsia="cs-CZ" w:bidi="cs-CZ"/>
              </w:rPr>
              <w:t>IČO:</w:t>
            </w:r>
            <w:bookmarkEnd w:id="57"/>
          </w:p>
          <w:p>
            <w:pPr>
              <w:pStyle w:val="Style16"/>
              <w:keepNext w:val="0"/>
              <w:keepLines w:val="0"/>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DIČ: bankovní spojení: číslo účtu:</w:t>
            </w:r>
            <w:bookmarkEnd w:id="58"/>
            <w:bookmarkEnd w:id="59"/>
            <w:bookmarkEnd w:id="60"/>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12766666</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CZ500308100</w:t>
            </w:r>
          </w:p>
        </w:tc>
      </w:tr>
    </w:tbl>
    <w:p>
      <w:pPr>
        <w:pStyle w:val="Style14"/>
        <w:keepNext w:val="0"/>
        <w:keepLines w:val="0"/>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zápis u</w:t>
      </w:r>
      <w:bookmarkEnd w:id="54"/>
      <w:bookmarkEnd w:id="55"/>
    </w:p>
    <w:p>
      <w:pPr>
        <w:pStyle w:val="Style14"/>
        <w:keepNext w:val="0"/>
        <w:keepLines w:val="0"/>
        <w:widowControl w:val="0"/>
        <w:shd w:val="clear" w:color="auto" w:fill="auto"/>
        <w:bidi w:val="0"/>
        <w:spacing w:before="0" w:after="0" w:line="240" w:lineRule="auto"/>
        <w:ind w:left="0" w:right="0" w:firstLine="0"/>
        <w:jc w:val="left"/>
      </w:pPr>
      <w:bookmarkStart w:id="56" w:name="bookmark56"/>
      <w:r>
        <w:rPr>
          <w:color w:val="000000"/>
          <w:spacing w:val="0"/>
          <w:w w:val="100"/>
          <w:position w:val="0"/>
          <w:shd w:val="clear" w:color="auto" w:fill="auto"/>
          <w:lang w:val="cs-CZ" w:eastAsia="cs-CZ" w:bidi="cs-CZ"/>
        </w:rPr>
        <w:t>(dále jen „zhotovitel“)</w:t>
      </w:r>
      <w:bookmarkEnd w:id="56"/>
    </w:p>
    <w:p>
      <w:pPr>
        <w:widowControl w:val="0"/>
        <w:spacing w:after="179" w:line="1" w:lineRule="exact"/>
      </w:pPr>
    </w:p>
    <w:p>
      <w:pPr>
        <w:pStyle w:val="Style10"/>
        <w:keepNext w:val="0"/>
        <w:keepLines w:val="0"/>
        <w:widowControl w:val="0"/>
        <w:shd w:val="clear" w:color="auto" w:fill="auto"/>
        <w:bidi w:val="0"/>
        <w:spacing w:before="0" w:after="18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99" w:bottom="1219" w:header="0" w:footer="3" w:gutter="0"/>
          <w:pgNumType w:start="1"/>
          <w:cols w:space="720"/>
          <w:noEndnote/>
          <w:rtlGutter w:val="0"/>
          <w:docGrid w:linePitch="360"/>
        </w:sectPr>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77" w:val="left"/>
        </w:tabs>
        <w:bidi w:val="0"/>
        <w:spacing w:before="0" w:after="180" w:line="240" w:lineRule="auto"/>
        <w:ind w:right="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„Revize elektrických zařízení v objektech Povodí Ohře, státní podnik na rok 2024</w:t>
      </w:r>
      <w:r>
        <w:rPr>
          <w:color w:val="000000"/>
          <w:spacing w:val="0"/>
          <w:w w:val="100"/>
          <w:position w:val="0"/>
          <w:shd w:val="clear" w:color="auto" w:fill="auto"/>
          <w:lang w:val="cs-CZ" w:eastAsia="cs-CZ" w:bidi="cs-CZ"/>
        </w:rPr>
        <w:t>”. Předložená cenová nabídka zhotovitele ze dne 5.6.2024 byla vyhodnocena a odsouhlasena jako ekonomicky výhodná na jednání investiční komise závodu Chomutov dne 19.6.2024.</w:t>
      </w:r>
      <w:bookmarkEnd w:id="61"/>
      <w:bookmarkEnd w:id="62"/>
      <w:bookmarkEnd w:id="64"/>
    </w:p>
    <w:p>
      <w:pPr>
        <w:pStyle w:val="Style2"/>
        <w:keepNext/>
        <w:keepLines/>
        <w:widowControl w:val="0"/>
        <w:numPr>
          <w:ilvl w:val="0"/>
          <w:numId w:val="1"/>
        </w:numPr>
        <w:shd w:val="clear" w:color="auto" w:fill="auto"/>
        <w:tabs>
          <w:tab w:pos="377" w:val="left"/>
        </w:tabs>
        <w:bidi w:val="0"/>
        <w:spacing w:before="0" w:after="180" w:line="240" w:lineRule="auto"/>
        <w:ind w:right="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Předmětem zakázky je provedení revizí elektrických zařízení v objektech Povodí Ohře, státní podnik.</w:t>
      </w:r>
      <w:bookmarkEnd w:id="65"/>
      <w:bookmarkEnd w:id="66"/>
      <w:bookmarkEnd w:id="68"/>
    </w:p>
    <w:p>
      <w:pPr>
        <w:pStyle w:val="Style2"/>
        <w:keepNext/>
        <w:keepLines/>
        <w:widowControl w:val="0"/>
        <w:numPr>
          <w:ilvl w:val="0"/>
          <w:numId w:val="1"/>
        </w:numPr>
        <w:shd w:val="clear" w:color="auto" w:fill="auto"/>
        <w:tabs>
          <w:tab w:pos="377" w:val="left"/>
        </w:tabs>
        <w:bidi w:val="0"/>
        <w:spacing w:before="0" w:after="0" w:line="240" w:lineRule="auto"/>
        <w:ind w:right="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Zhotovitel se zavazuje provést výše uvedené dílo v rozsahu cenové nabídky zhotovitele, která je přílohou č. 1 této smlouvy.</w:t>
      </w:r>
      <w:bookmarkEnd w:id="69"/>
      <w:bookmarkEnd w:id="70"/>
      <w:bookmarkEnd w:id="72"/>
    </w:p>
    <w:p>
      <w:pPr>
        <w:pStyle w:val="Style10"/>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Místa provádění díla jsou uvedena v příloze č. 1 této smlouvy.</w:t>
      </w:r>
    </w:p>
    <w:p>
      <w:pPr>
        <w:pStyle w:val="Style2"/>
        <w:keepNext/>
        <w:keepLines/>
        <w:widowControl w:val="0"/>
        <w:numPr>
          <w:ilvl w:val="0"/>
          <w:numId w:val="1"/>
        </w:numPr>
        <w:shd w:val="clear" w:color="auto" w:fill="auto"/>
        <w:tabs>
          <w:tab w:pos="377" w:val="left"/>
        </w:tabs>
        <w:bidi w:val="0"/>
        <w:spacing w:before="0" w:after="180" w:line="240" w:lineRule="auto"/>
        <w:ind w:left="0" w:right="0" w:firstLine="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Za předmět díla se dále považuje:</w:t>
      </w:r>
      <w:bookmarkEnd w:id="73"/>
      <w:bookmarkEnd w:id="74"/>
      <w:bookmarkEnd w:id="76"/>
    </w:p>
    <w:p>
      <w:pPr>
        <w:pStyle w:val="Style2"/>
        <w:keepNext/>
        <w:keepLines/>
        <w:widowControl w:val="0"/>
        <w:numPr>
          <w:ilvl w:val="0"/>
          <w:numId w:val="3"/>
        </w:numPr>
        <w:shd w:val="clear" w:color="auto" w:fill="auto"/>
        <w:tabs>
          <w:tab w:pos="1063" w:val="left"/>
        </w:tabs>
        <w:bidi w:val="0"/>
        <w:spacing w:before="0" w:after="0" w:line="240" w:lineRule="auto"/>
        <w:ind w:left="1020" w:right="0" w:hanging="62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77"/>
      <w:bookmarkEnd w:id="78"/>
      <w:bookmarkEnd w:id="80"/>
    </w:p>
    <w:p>
      <w:pPr>
        <w:pStyle w:val="Style2"/>
        <w:keepNext/>
        <w:keepLines/>
        <w:widowControl w:val="0"/>
        <w:numPr>
          <w:ilvl w:val="0"/>
          <w:numId w:val="3"/>
        </w:numPr>
        <w:shd w:val="clear" w:color="auto" w:fill="auto"/>
        <w:tabs>
          <w:tab w:pos="1063" w:val="left"/>
        </w:tabs>
        <w:bidi w:val="0"/>
        <w:spacing w:before="0" w:after="0" w:line="240" w:lineRule="auto"/>
        <w:ind w:left="1020" w:right="0" w:hanging="62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81"/>
      <w:bookmarkEnd w:id="82"/>
      <w:bookmarkEnd w:id="84"/>
    </w:p>
    <w:p>
      <w:pPr>
        <w:pStyle w:val="Style2"/>
        <w:keepNext/>
        <w:keepLines/>
        <w:widowControl w:val="0"/>
        <w:numPr>
          <w:ilvl w:val="0"/>
          <w:numId w:val="3"/>
        </w:numPr>
        <w:shd w:val="clear" w:color="auto" w:fill="auto"/>
        <w:tabs>
          <w:tab w:pos="1063" w:val="left"/>
        </w:tabs>
        <w:bidi w:val="0"/>
        <w:spacing w:before="0" w:after="0" w:line="240" w:lineRule="auto"/>
        <w:ind w:left="1020" w:right="0" w:hanging="62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85"/>
      <w:bookmarkEnd w:id="86"/>
      <w:bookmarkEnd w:id="88"/>
    </w:p>
    <w:p>
      <w:pPr>
        <w:pStyle w:val="Style2"/>
        <w:keepNext/>
        <w:keepLines/>
        <w:widowControl w:val="0"/>
        <w:numPr>
          <w:ilvl w:val="0"/>
          <w:numId w:val="3"/>
        </w:numPr>
        <w:shd w:val="clear" w:color="auto" w:fill="auto"/>
        <w:tabs>
          <w:tab w:pos="1063" w:val="left"/>
        </w:tabs>
        <w:bidi w:val="0"/>
        <w:spacing w:before="0" w:after="0" w:line="240" w:lineRule="auto"/>
        <w:ind w:left="1020" w:right="0" w:hanging="62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89"/>
      <w:bookmarkEnd w:id="90"/>
      <w:bookmarkEnd w:id="92"/>
    </w:p>
    <w:p>
      <w:pPr>
        <w:pStyle w:val="Style2"/>
        <w:keepNext/>
        <w:keepLines/>
        <w:widowControl w:val="0"/>
        <w:numPr>
          <w:ilvl w:val="0"/>
          <w:numId w:val="3"/>
        </w:numPr>
        <w:shd w:val="clear" w:color="auto" w:fill="auto"/>
        <w:tabs>
          <w:tab w:pos="1063" w:val="left"/>
        </w:tabs>
        <w:bidi w:val="0"/>
        <w:spacing w:before="0" w:after="180" w:line="240" w:lineRule="auto"/>
        <w:ind w:left="1020" w:right="0" w:hanging="62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93"/>
      <w:bookmarkEnd w:id="94"/>
      <w:bookmarkEnd w:id="96"/>
    </w:p>
    <w:p>
      <w:pPr>
        <w:pStyle w:val="Style2"/>
        <w:keepNext/>
        <w:keepLines/>
        <w:widowControl w:val="0"/>
        <w:numPr>
          <w:ilvl w:val="0"/>
          <w:numId w:val="1"/>
        </w:numPr>
        <w:shd w:val="clear" w:color="auto" w:fill="auto"/>
        <w:tabs>
          <w:tab w:pos="377" w:val="left"/>
        </w:tabs>
        <w:bidi w:val="0"/>
        <w:spacing w:before="0" w:after="18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0"/>
      <w:bookmarkEnd w:id="97"/>
      <w:bookmarkEnd w:id="98"/>
    </w:p>
    <w:p>
      <w:pPr>
        <w:pStyle w:val="Style2"/>
        <w:keepNext/>
        <w:keepLines/>
        <w:widowControl w:val="0"/>
        <w:numPr>
          <w:ilvl w:val="0"/>
          <w:numId w:val="1"/>
        </w:numPr>
        <w:shd w:val="clear" w:color="auto" w:fill="auto"/>
        <w:tabs>
          <w:tab w:pos="377" w:val="left"/>
        </w:tabs>
        <w:bidi w:val="0"/>
        <w:spacing w:before="0" w:after="44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01"/>
      <w:bookmarkEnd w:id="102"/>
      <w:bookmarkEnd w:id="104"/>
    </w:p>
    <w:p>
      <w:pPr>
        <w:pStyle w:val="Style2"/>
        <w:keepNext/>
        <w:keepLines/>
        <w:widowControl w:val="0"/>
        <w:numPr>
          <w:ilvl w:val="0"/>
          <w:numId w:val="1"/>
        </w:numPr>
        <w:shd w:val="clear" w:color="auto" w:fill="auto"/>
        <w:tabs>
          <w:tab w:pos="377" w:val="left"/>
        </w:tabs>
        <w:bidi w:val="0"/>
        <w:spacing w:before="0" w:after="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Objednatel předá zhotoviteli pracoviště (nebo jeho ucelenou část) prosté práv třetích osob.</w:t>
      </w:r>
      <w:bookmarkEnd w:id="105"/>
      <w:bookmarkEnd w:id="106"/>
      <w:bookmarkEnd w:id="108"/>
    </w:p>
    <w:p>
      <w:pPr>
        <w:pStyle w:val="Style2"/>
        <w:keepNext/>
        <w:keepLines/>
        <w:widowControl w:val="0"/>
        <w:shd w:val="clear" w:color="auto" w:fill="auto"/>
        <w:bidi w:val="0"/>
        <w:spacing w:before="0" w:after="440" w:line="240" w:lineRule="auto"/>
        <w:ind w:right="0" w:firstLine="20"/>
        <w:jc w:val="both"/>
      </w:pPr>
      <w:bookmarkStart w:id="109" w:name="bookmark109"/>
      <w:bookmarkStart w:id="110" w:name="bookmark110"/>
      <w:bookmarkStart w:id="111" w:name="bookmark111"/>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109"/>
      <w:bookmarkEnd w:id="110"/>
      <w:bookmarkEnd w:id="111"/>
    </w:p>
    <w:p>
      <w:pPr>
        <w:pStyle w:val="Style2"/>
        <w:keepNext/>
        <w:keepLines/>
        <w:widowControl w:val="0"/>
        <w:numPr>
          <w:ilvl w:val="0"/>
          <w:numId w:val="1"/>
        </w:numPr>
        <w:shd w:val="clear" w:color="auto" w:fill="auto"/>
        <w:tabs>
          <w:tab w:pos="377" w:val="left"/>
        </w:tabs>
        <w:bidi w:val="0"/>
        <w:spacing w:before="0" w:after="0" w:line="240" w:lineRule="auto"/>
        <w:ind w:left="0" w:right="0" w:firstLine="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Pro účely této smlouvy se rozumí:</w:t>
      </w:r>
      <w:bookmarkEnd w:id="112"/>
      <w:bookmarkEnd w:id="113"/>
      <w:bookmarkEnd w:id="115"/>
    </w:p>
    <w:p>
      <w:pPr>
        <w:pStyle w:val="Style10"/>
        <w:keepNext w:val="0"/>
        <w:keepLines w:val="0"/>
        <w:widowControl w:val="0"/>
        <w:shd w:val="clear" w:color="auto" w:fill="auto"/>
        <w:bidi w:val="0"/>
        <w:spacing w:before="0" w:after="180" w:line="269" w:lineRule="auto"/>
        <w:ind w:left="7680" w:right="0" w:hanging="7280"/>
        <w:jc w:val="both"/>
        <w:sectPr>
          <w:headerReference w:type="default" r:id="rId7"/>
          <w:footerReference w:type="default" r:id="rId8"/>
          <w:footnotePr>
            <w:pos w:val="pageBottom"/>
            <w:numFmt w:val="decimal"/>
            <w:numRestart w:val="continuous"/>
          </w:footnotePr>
          <w:pgSz w:w="11909" w:h="16838"/>
          <w:pgMar w:top="1181" w:left="1394" w:right="1384" w:bottom="874" w:header="0" w:footer="446" w:gutter="0"/>
          <w:cols w:space="720"/>
          <w:noEndnote/>
          <w:rtlGutter w:val="0"/>
          <w:docGrid w:linePitch="360"/>
        </w:sectPr>
      </w:pPr>
      <w:r>
        <w:rPr>
          <w:color w:val="000000"/>
          <w:spacing w:val="0"/>
          <w:w w:val="100"/>
          <w:position w:val="0"/>
          <w:shd w:val="clear" w:color="auto" w:fill="auto"/>
          <w:lang w:val="cs-CZ" w:eastAsia="cs-CZ" w:bidi="cs-CZ"/>
        </w:rPr>
        <w:t xml:space="preserve">Stavbyvedoucím je odborně způsobilá osoba, které při plnění veřejné zakázky Stránka </w:t>
      </w:r>
      <w:r>
        <w:rPr>
          <w:b/>
          <w:b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10"/>
        <w:keepNext w:val="0"/>
        <w:keepLines w:val="0"/>
        <w:widowControl w:val="0"/>
        <w:shd w:val="clear" w:color="auto" w:fill="auto"/>
        <w:bidi w:val="0"/>
        <w:spacing w:before="0" w:after="440" w:line="240" w:lineRule="auto"/>
        <w:ind w:left="380" w:right="0" w:firstLine="20"/>
        <w:jc w:val="both"/>
      </w:pPr>
      <w:r>
        <w:rPr>
          <w:color w:val="000000"/>
          <w:spacing w:val="0"/>
          <w:w w:val="100"/>
          <w:position w:val="0"/>
          <w:shd w:val="clear" w:color="auto" w:fill="auto"/>
          <w:lang w:val="cs-CZ" w:eastAsia="cs-CZ" w:bidi="cs-CZ"/>
        </w:rPr>
        <w:t>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zakázky.</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116" w:name="bookmark116"/>
      <w:bookmarkEnd w:id="116"/>
      <w:r>
        <w:rPr>
          <w:color w:val="000000"/>
          <w:spacing w:val="0"/>
          <w:w w:val="100"/>
          <w:position w:val="0"/>
          <w:shd w:val="clear" w:color="auto" w:fill="auto"/>
          <w:lang w:val="cs-CZ" w:eastAsia="cs-CZ" w:bidi="cs-CZ"/>
        </w:rPr>
        <w:t>Smluvní strany se dohodly na následujících lhůtách a podmínkách pro realizaci díla.</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7" w:name="bookmark117"/>
      <w:bookmarkEnd w:id="117"/>
      <w:r>
        <w:rPr>
          <w:color w:val="000000"/>
          <w:spacing w:val="0"/>
          <w:w w:val="100"/>
          <w:position w:val="0"/>
          <w:shd w:val="clear" w:color="auto" w:fill="auto"/>
          <w:lang w:val="cs-CZ" w:eastAsia="cs-CZ" w:bidi="cs-CZ"/>
        </w:rPr>
        <w:t>převzetí pracoviště:</w:t>
      </w:r>
    </w:p>
    <w:p>
      <w:pPr>
        <w:pStyle w:val="Style10"/>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se zavazuje převzít pracoviště dne </w:t>
      </w:r>
      <w:r>
        <w:rPr>
          <w:b/>
          <w:bCs/>
          <w:color w:val="000000"/>
          <w:spacing w:val="0"/>
          <w:w w:val="100"/>
          <w:position w:val="0"/>
          <w:shd w:val="clear" w:color="auto" w:fill="auto"/>
          <w:lang w:val="cs-CZ" w:eastAsia="cs-CZ" w:bidi="cs-CZ"/>
        </w:rPr>
        <w:t>1.9.2024</w:t>
      </w:r>
      <w:r>
        <w:rPr>
          <w:color w:val="000000"/>
          <w:spacing w:val="0"/>
          <w:w w:val="100"/>
          <w:position w:val="0"/>
          <w:shd w:val="clear" w:color="auto" w:fill="auto"/>
          <w:lang w:val="cs-CZ" w:eastAsia="cs-CZ" w:bidi="cs-CZ"/>
        </w:rPr>
        <w:t>.</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8" w:name="bookmark118"/>
      <w:bookmarkEnd w:id="118"/>
      <w:r>
        <w:rPr>
          <w:color w:val="000000"/>
          <w:spacing w:val="0"/>
          <w:w w:val="100"/>
          <w:position w:val="0"/>
          <w:shd w:val="clear" w:color="auto" w:fill="auto"/>
          <w:lang w:val="cs-CZ" w:eastAsia="cs-CZ" w:bidi="cs-CZ"/>
        </w:rPr>
        <w:t>zahájení prací:</w:t>
      </w:r>
    </w:p>
    <w:p>
      <w:pPr>
        <w:pStyle w:val="Style10"/>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10"/>
        <w:keepNext w:val="0"/>
        <w:keepLines w:val="0"/>
        <w:widowControl w:val="0"/>
        <w:numPr>
          <w:ilvl w:val="0"/>
          <w:numId w:val="7"/>
        </w:numPr>
        <w:shd w:val="clear" w:color="auto" w:fill="auto"/>
        <w:tabs>
          <w:tab w:pos="797" w:val="left"/>
        </w:tabs>
        <w:bidi w:val="0"/>
        <w:spacing w:before="0" w:line="240" w:lineRule="auto"/>
        <w:ind w:left="720" w:right="0" w:hanging="320"/>
        <w:jc w:val="both"/>
      </w:pPr>
      <w:bookmarkStart w:id="119" w:name="bookmark119"/>
      <w:bookmarkEnd w:id="119"/>
      <w:r>
        <w:rPr>
          <w:color w:val="000000"/>
          <w:spacing w:val="0"/>
          <w:w w:val="100"/>
          <w:position w:val="0"/>
          <w:shd w:val="clear" w:color="auto" w:fill="auto"/>
          <w:lang w:val="cs-CZ" w:eastAsia="cs-CZ" w:bidi="cs-CZ"/>
        </w:rPr>
        <w:t xml:space="preserve">předání a převzetí dokončeného díla: Nejpozději do </w:t>
      </w:r>
      <w:r>
        <w:rPr>
          <w:b/>
          <w:bCs/>
          <w:color w:val="000000"/>
          <w:spacing w:val="0"/>
          <w:w w:val="100"/>
          <w:position w:val="0"/>
          <w:shd w:val="clear" w:color="auto" w:fill="auto"/>
          <w:lang w:val="cs-CZ" w:eastAsia="cs-CZ" w:bidi="cs-CZ"/>
        </w:rPr>
        <w:t>18.12.2024</w:t>
      </w:r>
      <w:r>
        <w:rPr>
          <w:color w:val="000000"/>
          <w:spacing w:val="0"/>
          <w:w w:val="100"/>
          <w:position w:val="0"/>
          <w:shd w:val="clear" w:color="auto" w:fill="auto"/>
          <w:lang w:val="cs-CZ" w:eastAsia="cs-CZ" w:bidi="cs-CZ"/>
        </w:rPr>
        <w:t>.</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0" w:name="bookmark120"/>
      <w:bookmarkEnd w:id="120"/>
      <w:r>
        <w:rPr>
          <w:color w:val="000000"/>
          <w:spacing w:val="0"/>
          <w:w w:val="100"/>
          <w:position w:val="0"/>
          <w:shd w:val="clear" w:color="auto" w:fill="auto"/>
          <w:lang w:val="cs-CZ" w:eastAsia="cs-CZ" w:bidi="cs-CZ"/>
        </w:rPr>
        <w:t>vyklizení pracoviště:</w:t>
      </w:r>
    </w:p>
    <w:p>
      <w:pPr>
        <w:pStyle w:val="Style10"/>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požadovaného stavu.</w:t>
      </w:r>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1"/>
      <w:bookmarkEnd w:id="122"/>
      <w:bookmarkEnd w:id="124"/>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5"/>
      <w:bookmarkEnd w:id="126"/>
      <w:bookmarkEnd w:id="128"/>
    </w:p>
    <w:p>
      <w:pPr>
        <w:pStyle w:val="Style2"/>
        <w:keepNext/>
        <w:keepLines/>
        <w:widowControl w:val="0"/>
        <w:numPr>
          <w:ilvl w:val="0"/>
          <w:numId w:val="5"/>
        </w:numPr>
        <w:shd w:val="clear" w:color="auto" w:fill="auto"/>
        <w:tabs>
          <w:tab w:pos="382" w:val="left"/>
        </w:tabs>
        <w:bidi w:val="0"/>
        <w:spacing w:before="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29"/>
      <w:bookmarkEnd w:id="130"/>
      <w:bookmarkEnd w:id="132"/>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stavby předloženy zhotovitelem formou návrhu dodatku ke smlouvě o dílo.</w:t>
      </w:r>
    </w:p>
    <w:p>
      <w:pPr>
        <w:pStyle w:val="Style10"/>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118 400 Kč</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(jedno sto osmnáct tisíc čtyři sta korun českých)</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10"/>
        <w:keepNext w:val="0"/>
        <w:keepLines w:val="0"/>
        <w:widowControl w:val="0"/>
        <w:numPr>
          <w:ilvl w:val="0"/>
          <w:numId w:val="9"/>
        </w:numPr>
        <w:shd w:val="clear" w:color="auto" w:fill="auto"/>
        <w:tabs>
          <w:tab w:pos="384" w:val="left"/>
        </w:tabs>
        <w:bidi w:val="0"/>
        <w:spacing w:before="0" w:after="44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1"/>
        </w:numPr>
        <w:shd w:val="clear" w:color="auto" w:fill="auto"/>
        <w:tabs>
          <w:tab w:pos="384" w:val="left"/>
        </w:tabs>
        <w:bidi w:val="0"/>
        <w:spacing w:before="0" w:after="100" w:line="240" w:lineRule="auto"/>
        <w:ind w:left="0" w:right="0" w:firstLine="0"/>
        <w:jc w:val="both"/>
      </w:pPr>
      <w:bookmarkStart w:id="137" w:name="bookmark137"/>
      <w:bookmarkEnd w:id="137"/>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1"/>
        </w:numPr>
        <w:shd w:val="clear" w:color="auto" w:fill="auto"/>
        <w:tabs>
          <w:tab w:pos="384" w:val="left"/>
        </w:tabs>
        <w:bidi w:val="0"/>
        <w:spacing w:before="0" w:after="1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10"/>
        <w:keepNext w:val="0"/>
        <w:keepLines w:val="0"/>
        <w:widowControl w:val="0"/>
        <w:numPr>
          <w:ilvl w:val="0"/>
          <w:numId w:val="11"/>
        </w:numPr>
        <w:shd w:val="clear" w:color="auto" w:fill="auto"/>
        <w:tabs>
          <w:tab w:pos="384" w:val="left"/>
        </w:tabs>
        <w:bidi w:val="0"/>
        <w:spacing w:before="0" w:line="240" w:lineRule="auto"/>
        <w:ind w:left="0" w:right="0" w:firstLine="0"/>
        <w:jc w:val="both"/>
      </w:pPr>
      <w:bookmarkStart w:id="139" w:name="bookmark139"/>
      <w:bookmarkEnd w:id="139"/>
      <w:r>
        <w:rPr>
          <w:color w:val="000000"/>
          <w:spacing w:val="0"/>
          <w:w w:val="100"/>
          <w:position w:val="0"/>
          <w:shd w:val="clear" w:color="auto" w:fill="auto"/>
          <w:lang w:val="cs-CZ" w:eastAsia="cs-CZ" w:bidi="cs-CZ"/>
        </w:rPr>
        <w:t>Samostatně budou vystaveny faktury za případné vícepráce.</w:t>
      </w:r>
    </w:p>
    <w:p>
      <w:pPr>
        <w:pStyle w:val="Style10"/>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Datem uskutečnění zdanitelného plnění bude po dokončení díla den předání a převzetí díla. Přílohou konečné faktury bude protokol o předání a převzetí díla bez vad a nedodělků. Konečná faktura musí obsahovat celkovou smluvní cenu dokončeného díla.</w:t>
      </w:r>
    </w:p>
    <w:p>
      <w:pPr>
        <w:pStyle w:val="Style10"/>
        <w:keepNext w:val="0"/>
        <w:keepLines w:val="0"/>
        <w:widowControl w:val="0"/>
        <w:numPr>
          <w:ilvl w:val="0"/>
          <w:numId w:val="11"/>
        </w:numPr>
        <w:shd w:val="clear" w:color="auto" w:fill="auto"/>
        <w:tabs>
          <w:tab w:pos="384" w:val="left"/>
        </w:tabs>
        <w:bidi w:val="0"/>
        <w:spacing w:before="0" w:after="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10"/>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1"/>
        </w:numPr>
        <w:shd w:val="clear" w:color="auto" w:fill="auto"/>
        <w:tabs>
          <w:tab w:pos="384" w:val="left"/>
        </w:tabs>
        <w:bidi w:val="0"/>
        <w:spacing w:before="0" w:line="240" w:lineRule="auto"/>
        <w:ind w:left="0" w:right="0" w:firstLine="0"/>
        <w:jc w:val="both"/>
      </w:pPr>
      <w:bookmarkStart w:id="143" w:name="bookmark143"/>
      <w:bookmarkEnd w:id="143"/>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10"/>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3"/>
        </w:numPr>
        <w:shd w:val="clear" w:color="auto" w:fill="auto"/>
        <w:tabs>
          <w:tab w:pos="384"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10"/>
        <w:keepNext w:val="0"/>
        <w:keepLines w:val="0"/>
        <w:widowControl w:val="0"/>
        <w:numPr>
          <w:ilvl w:val="0"/>
          <w:numId w:val="13"/>
        </w:numPr>
        <w:shd w:val="clear" w:color="auto" w:fill="auto"/>
        <w:tabs>
          <w:tab w:pos="384"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3"/>
        </w:numPr>
        <w:shd w:val="clear" w:color="auto" w:fill="auto"/>
        <w:tabs>
          <w:tab w:pos="502"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3"/>
        </w:numPr>
        <w:shd w:val="clear" w:color="auto" w:fill="auto"/>
        <w:tabs>
          <w:tab w:pos="502"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3"/>
        </w:numPr>
        <w:shd w:val="clear" w:color="auto" w:fill="auto"/>
        <w:tabs>
          <w:tab w:pos="502" w:val="left"/>
        </w:tabs>
        <w:bidi w:val="0"/>
        <w:spacing w:before="0" w:after="44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10"/>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57" w:name="bookmark157"/>
      <w:bookmarkEnd w:id="157"/>
      <w:r>
        <w:rPr>
          <w:color w:val="000000"/>
          <w:spacing w:val="0"/>
          <w:w w:val="100"/>
          <w:position w:val="0"/>
          <w:shd w:val="clear" w:color="auto" w:fill="auto"/>
          <w:lang w:val="cs-CZ" w:eastAsia="cs-CZ" w:bidi="cs-CZ"/>
        </w:rPr>
        <w:t>Dílo bude předáno až po řádném a úplném provedení díla.</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numPr>
          <w:ilvl w:val="0"/>
          <w:numId w:val="17"/>
        </w:numPr>
        <w:shd w:val="clear" w:color="auto" w:fill="auto"/>
        <w:tabs>
          <w:tab w:pos="960" w:val="left"/>
        </w:tabs>
        <w:bidi w:val="0"/>
        <w:spacing w:before="0" w:after="100" w:line="240" w:lineRule="auto"/>
        <w:ind w:left="0" w:right="0" w:firstLine="380"/>
        <w:jc w:val="both"/>
      </w:pPr>
      <w:bookmarkStart w:id="158" w:name="bookmark158"/>
      <w:bookmarkEnd w:id="158"/>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17"/>
        </w:numPr>
        <w:shd w:val="clear" w:color="auto" w:fill="auto"/>
        <w:tabs>
          <w:tab w:pos="960" w:val="left"/>
        </w:tabs>
        <w:bidi w:val="0"/>
        <w:spacing w:before="0" w:after="100" w:line="240" w:lineRule="auto"/>
        <w:ind w:left="1020" w:right="0" w:hanging="620"/>
        <w:jc w:val="both"/>
      </w:pPr>
      <w:bookmarkStart w:id="159" w:name="bookmark159"/>
      <w:bookmarkEnd w:id="15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numPr>
          <w:ilvl w:val="0"/>
          <w:numId w:val="17"/>
        </w:numPr>
        <w:shd w:val="clear" w:color="auto" w:fill="auto"/>
        <w:tabs>
          <w:tab w:pos="960" w:val="left"/>
        </w:tabs>
        <w:bidi w:val="0"/>
        <w:spacing w:before="0" w:line="240" w:lineRule="auto"/>
        <w:ind w:left="1020" w:right="0" w:hanging="620"/>
        <w:jc w:val="both"/>
      </w:pPr>
      <w:bookmarkStart w:id="160" w:name="bookmark160"/>
      <w:bookmarkEnd w:id="160"/>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36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60" w:val="left"/>
        </w:tabs>
        <w:bidi w:val="0"/>
        <w:spacing w:before="0" w:after="400" w:line="240" w:lineRule="auto"/>
        <w:ind w:right="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62"/>
      <w:bookmarkEnd w:id="163"/>
      <w:bookmarkEnd w:id="165"/>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0"/>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2"/>
        <w:keepNext/>
        <w:keepLines/>
        <w:widowControl w:val="0"/>
        <w:numPr>
          <w:ilvl w:val="0"/>
          <w:numId w:val="21"/>
        </w:numPr>
        <w:shd w:val="clear" w:color="auto" w:fill="auto"/>
        <w:tabs>
          <w:tab w:pos="360" w:val="left"/>
        </w:tabs>
        <w:bidi w:val="0"/>
        <w:spacing w:before="0" w:after="200" w:line="240" w:lineRule="auto"/>
        <w:ind w:right="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69"/>
      <w:bookmarkEnd w:id="170"/>
      <w:bookmarkEnd w:id="172"/>
    </w:p>
    <w:p>
      <w:pPr>
        <w:pStyle w:val="Style2"/>
        <w:keepNext/>
        <w:keepLines/>
        <w:widowControl w:val="0"/>
        <w:shd w:val="clear" w:color="auto" w:fill="auto"/>
        <w:bidi w:val="0"/>
        <w:spacing w:before="0" w:after="60" w:line="240" w:lineRule="auto"/>
        <w:ind w:left="0" w:right="0" w:firstLine="0"/>
        <w:jc w:val="center"/>
      </w:pPr>
      <w:bookmarkStart w:id="173" w:name="bookmark173"/>
      <w:bookmarkStart w:id="174" w:name="bookmark174"/>
      <w:bookmarkStart w:id="175" w:name="bookmark175"/>
      <w:r>
        <w:rPr>
          <w:b/>
          <w:bCs/>
          <w:color w:val="000000"/>
          <w:spacing w:val="0"/>
          <w:w w:val="100"/>
          <w:position w:val="0"/>
          <w:shd w:val="clear" w:color="auto" w:fill="auto"/>
          <w:lang w:val="cs-CZ" w:eastAsia="cs-CZ" w:bidi="cs-CZ"/>
        </w:rPr>
        <w:t>Čl. IX. ZÁVĚREČNÁ USTANOVENÍ</w:t>
      </w:r>
      <w:bookmarkEnd w:id="173"/>
      <w:bookmarkEnd w:id="174"/>
      <w:bookmarkEnd w:id="175"/>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79"/>
      <w:bookmarkEnd w:id="180"/>
      <w:bookmarkEnd w:id="182"/>
    </w:p>
    <w:p>
      <w:pPr>
        <w:pStyle w:val="Style2"/>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bezdůvodném přerušení prací zhotovitelem, které trvá více než 14 dnů,</w:t>
      </w:r>
      <w:bookmarkEnd w:id="183"/>
      <w:bookmarkEnd w:id="184"/>
      <w:bookmarkEnd w:id="186"/>
    </w:p>
    <w:p>
      <w:pPr>
        <w:pStyle w:val="Style2"/>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87"/>
      <w:bookmarkEnd w:id="188"/>
      <w:bookmarkEnd w:id="190"/>
    </w:p>
    <w:p>
      <w:pPr>
        <w:pStyle w:val="Style2"/>
        <w:keepNext/>
        <w:keepLines/>
        <w:widowControl w:val="0"/>
        <w:numPr>
          <w:ilvl w:val="0"/>
          <w:numId w:val="25"/>
        </w:numPr>
        <w:shd w:val="clear" w:color="auto" w:fill="auto"/>
        <w:tabs>
          <w:tab w:pos="1179" w:val="left"/>
        </w:tabs>
        <w:bidi w:val="0"/>
        <w:spacing w:before="0" w:line="240" w:lineRule="auto"/>
        <w:ind w:left="0" w:right="0" w:firstLine="80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neplněním povinností zhotovitele vést řádně zápisy do stavebního deníku.</w:t>
      </w:r>
      <w:bookmarkEnd w:id="191"/>
      <w:bookmarkEnd w:id="192"/>
      <w:bookmarkEnd w:id="194"/>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3"/>
        </w:numPr>
        <w:shd w:val="clear" w:color="auto" w:fill="auto"/>
        <w:tabs>
          <w:tab w:pos="358" w:val="left"/>
        </w:tabs>
        <w:bidi w:val="0"/>
        <w:spacing w:before="0" w:after="0" w:line="240" w:lineRule="auto"/>
        <w:ind w:left="0" w:right="0" w:firstLine="0"/>
        <w:jc w:val="both"/>
      </w:pPr>
      <w:bookmarkStart w:id="200" w:name="bookmark200"/>
      <w:bookmarkEnd w:id="200"/>
      <w:r>
        <w:rPr>
          <w:color w:val="000000"/>
          <w:spacing w:val="0"/>
          <w:w w:val="100"/>
          <w:position w:val="0"/>
          <w:shd w:val="clear" w:color="auto" w:fill="auto"/>
          <w:lang w:val="cs-CZ" w:eastAsia="cs-CZ" w:bidi="cs-CZ"/>
        </w:rPr>
        <w:t>Zhotovitel prohlašuje, že se seznámil se zásadami, hodnotami a cíli Compliance</w:t>
      </w:r>
    </w:p>
    <w:p>
      <w:pPr>
        <w:pStyle w:val="Style10"/>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0"/>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3"/>
        </w:numPr>
        <w:shd w:val="clear" w:color="auto" w:fill="auto"/>
        <w:tabs>
          <w:tab w:pos="461" w:val="left"/>
        </w:tabs>
        <w:bidi w:val="0"/>
        <w:spacing w:before="0" w:after="6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br w:type="page"/>
      </w:r>
    </w:p>
    <w:p>
      <w:pPr>
        <w:pStyle w:val="Style10"/>
        <w:keepNext w:val="0"/>
        <w:keepLines w:val="0"/>
        <w:widowControl w:val="0"/>
        <w:numPr>
          <w:ilvl w:val="0"/>
          <w:numId w:val="23"/>
        </w:numPr>
        <w:shd w:val="clear" w:color="auto" w:fill="auto"/>
        <w:tabs>
          <w:tab w:pos="462" w:val="left"/>
        </w:tabs>
        <w:bidi w:val="0"/>
        <w:spacing w:before="0" w:after="18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0"/>
        <w:keepNext w:val="0"/>
        <w:keepLines w:val="0"/>
        <w:widowControl w:val="0"/>
        <w:numPr>
          <w:ilvl w:val="0"/>
          <w:numId w:val="23"/>
        </w:numPr>
        <w:shd w:val="clear" w:color="auto" w:fill="auto"/>
        <w:tabs>
          <w:tab w:pos="462" w:val="left"/>
        </w:tabs>
        <w:bidi w:val="0"/>
        <w:spacing w:before="0" w:after="180" w:line="240" w:lineRule="auto"/>
        <w:ind w:left="0" w:right="0" w:firstLine="0"/>
        <w:jc w:val="both"/>
      </w:pPr>
      <w:bookmarkStart w:id="203" w:name="bookmark203"/>
      <w:bookmarkEnd w:id="203"/>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0"/>
          <w:numId w:val="23"/>
        </w:numPr>
        <w:shd w:val="clear" w:color="auto" w:fill="auto"/>
        <w:tabs>
          <w:tab w:pos="462" w:val="left"/>
        </w:tabs>
        <w:bidi w:val="0"/>
        <w:spacing w:before="0" w:after="18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0"/>
        <w:keepNext w:val="0"/>
        <w:keepLines w:val="0"/>
        <w:widowControl w:val="0"/>
        <w:numPr>
          <w:ilvl w:val="0"/>
          <w:numId w:val="23"/>
        </w:numPr>
        <w:shd w:val="clear" w:color="auto" w:fill="auto"/>
        <w:tabs>
          <w:tab w:pos="462" w:val="left"/>
        </w:tabs>
        <w:bidi w:val="0"/>
        <w:spacing w:before="0" w:after="18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3"/>
        </w:numPr>
        <w:shd w:val="clear" w:color="auto" w:fill="auto"/>
        <w:tabs>
          <w:tab w:pos="462" w:val="left"/>
        </w:tabs>
        <w:bidi w:val="0"/>
        <w:spacing w:before="0" w:after="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Priorita 2) Příloha č. 1: Cenová nabídka zhotovitele včetně soupisu míst provádění díla</w:t>
      </w:r>
    </w:p>
    <w:p>
      <w:pPr>
        <w:widowControl w:val="0"/>
        <w:spacing w:line="1" w:lineRule="exact"/>
      </w:pPr>
      <w:r>
        <mc:AlternateContent>
          <mc:Choice Requires="wps">
            <w:drawing>
              <wp:anchor distT="469900" distB="0" distL="0" distR="0" simplePos="0" relativeHeight="125829378" behindDoc="0" locked="0" layoutInCell="1" allowOverlap="1">
                <wp:simplePos x="0" y="0"/>
                <wp:positionH relativeFrom="page">
                  <wp:posOffset>930910</wp:posOffset>
                </wp:positionH>
                <wp:positionV relativeFrom="paragraph">
                  <wp:posOffset>469900</wp:posOffset>
                </wp:positionV>
                <wp:extent cx="2045335" cy="688975"/>
                <wp:wrapTopAndBottom/>
                <wp:docPr id="7" name="Shape 7"/>
                <a:graphic xmlns:a="http://schemas.openxmlformats.org/drawingml/2006/main">
                  <a:graphicData uri="http://schemas.microsoft.com/office/word/2010/wordprocessingShape">
                    <wps:wsp>
                      <wps:cNvSpPr txBox="1"/>
                      <wps:spPr>
                        <a:xfrm>
                          <a:ext cx="2045335" cy="688975"/>
                        </a:xfrm>
                        <a:prstGeom prst="rect"/>
                        <a:noFill/>
                      </wps:spPr>
                      <wps:txbx>
                        <w:txbxContent>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3" type="#_x0000_t202" style="position:absolute;margin-left:73.299999999999997pt;margin-top:37.pt;width:161.05000000000001pt;height:54.25pt;z-index:-125829375;mso-wrap-distance-left:0;mso-wrap-distance-top:37.pt;mso-wrap-distance-right:0;mso-position-horizontal-relative:page" filled="f" stroked="f">
                <v:textbox inset="0,0,0,0">
                  <w:txbxContent>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469900" distB="0" distL="0" distR="0" simplePos="0" relativeHeight="125829380" behindDoc="0" locked="0" layoutInCell="1" allowOverlap="1">
                <wp:simplePos x="0" y="0"/>
                <wp:positionH relativeFrom="page">
                  <wp:posOffset>4131310</wp:posOffset>
                </wp:positionH>
                <wp:positionV relativeFrom="paragraph">
                  <wp:posOffset>469900</wp:posOffset>
                </wp:positionV>
                <wp:extent cx="1993265" cy="688975"/>
                <wp:wrapTopAndBottom/>
                <wp:docPr id="9" name="Shape 9"/>
                <a:graphic xmlns:a="http://schemas.openxmlformats.org/drawingml/2006/main">
                  <a:graphicData uri="http://schemas.microsoft.com/office/word/2010/wordprocessingShape">
                    <wps:wsp>
                      <wps:cNvSpPr txBox="1"/>
                      <wps:spPr>
                        <a:xfrm>
                          <a:ext cx="1993265" cy="688975"/>
                        </a:xfrm>
                        <a:prstGeom prst="rect"/>
                        <a:noFill/>
                      </wps:spPr>
                      <wps:txbx>
                        <w:txbxContent>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Jirkově dne………………. oprávněný zástupce zhotovitele</w:t>
                            </w:r>
                          </w:p>
                        </w:txbxContent>
                      </wps:txbx>
                      <wps:bodyPr lIns="0" tIns="0" rIns="0" bIns="0">
                        <a:noAutoFit/>
                      </wps:bodyPr>
                    </wps:wsp>
                  </a:graphicData>
                </a:graphic>
              </wp:anchor>
            </w:drawing>
          </mc:Choice>
          <mc:Fallback>
            <w:pict>
              <v:shape id="_x0000_s1035" type="#_x0000_t202" style="position:absolute;margin-left:325.30000000000001pt;margin-top:37.pt;width:156.95000000000002pt;height:54.25pt;z-index:-125829373;mso-wrap-distance-left:0;mso-wrap-distance-top:37.pt;mso-wrap-distance-right:0;mso-position-horizontal-relative:page" filled="f" stroked="f">
                <v:textbox inset="0,0,0,0">
                  <w:txbxContent>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Jirkově dne………………. oprávněný zástupce zhotovitele</w:t>
                      </w:r>
                    </w:p>
                  </w:txbxContent>
                </v:textbox>
                <w10:wrap type="topAndBottom" anchorx="page"/>
              </v:shape>
            </w:pict>
          </mc:Fallback>
        </mc:AlternateContent>
      </w:r>
    </w:p>
    <w:p>
      <w:pPr>
        <w:pStyle w:val="Style10"/>
        <w:keepNext w:val="0"/>
        <w:keepLines w:val="0"/>
        <w:widowControl w:val="0"/>
        <w:shd w:val="clear" w:color="auto" w:fill="auto"/>
        <w:bidi w:val="0"/>
        <w:spacing w:before="0" w:after="160" w:line="288" w:lineRule="auto"/>
        <w:ind w:left="0" w:right="0" w:firstLine="0"/>
        <w:jc w:val="center"/>
      </w:pPr>
      <w:r>
        <w:rPr>
          <w:color w:val="000000"/>
          <w:spacing w:val="0"/>
          <w:w w:val="100"/>
          <w:position w:val="0"/>
          <w:shd w:val="clear" w:color="auto" w:fill="auto"/>
          <w:lang w:val="cs-CZ" w:eastAsia="cs-CZ" w:bidi="cs-CZ"/>
        </w:rPr>
        <w:t>díla</w:t>
      </w:r>
    </w:p>
    <w:p>
      <w:pPr>
        <w:pStyle w:val="Style10"/>
        <w:keepNext w:val="0"/>
        <w:keepLines w:val="0"/>
        <w:widowControl w:val="0"/>
        <w:shd w:val="clear" w:color="auto" w:fill="auto"/>
        <w:bidi w:val="0"/>
        <w:spacing w:before="0" w:after="0" w:line="262" w:lineRule="auto"/>
        <w:ind w:left="3020" w:right="0" w:firstLine="0"/>
        <w:jc w:val="left"/>
        <w:rPr>
          <w:sz w:val="24"/>
          <w:szCs w:val="24"/>
        </w:rPr>
      </w:pPr>
      <w:r>
        <w:rPr>
          <w:b/>
          <w:bCs/>
          <w:color w:val="000000"/>
          <w:spacing w:val="0"/>
          <w:w w:val="100"/>
          <w:position w:val="0"/>
          <w:sz w:val="24"/>
          <w:szCs w:val="24"/>
          <w:shd w:val="clear" w:color="auto" w:fill="auto"/>
          <w:lang w:val="cs-CZ" w:eastAsia="cs-CZ" w:bidi="cs-CZ"/>
        </w:rPr>
        <w:t>Projekce, revize, instalace, údrž elektrického zařízení do 1000 V včetně hromosvodů</w:t>
      </w:r>
    </w:p>
    <w:p>
      <w:pPr>
        <w:pStyle w:val="Style21"/>
        <w:keepNext w:val="0"/>
        <w:keepLines w:val="0"/>
        <w:widowControl w:val="0"/>
        <w:shd w:val="clear" w:color="auto" w:fill="auto"/>
        <w:bidi w:val="0"/>
        <w:spacing w:before="0" w:after="280" w:line="288" w:lineRule="auto"/>
        <w:ind w:left="4700" w:right="0" w:hanging="18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Mostecká 718 431 11 Jirkov</w:t>
      </w:r>
    </w:p>
    <w:p>
      <w:pPr>
        <w:pStyle w:val="Style21"/>
        <w:keepNext w:val="0"/>
        <w:keepLines w:val="0"/>
        <w:widowControl w:val="0"/>
        <w:shd w:val="clear" w:color="auto" w:fill="auto"/>
        <w:bidi w:val="0"/>
        <w:spacing w:before="0" w:after="820" w:line="288"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IČ:12766666 DIČ:500308100</w:t>
      </w:r>
    </w:p>
    <w:p>
      <w:pPr>
        <w:pStyle w:val="Style21"/>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na objektech Povodí Ohře a.s. dle poptávky z 05/2024</w:t>
      </w:r>
    </w:p>
    <w:p>
      <w:pPr>
        <w:pStyle w:val="Style2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Jez Klášterec-</w:t>
      </w:r>
    </w:p>
    <w:p>
      <w:pPr>
        <w:pStyle w:val="Style10"/>
        <w:keepNext w:val="0"/>
        <w:keepLines w:val="0"/>
        <w:widowControl w:val="0"/>
        <w:shd w:val="clear" w:color="auto" w:fill="auto"/>
        <w:tabs>
          <w:tab w:pos="7085"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garáž</w:t>
        <w:tab/>
      </w:r>
      <w:r>
        <w:rPr>
          <w:color w:val="000000"/>
          <w:spacing w:val="0"/>
          <w:w w:val="100"/>
          <w:position w:val="0"/>
          <w:sz w:val="20"/>
          <w:szCs w:val="20"/>
          <w:shd w:val="clear" w:color="auto" w:fill="auto"/>
          <w:lang w:val="cs-CZ" w:eastAsia="cs-CZ" w:bidi="cs-CZ"/>
        </w:rPr>
        <w:t>6 000,00 Kč</w:t>
      </w:r>
    </w:p>
    <w:p>
      <w:pPr>
        <w:pStyle w:val="Style21"/>
        <w:keepNext w:val="0"/>
        <w:keepLines w:val="0"/>
        <w:widowControl w:val="0"/>
        <w:shd w:val="clear" w:color="auto" w:fill="auto"/>
        <w:tabs>
          <w:tab w:pos="7085"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Křímov-venkovní osvětlení</w:t>
        <w:tab/>
      </w:r>
      <w:r>
        <w:rPr>
          <w:rFonts w:ascii="Arial" w:eastAsia="Arial" w:hAnsi="Arial" w:cs="Arial"/>
          <w:color w:val="000000"/>
          <w:spacing w:val="0"/>
          <w:w w:val="100"/>
          <w:position w:val="0"/>
          <w:sz w:val="20"/>
          <w:szCs w:val="20"/>
          <w:shd w:val="clear" w:color="auto" w:fill="auto"/>
          <w:lang w:val="cs-CZ" w:eastAsia="cs-CZ" w:bidi="cs-CZ"/>
        </w:rPr>
        <w:t>4 800,00 Kč</w:t>
      </w:r>
    </w:p>
    <w:p>
      <w:pPr>
        <w:pStyle w:val="Style21"/>
        <w:keepNext w:val="0"/>
        <w:keepLines w:val="0"/>
        <w:widowControl w:val="0"/>
        <w:shd w:val="clear" w:color="auto" w:fill="auto"/>
        <w:tabs>
          <w:tab w:pos="7085"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Křímov-garáž a sklad</w:t>
        <w:tab/>
      </w:r>
      <w:r>
        <w:rPr>
          <w:rFonts w:ascii="Arial" w:eastAsia="Arial" w:hAnsi="Arial" w:cs="Arial"/>
          <w:color w:val="000000"/>
          <w:spacing w:val="0"/>
          <w:w w:val="100"/>
          <w:position w:val="0"/>
          <w:sz w:val="20"/>
          <w:szCs w:val="20"/>
          <w:shd w:val="clear" w:color="auto" w:fill="auto"/>
          <w:lang w:val="cs-CZ" w:eastAsia="cs-CZ" w:bidi="cs-CZ"/>
        </w:rPr>
        <w:t>5 400,00 Kč</w:t>
      </w:r>
    </w:p>
    <w:p>
      <w:pPr>
        <w:pStyle w:val="Style21"/>
        <w:keepNext w:val="0"/>
        <w:keepLines w:val="0"/>
        <w:widowControl w:val="0"/>
        <w:shd w:val="clear" w:color="auto" w:fill="auto"/>
        <w:tabs>
          <w:tab w:pos="7085"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Újezd-limnifraf Vysoká Pec</w:t>
        <w:tab/>
      </w:r>
      <w:r>
        <w:rPr>
          <w:rFonts w:ascii="Arial" w:eastAsia="Arial" w:hAnsi="Arial" w:cs="Arial"/>
          <w:color w:val="000000"/>
          <w:spacing w:val="0"/>
          <w:w w:val="100"/>
          <w:position w:val="0"/>
          <w:sz w:val="20"/>
          <w:szCs w:val="20"/>
          <w:shd w:val="clear" w:color="auto" w:fill="auto"/>
          <w:lang w:val="cs-CZ" w:eastAsia="cs-CZ" w:bidi="cs-CZ"/>
        </w:rPr>
        <w:t>4 500,00 Kč</w:t>
      </w:r>
    </w:p>
    <w:p>
      <w:pPr>
        <w:pStyle w:val="Style2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VD Újezd-limnifraf Jirkov</w:t>
      </w:r>
    </w:p>
    <w:p>
      <w:pPr>
        <w:pStyle w:val="Style10"/>
        <w:keepNext w:val="0"/>
        <w:keepLines w:val="0"/>
        <w:widowControl w:val="0"/>
        <w:shd w:val="clear" w:color="auto" w:fill="auto"/>
        <w:tabs>
          <w:tab w:pos="822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Mičurinova</w:t>
        <w:tab/>
      </w:r>
      <w:r>
        <w:rPr>
          <w:color w:val="000000"/>
          <w:spacing w:val="0"/>
          <w:w w:val="100"/>
          <w:position w:val="0"/>
          <w:sz w:val="20"/>
          <w:szCs w:val="20"/>
          <w:shd w:val="clear" w:color="auto" w:fill="auto"/>
          <w:lang w:val="cs-CZ" w:eastAsia="cs-CZ" w:bidi="cs-CZ"/>
        </w:rPr>
        <w:t>4 500,00 Kč</w:t>
      </w:r>
    </w:p>
    <w:p>
      <w:pPr>
        <w:pStyle w:val="Style21"/>
        <w:keepNext w:val="0"/>
        <w:keepLines w:val="0"/>
        <w:widowControl w:val="0"/>
        <w:shd w:val="clear" w:color="auto" w:fill="auto"/>
        <w:tabs>
          <w:tab w:pos="8228" w:val="righ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VD Újezd-limnifraf odtok</w:t>
        <w:tab/>
      </w:r>
      <w:r>
        <w:rPr>
          <w:rFonts w:ascii="Arial" w:eastAsia="Arial" w:hAnsi="Arial" w:cs="Arial"/>
          <w:color w:val="000000"/>
          <w:spacing w:val="0"/>
          <w:w w:val="100"/>
          <w:position w:val="0"/>
          <w:sz w:val="20"/>
          <w:szCs w:val="20"/>
          <w:shd w:val="clear" w:color="auto" w:fill="auto"/>
          <w:lang w:val="cs-CZ" w:eastAsia="cs-CZ" w:bidi="cs-CZ"/>
        </w:rPr>
        <w:t>4 500,00 Kč</w:t>
      </w:r>
    </w:p>
    <w:p>
      <w:pPr>
        <w:pStyle w:val="Style2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VD Újezd-venkovní</w:t>
      </w:r>
    </w:p>
    <w:p>
      <w:pPr>
        <w:pStyle w:val="Style10"/>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osvětlení</w:t>
        <w:tab/>
      </w:r>
      <w:r>
        <w:rPr>
          <w:color w:val="000000"/>
          <w:spacing w:val="0"/>
          <w:w w:val="100"/>
          <w:position w:val="0"/>
          <w:sz w:val="20"/>
          <w:szCs w:val="20"/>
          <w:shd w:val="clear" w:color="auto" w:fill="auto"/>
          <w:lang w:val="cs-CZ" w:eastAsia="cs-CZ" w:bidi="cs-CZ"/>
        </w:rPr>
        <w:t>5 000,00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Areál záv.Chomutov Hala 2</w:t>
        <w:tab/>
      </w:r>
      <w:r>
        <w:rPr>
          <w:rFonts w:ascii="Arial" w:eastAsia="Arial" w:hAnsi="Arial" w:cs="Arial"/>
          <w:color w:val="000000"/>
          <w:spacing w:val="0"/>
          <w:w w:val="100"/>
          <w:position w:val="0"/>
          <w:sz w:val="20"/>
          <w:szCs w:val="20"/>
          <w:shd w:val="clear" w:color="auto" w:fill="auto"/>
          <w:lang w:val="cs-CZ" w:eastAsia="cs-CZ" w:bidi="cs-CZ"/>
        </w:rPr>
        <w:t>25 000,00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Lomazice chata,okál,vodárna,RE</w:t>
        <w:tab/>
      </w:r>
      <w:r>
        <w:rPr>
          <w:rFonts w:ascii="Arial" w:eastAsia="Arial" w:hAnsi="Arial" w:cs="Arial"/>
          <w:color w:val="000000"/>
          <w:spacing w:val="0"/>
          <w:w w:val="100"/>
          <w:position w:val="0"/>
          <w:sz w:val="20"/>
          <w:szCs w:val="20"/>
          <w:shd w:val="clear" w:color="auto" w:fill="auto"/>
          <w:lang w:val="cs-CZ" w:eastAsia="cs-CZ" w:bidi="cs-CZ"/>
        </w:rPr>
        <w:t>15 000,00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Šachta Železárny - průtokoměr</w:t>
        <w:tab/>
      </w:r>
      <w:r>
        <w:rPr>
          <w:rFonts w:ascii="Arial" w:eastAsia="Arial" w:hAnsi="Arial" w:cs="Arial"/>
          <w:color w:val="000000"/>
          <w:spacing w:val="0"/>
          <w:w w:val="100"/>
          <w:position w:val="0"/>
          <w:sz w:val="20"/>
          <w:szCs w:val="20"/>
          <w:shd w:val="clear" w:color="auto" w:fill="auto"/>
          <w:lang w:val="cs-CZ" w:eastAsia="cs-CZ" w:bidi="cs-CZ"/>
        </w:rPr>
        <w:t>6 200,00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Chomutov,Zborovská limnigraf u MÚ</w:t>
        <w:tab/>
      </w:r>
      <w:r>
        <w:rPr>
          <w:rFonts w:ascii="Arial" w:eastAsia="Arial" w:hAnsi="Arial" w:cs="Arial"/>
          <w:color w:val="000000"/>
          <w:spacing w:val="0"/>
          <w:w w:val="100"/>
          <w:position w:val="0"/>
          <w:sz w:val="20"/>
          <w:szCs w:val="20"/>
          <w:shd w:val="clear" w:color="auto" w:fill="auto"/>
          <w:lang w:val="cs-CZ" w:eastAsia="cs-CZ" w:bidi="cs-CZ"/>
        </w:rPr>
        <w:t>4 500,00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ÚV Hradiště dálkový přenos pro VHD</w:t>
        <w:tab/>
      </w:r>
      <w:r>
        <w:rPr>
          <w:rFonts w:ascii="Arial" w:eastAsia="Arial" w:hAnsi="Arial" w:cs="Arial"/>
          <w:color w:val="000000"/>
          <w:spacing w:val="0"/>
          <w:w w:val="100"/>
          <w:position w:val="0"/>
          <w:sz w:val="20"/>
          <w:szCs w:val="20"/>
          <w:shd w:val="clear" w:color="auto" w:fill="auto"/>
          <w:lang w:val="cs-CZ" w:eastAsia="cs-CZ" w:bidi="cs-CZ"/>
        </w:rPr>
        <w:t>9 000,00 Kč</w:t>
      </w:r>
    </w:p>
    <w:p>
      <w:pPr>
        <w:pStyle w:val="Style21"/>
        <w:keepNext w:val="0"/>
        <w:keepLines w:val="0"/>
        <w:widowControl w:val="0"/>
        <w:shd w:val="clear" w:color="auto" w:fill="auto"/>
        <w:tabs>
          <w:tab w:pos="8228" w:val="righ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ÚV Šumná dálkový přenos pro VHD</w:t>
        <w:tab/>
      </w:r>
      <w:r>
        <w:rPr>
          <w:rFonts w:ascii="Arial" w:eastAsia="Arial" w:hAnsi="Arial" w:cs="Arial"/>
          <w:color w:val="000000"/>
          <w:spacing w:val="0"/>
          <w:w w:val="100"/>
          <w:position w:val="0"/>
          <w:sz w:val="20"/>
          <w:szCs w:val="20"/>
          <w:shd w:val="clear" w:color="auto" w:fill="auto"/>
          <w:lang w:val="cs-CZ" w:eastAsia="cs-CZ" w:bidi="cs-CZ"/>
        </w:rPr>
        <w:t>9 000,00 Kč</w:t>
      </w:r>
    </w:p>
    <w:p>
      <w:pPr>
        <w:pStyle w:val="Style21"/>
        <w:keepNext w:val="0"/>
        <w:keepLines w:val="0"/>
        <w:widowControl w:val="0"/>
        <w:shd w:val="clear" w:color="auto" w:fill="auto"/>
        <w:tabs>
          <w:tab w:pos="8228" w:val="right"/>
        </w:tabs>
        <w:bidi w:val="0"/>
        <w:spacing w:before="0" w:after="28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Fláje Jiříkovo návrší dálkový přenos pro VHD</w:t>
        <w:tab/>
      </w:r>
      <w:r>
        <w:rPr>
          <w:rFonts w:ascii="Arial" w:eastAsia="Arial" w:hAnsi="Arial" w:cs="Arial"/>
          <w:color w:val="000000"/>
          <w:spacing w:val="0"/>
          <w:w w:val="100"/>
          <w:position w:val="0"/>
          <w:sz w:val="20"/>
          <w:szCs w:val="20"/>
          <w:shd w:val="clear" w:color="auto" w:fill="auto"/>
          <w:lang w:val="cs-CZ" w:eastAsia="cs-CZ" w:bidi="cs-CZ"/>
        </w:rPr>
        <w:t>15 000,00 Kč</w:t>
      </w:r>
    </w:p>
    <w:p>
      <w:pPr>
        <w:pStyle w:val="Style21"/>
        <w:keepNext w:val="0"/>
        <w:keepLines w:val="0"/>
        <w:widowControl w:val="0"/>
        <w:shd w:val="clear" w:color="auto" w:fill="auto"/>
        <w:tabs>
          <w:tab w:pos="8228" w:val="right"/>
          <w:tab w:pos="8423" w:val="right"/>
        </w:tabs>
        <w:bidi w:val="0"/>
        <w:spacing w:before="0" w:after="22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celkem bez DPH</w:t>
        <w:tab/>
      </w:r>
      <w:r>
        <w:rPr>
          <w:rFonts w:ascii="Arial" w:eastAsia="Arial" w:hAnsi="Arial" w:cs="Arial"/>
          <w:color w:val="000000"/>
          <w:spacing w:val="0"/>
          <w:w w:val="100"/>
          <w:position w:val="0"/>
          <w:sz w:val="20"/>
          <w:szCs w:val="20"/>
          <w:shd w:val="clear" w:color="auto" w:fill="auto"/>
          <w:lang w:val="cs-CZ" w:eastAsia="cs-CZ" w:bidi="cs-CZ"/>
        </w:rPr>
        <w:t>118</w:t>
        <w:tab/>
        <w:t>400,00Kč</w:t>
      </w:r>
    </w:p>
    <w:p>
      <w:pPr>
        <w:pStyle w:val="Style2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Uvedené ceny jsou bez DPH 21%.</w:t>
      </w:r>
    </w:p>
    <w:p>
      <w:pPr>
        <w:pStyle w:val="Style2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Při návrhu bylo vycházeno z celostátního ceníku RTS DATA s přihlédnutím k cenové úrovni</w:t>
      </w:r>
    </w:p>
    <w:p>
      <w:pPr>
        <w:pStyle w:val="Style21"/>
        <w:keepNext w:val="0"/>
        <w:keepLines w:val="0"/>
        <w:widowControl w:val="0"/>
        <w:shd w:val="clear" w:color="auto" w:fill="auto"/>
        <w:bidi w:val="0"/>
        <w:spacing w:before="0" w:after="26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2024/I. Pol.Hzs 900-R01 V cenách jsou započítány náklady na dopravu a vypracování revizních zpráv.</w:t>
      </w:r>
    </w:p>
    <w:sectPr>
      <w:headerReference w:type="default" r:id="rId9"/>
      <w:footerReference w:type="default" r:id="rId10"/>
      <w:footnotePr>
        <w:pos w:val="pageBottom"/>
        <w:numFmt w:val="decimal"/>
        <w:numRestart w:val="continuous"/>
      </w:footnotePr>
      <w:pgSz w:w="11909" w:h="16838"/>
      <w:pgMar w:top="1185" w:left="1029" w:right="880" w:bottom="151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9917430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0000000000001pt;margin-top:780.8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5687060</wp:posOffset>
              </wp:positionH>
              <wp:positionV relativeFrom="page">
                <wp:posOffset>9917430</wp:posOffset>
              </wp:positionV>
              <wp:extent cx="978535" cy="201295"/>
              <wp:wrapNone/>
              <wp:docPr id="13" name="Shape 1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9" type="#_x0000_t202" style="position:absolute;margin-left:447.80000000000001pt;margin-top:780.89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434975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34.2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434975</wp:posOffset>
              </wp:positionV>
              <wp:extent cx="920750" cy="191770"/>
              <wp:wrapNone/>
              <wp:docPr id="11" name="Shape 1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7" type="#_x0000_t202" style="position:absolute;margin-left:452.10000000000002pt;margin-top:34.25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