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E0311" w14:textId="77777777" w:rsidR="00C2534A" w:rsidRPr="00783F5C" w:rsidRDefault="00C2534A"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6AD8651D" w14:textId="77777777" w:rsidR="00C2534A" w:rsidRPr="00783F5C" w:rsidRDefault="00C2534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AABE8E3" w14:textId="77777777" w:rsidR="00C2534A" w:rsidRPr="006E2993" w:rsidRDefault="00C2534A"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A30788">
        <w:rPr>
          <w:rFonts w:asciiTheme="minorHAnsi" w:hAnsiTheme="minorHAnsi" w:cstheme="minorHAnsi"/>
          <w:b/>
          <w:bCs/>
          <w:noProof/>
          <w:kern w:val="1"/>
          <w:sz w:val="22"/>
          <w:szCs w:val="22"/>
        </w:rPr>
        <w:t>MSMT-11210/2024-6</w:t>
      </w:r>
    </w:p>
    <w:p w14:paraId="0011F228" w14:textId="77777777" w:rsidR="00C2534A" w:rsidRPr="00783F5C" w:rsidRDefault="00C2534A"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B83AA05" w14:textId="77777777" w:rsidR="00C2534A" w:rsidRPr="00783F5C" w:rsidRDefault="00C2534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51E5238" w14:textId="77777777" w:rsidR="00C2534A" w:rsidRPr="00783F5C" w:rsidRDefault="00C2534A"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744EBA3" w14:textId="77777777" w:rsidR="00C2534A" w:rsidRPr="00783F5C" w:rsidRDefault="00C2534A" w:rsidP="00915076">
      <w:pPr>
        <w:jc w:val="center"/>
        <w:rPr>
          <w:rFonts w:asciiTheme="minorHAnsi" w:hAnsiTheme="minorHAnsi" w:cstheme="minorHAnsi"/>
          <w:b/>
          <w:bCs/>
          <w:sz w:val="22"/>
          <w:szCs w:val="22"/>
        </w:rPr>
      </w:pPr>
    </w:p>
    <w:p w14:paraId="3A109605" w14:textId="77777777" w:rsidR="00C2534A" w:rsidRPr="00783F5C" w:rsidRDefault="00C2534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2958146F" w14:textId="77777777" w:rsidR="00C2534A" w:rsidRPr="00783F5C" w:rsidRDefault="00C2534A" w:rsidP="00915076">
      <w:pPr>
        <w:rPr>
          <w:rFonts w:asciiTheme="minorHAnsi" w:hAnsiTheme="minorHAnsi" w:cstheme="minorHAnsi"/>
          <w:sz w:val="22"/>
          <w:szCs w:val="22"/>
        </w:rPr>
      </w:pPr>
    </w:p>
    <w:p w14:paraId="3314BF44" w14:textId="77777777" w:rsidR="00C2534A" w:rsidRPr="00783F5C" w:rsidRDefault="00C2534A"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3DFA5E7B" w14:textId="77777777" w:rsidR="00C2534A" w:rsidRPr="00783F5C" w:rsidRDefault="00C2534A"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907792A" w14:textId="77777777" w:rsidR="00C2534A" w:rsidRPr="00783F5C" w:rsidRDefault="00C2534A"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EC009FD" w14:textId="77777777" w:rsidR="00C2534A" w:rsidRPr="00783F5C" w:rsidRDefault="00C2534A"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684BFE8F" w14:textId="77777777" w:rsidR="00C2534A" w:rsidRPr="00783F5C" w:rsidRDefault="00C2534A"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46719103" w14:textId="77777777" w:rsidR="00C2534A" w:rsidRPr="00783F5C" w:rsidRDefault="00C2534A"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DD4EA7F" w14:textId="77777777" w:rsidR="00C2534A" w:rsidRDefault="00C2534A" w:rsidP="00374690">
      <w:pPr>
        <w:rPr>
          <w:rFonts w:asciiTheme="minorHAnsi" w:hAnsiTheme="minorHAnsi" w:cstheme="minorHAnsi"/>
          <w:b/>
          <w:bCs/>
          <w:sz w:val="22"/>
          <w:szCs w:val="22"/>
        </w:rPr>
      </w:pPr>
      <w:r w:rsidRPr="00A30788">
        <w:rPr>
          <w:rFonts w:asciiTheme="minorHAnsi" w:hAnsiTheme="minorHAnsi" w:cstheme="minorHAnsi"/>
          <w:b/>
          <w:bCs/>
          <w:noProof/>
          <w:sz w:val="22"/>
          <w:szCs w:val="22"/>
        </w:rPr>
        <w:t>Univerzita Karlova</w:t>
      </w:r>
    </w:p>
    <w:p w14:paraId="3C34CBC6" w14:textId="77777777" w:rsidR="00C2534A" w:rsidRPr="0034126A" w:rsidRDefault="00C2534A"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A30788">
        <w:rPr>
          <w:rFonts w:asciiTheme="minorHAnsi" w:hAnsiTheme="minorHAnsi" w:cstheme="minorHAnsi"/>
          <w:noProof/>
          <w:sz w:val="22"/>
          <w:szCs w:val="22"/>
        </w:rPr>
        <w:t>00216208</w:t>
      </w:r>
    </w:p>
    <w:p w14:paraId="507A4944" w14:textId="77777777" w:rsidR="00C2534A" w:rsidRPr="0034126A" w:rsidRDefault="00C2534A"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A30788">
        <w:rPr>
          <w:rFonts w:asciiTheme="minorHAnsi" w:hAnsiTheme="minorHAnsi" w:cstheme="minorHAnsi"/>
          <w:noProof/>
          <w:sz w:val="22"/>
          <w:szCs w:val="22"/>
        </w:rPr>
        <w:t>veřejná vysoká škola</w:t>
      </w:r>
    </w:p>
    <w:p w14:paraId="7E59837A" w14:textId="77777777" w:rsidR="00C2534A" w:rsidRPr="0034126A" w:rsidRDefault="00C2534A"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A30788">
        <w:rPr>
          <w:rFonts w:asciiTheme="minorHAnsi" w:hAnsiTheme="minorHAnsi" w:cstheme="minorHAnsi"/>
          <w:noProof/>
          <w:sz w:val="22"/>
          <w:szCs w:val="22"/>
        </w:rPr>
        <w:t>Ovocný trh 560/5, 110 00 Praha 1</w:t>
      </w:r>
    </w:p>
    <w:p w14:paraId="4B15CDFD" w14:textId="66AAC58C" w:rsidR="00C2534A" w:rsidRPr="0034126A" w:rsidRDefault="00C2534A"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E8C47B1" w14:textId="77777777" w:rsidR="00C2534A" w:rsidRPr="0034126A" w:rsidRDefault="00C2534A" w:rsidP="00374690">
      <w:pPr>
        <w:rPr>
          <w:rFonts w:asciiTheme="minorHAnsi" w:hAnsiTheme="minorHAnsi" w:cstheme="minorHAnsi"/>
          <w:bCs/>
          <w:sz w:val="22"/>
          <w:szCs w:val="22"/>
        </w:rPr>
      </w:pPr>
      <w:r w:rsidRPr="0034126A">
        <w:rPr>
          <w:rFonts w:asciiTheme="minorHAnsi" w:hAnsiTheme="minorHAnsi" w:cstheme="minorHAnsi"/>
          <w:bCs/>
          <w:sz w:val="22"/>
          <w:szCs w:val="22"/>
        </w:rPr>
        <w:t>zastoupená:</w:t>
      </w:r>
      <w:r>
        <w:rPr>
          <w:rFonts w:asciiTheme="minorHAnsi" w:hAnsiTheme="minorHAnsi" w:cstheme="minorHAnsi"/>
          <w:bCs/>
          <w:sz w:val="22"/>
          <w:szCs w:val="22"/>
        </w:rPr>
        <w:t xml:space="preserve"> </w:t>
      </w:r>
      <w:r w:rsidRPr="00A30788">
        <w:rPr>
          <w:rFonts w:asciiTheme="minorHAnsi" w:hAnsiTheme="minorHAnsi" w:cstheme="minorHAnsi"/>
          <w:bCs/>
          <w:noProof/>
          <w:sz w:val="22"/>
          <w:szCs w:val="22"/>
        </w:rPr>
        <w:t>prof. MUDr. Milenou Králíčkovou, Ph.D., rektorkou</w:t>
      </w:r>
    </w:p>
    <w:p w14:paraId="06A7108B" w14:textId="77777777" w:rsidR="00C2534A" w:rsidRPr="0034126A" w:rsidRDefault="00C2534A"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523263A9" w14:textId="77777777" w:rsidR="00C2534A" w:rsidRDefault="00C2534A" w:rsidP="00915076">
      <w:pPr>
        <w:rPr>
          <w:rFonts w:asciiTheme="minorHAnsi" w:hAnsiTheme="minorHAnsi" w:cstheme="minorHAnsi"/>
          <w:sz w:val="22"/>
          <w:szCs w:val="22"/>
        </w:rPr>
      </w:pPr>
    </w:p>
    <w:p w14:paraId="722628F4" w14:textId="77777777" w:rsidR="00C2534A" w:rsidRPr="00783F5C" w:rsidRDefault="00C2534A" w:rsidP="00915076">
      <w:pPr>
        <w:rPr>
          <w:rFonts w:asciiTheme="minorHAnsi" w:hAnsiTheme="minorHAnsi" w:cstheme="minorHAnsi"/>
          <w:sz w:val="22"/>
          <w:szCs w:val="22"/>
        </w:rPr>
      </w:pPr>
    </w:p>
    <w:p w14:paraId="3CFDFB52" w14:textId="77777777" w:rsidR="00C2534A" w:rsidRPr="00783F5C" w:rsidRDefault="00C2534A"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769F5B2B" w14:textId="77777777" w:rsidR="00C2534A" w:rsidRPr="00783F5C" w:rsidRDefault="00C2534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A796D6A" w14:textId="77777777" w:rsidR="00C2534A" w:rsidRPr="00783F5C" w:rsidRDefault="00C2534A" w:rsidP="00915076">
      <w:pPr>
        <w:jc w:val="center"/>
        <w:rPr>
          <w:rFonts w:asciiTheme="minorHAnsi" w:hAnsiTheme="minorHAnsi" w:cstheme="minorHAnsi"/>
          <w:sz w:val="22"/>
          <w:szCs w:val="22"/>
        </w:rPr>
      </w:pPr>
    </w:p>
    <w:p w14:paraId="7F6771D1" w14:textId="77777777" w:rsidR="00C2534A" w:rsidRPr="00783F5C" w:rsidRDefault="00C2534A"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3E8657DC" w14:textId="77777777" w:rsidR="00C2534A" w:rsidRPr="00783F5C" w:rsidRDefault="00C2534A" w:rsidP="00915076">
      <w:pPr>
        <w:tabs>
          <w:tab w:val="left" w:pos="7655"/>
        </w:tabs>
        <w:jc w:val="both"/>
        <w:rPr>
          <w:rFonts w:asciiTheme="minorHAnsi" w:hAnsiTheme="minorHAnsi" w:cstheme="minorHAnsi"/>
          <w:sz w:val="22"/>
          <w:szCs w:val="22"/>
        </w:rPr>
      </w:pPr>
    </w:p>
    <w:p w14:paraId="42E5735B" w14:textId="77777777" w:rsidR="00C2534A" w:rsidRPr="00783F5C" w:rsidRDefault="00C2534A" w:rsidP="00397472">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77873B21" w14:textId="77777777" w:rsidR="00C2534A" w:rsidRPr="00783F5C" w:rsidRDefault="00C2534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19F44F5C" w14:textId="77777777" w:rsidR="00C2534A" w:rsidRPr="00783F5C" w:rsidRDefault="00C2534A"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A30788">
        <w:rPr>
          <w:rFonts w:asciiTheme="minorHAnsi" w:hAnsiTheme="minorHAnsi" w:cstheme="minorHAnsi"/>
          <w:b/>
          <w:bCs/>
          <w:noProof/>
          <w:sz w:val="22"/>
          <w:szCs w:val="22"/>
        </w:rPr>
        <w:t>LUAIZ24104</w:t>
      </w:r>
      <w:r w:rsidRPr="0034126A">
        <w:rPr>
          <w:rFonts w:asciiTheme="minorHAnsi" w:hAnsiTheme="minorHAnsi" w:cstheme="minorHAnsi"/>
          <w:sz w:val="22"/>
          <w:szCs w:val="22"/>
        </w:rPr>
        <w:t xml:space="preserve"> a s názvem </w:t>
      </w:r>
      <w:r w:rsidRPr="00B96FBC">
        <w:rPr>
          <w:rFonts w:asciiTheme="minorHAnsi" w:hAnsiTheme="minorHAnsi" w:cstheme="minorHAnsi"/>
          <w:b/>
          <w:bCs/>
          <w:sz w:val="22"/>
          <w:szCs w:val="22"/>
        </w:rPr>
        <w:t>„</w:t>
      </w:r>
      <w:r w:rsidRPr="00A30788">
        <w:rPr>
          <w:rFonts w:asciiTheme="minorHAnsi" w:hAnsiTheme="minorHAnsi" w:cstheme="minorHAnsi"/>
          <w:b/>
          <w:bCs/>
          <w:noProof/>
          <w:sz w:val="22"/>
          <w:szCs w:val="22"/>
        </w:rPr>
        <w:t>Robustní provádění plánů pro multirobotické plánování cest</w:t>
      </w:r>
      <w:r w:rsidRPr="00B96FBC">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w:t>
      </w:r>
      <w:r w:rsidRPr="00783F5C">
        <w:rPr>
          <w:rFonts w:asciiTheme="minorHAnsi" w:hAnsiTheme="minorHAnsi" w:cstheme="minorHAnsi"/>
          <w:sz w:val="22"/>
          <w:szCs w:val="22"/>
        </w:rPr>
        <w:lastRenderedPageBreak/>
        <w:t xml:space="preserve">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4C954554" w14:textId="77777777" w:rsidR="00C2534A" w:rsidRPr="00783F5C" w:rsidRDefault="00C2534A"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1591773E" w14:textId="77777777" w:rsidR="00C2534A" w:rsidRPr="00ED104F" w:rsidRDefault="00C2534A"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08984331" w14:textId="798881CF" w:rsidR="00C2534A" w:rsidRPr="000C0E9F" w:rsidRDefault="00C2534A"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54567515" w14:textId="77777777" w:rsidR="00C2534A" w:rsidRPr="00ED104F" w:rsidRDefault="00C2534A" w:rsidP="00915076">
      <w:pPr>
        <w:tabs>
          <w:tab w:val="left" w:pos="567"/>
        </w:tabs>
        <w:spacing w:before="120"/>
        <w:ind w:left="567"/>
        <w:jc w:val="both"/>
        <w:rPr>
          <w:rFonts w:asciiTheme="minorHAnsi" w:hAnsiTheme="minorHAnsi" w:cstheme="minorHAnsi"/>
          <w:sz w:val="22"/>
          <w:szCs w:val="22"/>
        </w:rPr>
      </w:pPr>
    </w:p>
    <w:p w14:paraId="13D68F02" w14:textId="77777777" w:rsidR="00C2534A" w:rsidRPr="00ED104F" w:rsidRDefault="00C2534A" w:rsidP="00397472">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2938F42E" w14:textId="77777777" w:rsidR="00C2534A" w:rsidRPr="00ED104F" w:rsidRDefault="00C2534A"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8FC41E3" w14:textId="77777777" w:rsidR="00C2534A" w:rsidRPr="00783F5C" w:rsidRDefault="00C2534A" w:rsidP="00397472">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0784548" w14:textId="77777777" w:rsidR="00C2534A" w:rsidRPr="00783F5C" w:rsidRDefault="00C2534A" w:rsidP="00397472">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3106AE41" w14:textId="77777777" w:rsidR="00C2534A" w:rsidRPr="00783F5C" w:rsidRDefault="00C2534A" w:rsidP="00397472">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6857B7F2" w14:textId="77777777" w:rsidR="00C2534A" w:rsidRPr="00783F5C" w:rsidRDefault="00C2534A" w:rsidP="00397472">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0838B1EF" w14:textId="77777777" w:rsidR="00C2534A" w:rsidRPr="00783F5C" w:rsidRDefault="00C2534A" w:rsidP="00397472">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020ECA56" w14:textId="77777777" w:rsidR="00C2534A" w:rsidRPr="00783F5C" w:rsidRDefault="00C2534A" w:rsidP="00397472">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0C74F4AD" w14:textId="77777777" w:rsidR="00C2534A" w:rsidRPr="00783F5C" w:rsidRDefault="00C2534A" w:rsidP="00397472">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7DDB4380" w14:textId="77777777" w:rsidR="00C2534A" w:rsidRPr="00783F5C" w:rsidRDefault="00C2534A"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FB96E3D" w14:textId="77777777" w:rsidR="00C2534A" w:rsidRPr="00783F5C" w:rsidRDefault="00C2534A" w:rsidP="00397472">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67C708AD" w14:textId="3811951E" w:rsidR="00C2534A" w:rsidRPr="00ED104F" w:rsidRDefault="00C2534A" w:rsidP="00397472">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A30788">
        <w:rPr>
          <w:rFonts w:ascii="Calibri" w:hAnsi="Calibri" w:cs="Calibri"/>
          <w:b/>
          <w:noProof/>
          <w:color w:val="000000" w:themeColor="text1"/>
          <w:sz w:val="22"/>
          <w:szCs w:val="22"/>
        </w:rPr>
        <w:t>2</w:t>
      </w:r>
      <w:r>
        <w:rPr>
          <w:rFonts w:ascii="Calibri" w:hAnsi="Calibri" w:cs="Calibri"/>
          <w:b/>
          <w:noProof/>
          <w:color w:val="000000" w:themeColor="text1"/>
          <w:sz w:val="22"/>
          <w:szCs w:val="22"/>
        </w:rPr>
        <w:t> </w:t>
      </w:r>
      <w:r w:rsidRPr="00A30788">
        <w:rPr>
          <w:rFonts w:ascii="Calibri" w:hAnsi="Calibri" w:cs="Calibri"/>
          <w:b/>
          <w:noProof/>
          <w:color w:val="000000" w:themeColor="text1"/>
          <w:sz w:val="22"/>
          <w:szCs w:val="22"/>
        </w:rPr>
        <w:t>500</w:t>
      </w:r>
      <w:r>
        <w:rPr>
          <w:rFonts w:ascii="Calibri" w:hAnsi="Calibri" w:cs="Calibri"/>
          <w:b/>
          <w:noProof/>
          <w:color w:val="000000" w:themeColor="text1"/>
          <w:sz w:val="22"/>
          <w:szCs w:val="22"/>
        </w:rPr>
        <w:t xml:space="preserve"> </w:t>
      </w:r>
      <w:r w:rsidRPr="00A30788">
        <w:rPr>
          <w:rFonts w:ascii="Calibri" w:hAnsi="Calibri" w:cs="Calibri"/>
          <w:b/>
          <w:noProof/>
          <w:color w:val="000000" w:themeColor="text1"/>
          <w:sz w:val="22"/>
          <w:szCs w:val="22"/>
        </w:rPr>
        <w:t>000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w:t>
      </w:r>
      <w:r>
        <w:rPr>
          <w:rFonts w:ascii="Calibri" w:hAnsi="Calibri" w:cs="Calibri"/>
          <w:color w:val="000000"/>
          <w:sz w:val="22"/>
          <w:szCs w:val="22"/>
        </w:rPr>
        <w:t xml:space="preserve"> </w:t>
      </w:r>
      <w:r w:rsidRPr="00A30788">
        <w:rPr>
          <w:rFonts w:ascii="Calibri" w:hAnsi="Calibri" w:cs="Calibri"/>
          <w:b/>
          <w:bCs/>
          <w:noProof/>
          <w:color w:val="000000"/>
          <w:sz w:val="22"/>
          <w:szCs w:val="22"/>
        </w:rPr>
        <w:t>dva miliony pět set tisíc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59A4D1FA" w14:textId="77777777" w:rsidR="00C2534A" w:rsidRPr="00783F5C" w:rsidRDefault="00C2534A" w:rsidP="00397472">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23184AB3" w14:textId="77777777" w:rsidR="00C2534A" w:rsidRPr="00783F5C" w:rsidRDefault="00C2534A" w:rsidP="00397472">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5F67790" w14:textId="77777777" w:rsidR="00C2534A" w:rsidRPr="00783F5C" w:rsidRDefault="00C2534A" w:rsidP="00397472">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0B55B48B" w14:textId="77777777" w:rsidR="00C2534A" w:rsidRPr="00AC6E6A" w:rsidRDefault="00C2534A"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71FBFB41" w14:textId="77777777" w:rsidR="00C2534A" w:rsidRPr="00AC6E6A" w:rsidRDefault="00C2534A"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6AE2E6BE" w14:textId="77777777" w:rsidR="00C2534A" w:rsidRPr="00AC6E6A" w:rsidRDefault="00C2534A"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DBB0A3A" w14:textId="77777777" w:rsidR="00C2534A" w:rsidRPr="00AC6E6A" w:rsidRDefault="00C2534A" w:rsidP="00397472">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 xml:space="preserve">srpna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B8408A5" w14:textId="77777777" w:rsidR="00C2534A" w:rsidRDefault="00C2534A" w:rsidP="00397472">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31. července</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034C76EA" w14:textId="77777777" w:rsidR="00C2534A" w:rsidRPr="00AC6E6A" w:rsidRDefault="00C2534A" w:rsidP="002D16D9">
      <w:pPr>
        <w:pStyle w:val="Odstavec-1"/>
        <w:spacing w:after="0"/>
        <w:ind w:left="567" w:firstLine="0"/>
        <w:rPr>
          <w:rFonts w:asciiTheme="minorHAnsi" w:hAnsiTheme="minorHAnsi" w:cstheme="minorHAnsi"/>
          <w:sz w:val="22"/>
          <w:szCs w:val="22"/>
        </w:rPr>
      </w:pPr>
    </w:p>
    <w:p w14:paraId="277AA1BC" w14:textId="77777777" w:rsidR="00C2534A" w:rsidRPr="00783F5C" w:rsidRDefault="00C2534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269B8204" w14:textId="77777777" w:rsidR="00C2534A" w:rsidRPr="00783F5C" w:rsidRDefault="00C2534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6D7A055" w14:textId="77777777" w:rsidR="00C2534A" w:rsidRPr="00783F5C" w:rsidRDefault="00C2534A" w:rsidP="00397472">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92E9E4C" w14:textId="62ABD479" w:rsidR="00C2534A" w:rsidRPr="00783F5C" w:rsidRDefault="00C2534A" w:rsidP="00397472">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A30788">
        <w:rPr>
          <w:rFonts w:asciiTheme="minorHAnsi" w:hAnsiTheme="minorHAnsi" w:cstheme="minorHAnsi"/>
          <w:b/>
          <w:noProof/>
          <w:sz w:val="22"/>
          <w:szCs w:val="22"/>
        </w:rPr>
        <w:t>2</w:t>
      </w:r>
      <w:r>
        <w:rPr>
          <w:rFonts w:asciiTheme="minorHAnsi" w:hAnsiTheme="minorHAnsi" w:cstheme="minorHAnsi"/>
          <w:b/>
          <w:noProof/>
          <w:sz w:val="22"/>
          <w:szCs w:val="22"/>
        </w:rPr>
        <w:t> </w:t>
      </w:r>
      <w:r w:rsidRPr="00A30788">
        <w:rPr>
          <w:rFonts w:asciiTheme="minorHAnsi" w:hAnsiTheme="minorHAnsi" w:cstheme="minorHAnsi"/>
          <w:b/>
          <w:noProof/>
          <w:sz w:val="22"/>
          <w:szCs w:val="22"/>
        </w:rPr>
        <w:t>500</w:t>
      </w:r>
      <w:r>
        <w:rPr>
          <w:rFonts w:asciiTheme="minorHAnsi" w:hAnsiTheme="minorHAnsi" w:cstheme="minorHAnsi"/>
          <w:b/>
          <w:noProof/>
          <w:sz w:val="22"/>
          <w:szCs w:val="22"/>
        </w:rPr>
        <w:t xml:space="preserve"> </w:t>
      </w:r>
      <w:r w:rsidRPr="00A30788">
        <w:rPr>
          <w:rFonts w:asciiTheme="minorHAnsi" w:hAnsiTheme="minorHAnsi" w:cstheme="minorHAnsi"/>
          <w:b/>
          <w:noProof/>
          <w:sz w:val="22"/>
          <w:szCs w:val="22"/>
        </w:rPr>
        <w:t>000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A30788">
        <w:rPr>
          <w:rFonts w:ascii="Calibri" w:hAnsi="Calibri" w:cs="Calibri"/>
          <w:b/>
          <w:bCs/>
          <w:noProof/>
          <w:color w:val="000000"/>
          <w:sz w:val="22"/>
          <w:szCs w:val="22"/>
        </w:rPr>
        <w:t>dva miliony pět set tisíc korun českých</w:t>
      </w:r>
      <w:r w:rsidRPr="00236109">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C7B6CAD" w14:textId="77777777" w:rsidR="00C2534A" w:rsidRPr="001B1B88" w:rsidRDefault="00C2534A" w:rsidP="00397472">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060502FE" w14:textId="77777777" w:rsidR="00C2534A" w:rsidRPr="001B1B88" w:rsidRDefault="00C2534A" w:rsidP="00397472">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09506B18" w14:textId="77777777" w:rsidR="00C2534A" w:rsidRPr="00783F5C" w:rsidRDefault="00C2534A" w:rsidP="002D16D9">
      <w:pPr>
        <w:pStyle w:val="Odstavecseseznamem"/>
        <w:ind w:left="1701" w:hanging="283"/>
        <w:jc w:val="both"/>
        <w:rPr>
          <w:rFonts w:asciiTheme="minorHAnsi" w:hAnsiTheme="minorHAnsi" w:cstheme="minorHAnsi"/>
          <w:sz w:val="22"/>
          <w:szCs w:val="22"/>
        </w:rPr>
      </w:pPr>
    </w:p>
    <w:p w14:paraId="6D29409F" w14:textId="77777777" w:rsidR="00C2534A" w:rsidRPr="00783F5C" w:rsidRDefault="00C2534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62A109D9" w14:textId="77777777" w:rsidR="00C2534A" w:rsidRPr="00783F5C" w:rsidRDefault="00C2534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5703ADDC" w14:textId="77777777" w:rsidR="00C2534A" w:rsidRPr="00783F5C" w:rsidRDefault="00C2534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331BD91" w14:textId="77777777" w:rsidR="00C2534A" w:rsidRPr="00783F5C" w:rsidRDefault="00C2534A"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66424C0D" w14:textId="77777777" w:rsidR="00C2534A" w:rsidRPr="00783F5C" w:rsidRDefault="00C2534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186C698A" w14:textId="77777777" w:rsidR="00C2534A" w:rsidRPr="00783F5C" w:rsidRDefault="00C2534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12198C4E" w14:textId="77777777" w:rsidR="00C2534A" w:rsidRDefault="00C2534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79285683" w14:textId="77777777" w:rsidR="00C2534A" w:rsidRPr="00783F5C" w:rsidRDefault="00C2534A" w:rsidP="002D16D9">
      <w:pPr>
        <w:pStyle w:val="Odstavecseseznamem"/>
        <w:tabs>
          <w:tab w:val="left" w:pos="567"/>
        </w:tabs>
        <w:ind w:left="567"/>
        <w:jc w:val="both"/>
        <w:rPr>
          <w:rFonts w:asciiTheme="minorHAnsi" w:hAnsiTheme="minorHAnsi" w:cstheme="minorHAnsi"/>
          <w:sz w:val="22"/>
          <w:szCs w:val="22"/>
        </w:rPr>
      </w:pPr>
    </w:p>
    <w:p w14:paraId="1B8BD90D" w14:textId="77777777" w:rsidR="00C2534A" w:rsidRPr="00783F5C" w:rsidRDefault="00C2534A" w:rsidP="002D16D9">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5F128C21" w14:textId="77777777" w:rsidR="00C2534A" w:rsidRPr="00783F5C" w:rsidRDefault="00C2534A" w:rsidP="00397472">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596C7F8" w14:textId="77777777" w:rsidR="00C2534A" w:rsidRPr="00783F5C" w:rsidRDefault="00C2534A" w:rsidP="00397472">
      <w:pPr>
        <w:pStyle w:val="Bezmezer"/>
        <w:numPr>
          <w:ilvl w:val="0"/>
          <w:numId w:val="15"/>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64826A34" w14:textId="77777777" w:rsidR="00C2534A" w:rsidRPr="00783F5C" w:rsidRDefault="00C2534A" w:rsidP="00397472">
      <w:pPr>
        <w:pStyle w:val="Bezmezer"/>
        <w:numPr>
          <w:ilvl w:val="0"/>
          <w:numId w:val="15"/>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7A31496B" w14:textId="77777777" w:rsidR="00C2534A" w:rsidRPr="00783F5C" w:rsidRDefault="00C2534A" w:rsidP="00397472">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4FDA89BA" w14:textId="77777777" w:rsidR="00C2534A" w:rsidRPr="00783F5C" w:rsidRDefault="00C2534A" w:rsidP="00397472">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5157DB18" w14:textId="5A75ADAE" w:rsidR="00EE5F4D" w:rsidRPr="00783F5C" w:rsidRDefault="00EE5F4D" w:rsidP="00397472">
      <w:pPr>
        <w:pStyle w:val="Odstavec-1"/>
        <w:numPr>
          <w:ilvl w:val="0"/>
          <w:numId w:val="16"/>
        </w:numPr>
        <w:spacing w:before="240"/>
        <w:ind w:left="567" w:hanging="567"/>
        <w:rPr>
          <w:rFonts w:asciiTheme="minorHAnsi" w:hAnsiTheme="minorHAnsi" w:cstheme="minorHAnsi"/>
          <w:sz w:val="22"/>
          <w:szCs w:val="22"/>
        </w:rPr>
      </w:pPr>
      <w:r w:rsidRPr="00EE5F4D">
        <w:rPr>
          <w:rFonts w:asciiTheme="minorHAnsi" w:hAnsiTheme="minorHAnsi" w:cstheme="minorHAnsi"/>
          <w:sz w:val="22"/>
          <w:szCs w:val="22"/>
        </w:rPr>
        <w:t xml:space="preserve">Příjemce je povinen vypořádat dotaci se státním rozpočtem podle § 75 zákona č. 218/2000 Sb., rozpočtová pravidla, a platné vyhlášky vydané Ministerstvem financí k jeho provedení.   </w:t>
      </w:r>
    </w:p>
    <w:p w14:paraId="0083936E" w14:textId="77777777" w:rsidR="00157EEF" w:rsidRDefault="00C2534A" w:rsidP="00397472">
      <w:pPr>
        <w:pStyle w:val="Odstavec-1"/>
        <w:numPr>
          <w:ilvl w:val="0"/>
          <w:numId w:val="16"/>
        </w:numPr>
        <w:spacing w:before="240"/>
        <w:ind w:left="567" w:hanging="567"/>
        <w:rPr>
          <w:rFonts w:asciiTheme="minorHAnsi" w:hAnsiTheme="minorHAnsi" w:cstheme="minorHAnsi"/>
          <w:sz w:val="22"/>
          <w:szCs w:val="22"/>
        </w:rPr>
      </w:pPr>
      <w:r w:rsidRPr="00157EEF">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57EEF">
        <w:rPr>
          <w:rFonts w:asciiTheme="minorHAnsi" w:hAnsiTheme="minorHAnsi" w:cstheme="minorHAnsi"/>
          <w:b/>
          <w:sz w:val="22"/>
          <w:szCs w:val="22"/>
        </w:rPr>
        <w:t>30. ledna</w:t>
      </w:r>
      <w:r w:rsidRPr="00157EEF">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57EEF">
        <w:rPr>
          <w:rFonts w:asciiTheme="minorHAnsi" w:hAnsiTheme="minorHAnsi" w:cstheme="minorHAnsi"/>
          <w:b/>
          <w:sz w:val="22"/>
          <w:szCs w:val="22"/>
        </w:rPr>
        <w:t>30 kalendářních dnů</w:t>
      </w:r>
      <w:r w:rsidRPr="00157EEF">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157EEF">
        <w:rPr>
          <w:rFonts w:asciiTheme="minorHAnsi" w:hAnsiTheme="minorHAnsi" w:cstheme="minorHAnsi"/>
          <w:sz w:val="22"/>
          <w:szCs w:val="22"/>
        </w:rPr>
        <w:t>předloží</w:t>
      </w:r>
      <w:proofErr w:type="gramEnd"/>
      <w:r w:rsidRPr="00157EEF">
        <w:rPr>
          <w:rFonts w:asciiTheme="minorHAnsi" w:hAnsiTheme="minorHAnsi" w:cstheme="minorHAnsi"/>
          <w:sz w:val="22"/>
          <w:szCs w:val="22"/>
        </w:rPr>
        <w:t xml:space="preserve"> poskytovateli souhrnné vyúčtování uznaných nákladů nejpozději do </w:t>
      </w:r>
      <w:r w:rsidRPr="00157EEF">
        <w:rPr>
          <w:rFonts w:asciiTheme="minorHAnsi" w:hAnsiTheme="minorHAnsi" w:cstheme="minorHAnsi"/>
          <w:b/>
          <w:sz w:val="22"/>
          <w:szCs w:val="22"/>
        </w:rPr>
        <w:t>60</w:t>
      </w:r>
      <w:r w:rsidRPr="00157EEF">
        <w:rPr>
          <w:rFonts w:asciiTheme="minorHAnsi" w:hAnsiTheme="minorHAnsi" w:cstheme="minorHAnsi"/>
          <w:sz w:val="22"/>
          <w:szCs w:val="22"/>
        </w:rPr>
        <w:t xml:space="preserve"> </w:t>
      </w:r>
      <w:r w:rsidRPr="00157EEF">
        <w:rPr>
          <w:rFonts w:asciiTheme="minorHAnsi" w:hAnsiTheme="minorHAnsi" w:cstheme="minorHAnsi"/>
          <w:b/>
          <w:sz w:val="22"/>
          <w:szCs w:val="22"/>
        </w:rPr>
        <w:t>kalendářních dnů</w:t>
      </w:r>
      <w:r w:rsidRPr="00157EEF">
        <w:rPr>
          <w:rFonts w:asciiTheme="minorHAnsi" w:hAnsiTheme="minorHAnsi" w:cstheme="minorHAnsi"/>
          <w:sz w:val="22"/>
          <w:szCs w:val="22"/>
        </w:rPr>
        <w:t xml:space="preserve"> po tomto mimořádném ukončení řešení Projektu.</w:t>
      </w:r>
      <w:r w:rsidR="00157EEF">
        <w:rPr>
          <w:rFonts w:asciiTheme="minorHAnsi" w:hAnsiTheme="minorHAnsi" w:cstheme="minorHAnsi"/>
          <w:sz w:val="22"/>
          <w:szCs w:val="22"/>
        </w:rPr>
        <w:t xml:space="preserve"> </w:t>
      </w:r>
    </w:p>
    <w:p w14:paraId="3F8B7034" w14:textId="3E2DDCFC" w:rsidR="00157EEF" w:rsidRPr="00157EEF" w:rsidRDefault="00157EEF" w:rsidP="00397472">
      <w:pPr>
        <w:pStyle w:val="Odstavec-1"/>
        <w:numPr>
          <w:ilvl w:val="0"/>
          <w:numId w:val="16"/>
        </w:numPr>
        <w:spacing w:before="240"/>
        <w:ind w:left="567" w:hanging="567"/>
        <w:rPr>
          <w:rFonts w:asciiTheme="minorHAnsi" w:hAnsiTheme="minorHAnsi" w:cstheme="minorHAnsi"/>
          <w:sz w:val="22"/>
          <w:szCs w:val="22"/>
        </w:rPr>
      </w:pPr>
      <w:r w:rsidRPr="00157EEF">
        <w:rPr>
          <w:rFonts w:asciiTheme="minorHAnsi" w:hAnsiTheme="minorHAnsi" w:cstheme="minorHAnsi"/>
          <w:sz w:val="22"/>
          <w:szCs w:val="22"/>
        </w:rPr>
        <w:t xml:space="preserve">V případě, že příjemce </w:t>
      </w:r>
      <w:proofErr w:type="gramStart"/>
      <w:r w:rsidRPr="00157EEF">
        <w:rPr>
          <w:rFonts w:asciiTheme="minorHAnsi" w:hAnsiTheme="minorHAnsi" w:cstheme="minorHAnsi"/>
          <w:sz w:val="22"/>
          <w:szCs w:val="22"/>
        </w:rPr>
        <w:t>vytváří</w:t>
      </w:r>
      <w:proofErr w:type="gramEnd"/>
      <w:r w:rsidRPr="00157EEF">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0241EFF5" w14:textId="77777777" w:rsidR="00157EEF" w:rsidRDefault="00157EEF" w:rsidP="00AD23EF">
      <w:pPr>
        <w:pStyle w:val="Odstavec-1"/>
        <w:keepNext/>
        <w:spacing w:after="0"/>
        <w:ind w:left="709" w:hanging="709"/>
        <w:jc w:val="center"/>
        <w:rPr>
          <w:rFonts w:asciiTheme="minorHAnsi" w:hAnsiTheme="minorHAnsi" w:cstheme="minorHAnsi"/>
          <w:b/>
          <w:bCs/>
          <w:sz w:val="22"/>
          <w:szCs w:val="22"/>
        </w:rPr>
      </w:pPr>
    </w:p>
    <w:p w14:paraId="5116181A" w14:textId="52BB9B4E" w:rsidR="00C2534A" w:rsidRPr="00783F5C" w:rsidRDefault="00C2534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7A77602" w14:textId="77777777" w:rsidR="00C2534A" w:rsidRPr="00783F5C" w:rsidRDefault="00C2534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E671F64" w14:textId="77777777" w:rsidR="00C2534A" w:rsidRPr="00783F5C" w:rsidRDefault="00C2534A" w:rsidP="002D16D9">
      <w:pPr>
        <w:pStyle w:val="Odstavec-1"/>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652C120C" w14:textId="77777777" w:rsidR="00C2534A" w:rsidRPr="00783F5C"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66BD4494" w14:textId="77777777" w:rsidR="00C2534A" w:rsidRPr="00783F5C" w:rsidRDefault="00C2534A" w:rsidP="00397472">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05FCC307" w14:textId="77777777" w:rsidR="00C2534A" w:rsidRPr="00783F5C"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4CD28E2D" w14:textId="77777777" w:rsidR="00C2534A" w:rsidRPr="00783F5C"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44A53BC0" w14:textId="77777777" w:rsidR="00C2534A" w:rsidRPr="00783F5C" w:rsidRDefault="00C2534A" w:rsidP="00397472">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1F201B4" w14:textId="77777777" w:rsidR="00C2534A" w:rsidRPr="00783F5C"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C381EC6" w14:textId="77777777" w:rsidR="00C2534A" w:rsidRPr="00783F5C" w:rsidRDefault="00C2534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001573D" w14:textId="77777777" w:rsidR="00C2534A" w:rsidRPr="00783F5C" w:rsidRDefault="00C2534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2E7C99AD" w14:textId="77777777" w:rsidR="00C2534A" w:rsidRPr="00783F5C" w:rsidRDefault="00C2534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7D204581" w14:textId="77777777" w:rsidR="00C2534A" w:rsidRPr="00783F5C"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5A1766E3" w14:textId="77777777" w:rsidR="00C2534A" w:rsidRPr="00783F5C"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4ED30A93" w14:textId="77777777" w:rsidR="00C2534A" w:rsidRPr="00783F5C"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114989C3" w14:textId="77777777" w:rsidR="00C2534A"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D36C7F2" w14:textId="77777777" w:rsidR="00C2534A"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9A15B0A" w14:textId="77777777" w:rsidR="00C2534A" w:rsidRPr="00783F5C" w:rsidRDefault="00C2534A" w:rsidP="00397472">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E2E7D74" w14:textId="77777777" w:rsidR="00C2534A" w:rsidRPr="00783F5C" w:rsidRDefault="00C2534A" w:rsidP="00AD23EF">
      <w:pPr>
        <w:pStyle w:val="Odstavec-1"/>
        <w:keepNext/>
        <w:spacing w:after="0"/>
        <w:ind w:left="709" w:hanging="709"/>
        <w:jc w:val="center"/>
        <w:rPr>
          <w:rFonts w:asciiTheme="minorHAnsi" w:hAnsiTheme="minorHAnsi" w:cstheme="minorHAnsi"/>
          <w:b/>
          <w:sz w:val="22"/>
          <w:szCs w:val="22"/>
        </w:rPr>
      </w:pPr>
    </w:p>
    <w:p w14:paraId="688F976A" w14:textId="77777777" w:rsidR="00C2534A" w:rsidRPr="00783F5C" w:rsidRDefault="00C2534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B0BA43" w14:textId="77777777" w:rsidR="00C2534A" w:rsidRPr="00783F5C" w:rsidRDefault="00C2534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01E686BE" w14:textId="77777777" w:rsidR="00C2534A" w:rsidRPr="00783F5C" w:rsidRDefault="00C2534A" w:rsidP="00397472">
      <w:pPr>
        <w:pStyle w:val="Bezmezer"/>
        <w:numPr>
          <w:ilvl w:val="0"/>
          <w:numId w:val="17"/>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03CBD7CE" w14:textId="77777777" w:rsidR="00C2534A" w:rsidRPr="00783F5C" w:rsidRDefault="00C2534A" w:rsidP="00397472">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3E22B6D5" w14:textId="77777777" w:rsidR="00C2534A" w:rsidRPr="00783F5C" w:rsidRDefault="00C2534A" w:rsidP="00397472">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54CCCE4D" w14:textId="77777777" w:rsidR="00C2534A" w:rsidRPr="00783F5C" w:rsidRDefault="00C2534A" w:rsidP="00397472">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50135516" w14:textId="77777777" w:rsidR="00C2534A" w:rsidRPr="00783F5C" w:rsidRDefault="00C2534A" w:rsidP="00397472">
      <w:pPr>
        <w:pStyle w:val="Bezmezer"/>
        <w:numPr>
          <w:ilvl w:val="0"/>
          <w:numId w:val="17"/>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0B4032A" w14:textId="77777777" w:rsidR="00C2534A" w:rsidRDefault="00C2534A" w:rsidP="00397472">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4EA1163" w14:textId="77777777" w:rsidR="00C2534A" w:rsidRPr="00783F5C" w:rsidRDefault="00C2534A" w:rsidP="00AD23EF">
      <w:pPr>
        <w:pStyle w:val="Bezmezer"/>
        <w:jc w:val="center"/>
        <w:rPr>
          <w:rFonts w:cstheme="minorHAnsi"/>
          <w:b/>
        </w:rPr>
      </w:pPr>
    </w:p>
    <w:p w14:paraId="02A9E679" w14:textId="77777777" w:rsidR="00C2534A" w:rsidRPr="00783F5C" w:rsidRDefault="00C2534A" w:rsidP="00AD23EF">
      <w:pPr>
        <w:pStyle w:val="Bezmezer"/>
        <w:jc w:val="center"/>
        <w:rPr>
          <w:rFonts w:cstheme="minorHAnsi"/>
          <w:b/>
        </w:rPr>
      </w:pPr>
      <w:r w:rsidRPr="00783F5C">
        <w:rPr>
          <w:rFonts w:cstheme="minorHAnsi"/>
          <w:b/>
        </w:rPr>
        <w:t>Článek 9</w:t>
      </w:r>
    </w:p>
    <w:p w14:paraId="4AFB6BD3" w14:textId="77777777" w:rsidR="00C2534A" w:rsidRPr="00783F5C" w:rsidRDefault="00C2534A" w:rsidP="00AD23EF">
      <w:pPr>
        <w:pStyle w:val="Bezmezer"/>
        <w:jc w:val="center"/>
        <w:rPr>
          <w:rFonts w:cstheme="minorHAnsi"/>
          <w:b/>
        </w:rPr>
      </w:pPr>
      <w:r w:rsidRPr="00783F5C">
        <w:rPr>
          <w:rFonts w:cstheme="minorHAnsi"/>
          <w:b/>
        </w:rPr>
        <w:t>Porušení rozpočtové kázně</w:t>
      </w:r>
    </w:p>
    <w:p w14:paraId="2A645C84" w14:textId="77777777" w:rsidR="00C2534A" w:rsidRPr="00AC6E6A" w:rsidRDefault="00C2534A" w:rsidP="00397472">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673DFCC8" w14:textId="77777777" w:rsidR="00C2534A" w:rsidRPr="00783F5C" w:rsidRDefault="00C2534A" w:rsidP="00397472">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01773C6" w14:textId="77777777" w:rsidR="00C2534A" w:rsidRPr="00783F5C" w:rsidRDefault="00C2534A" w:rsidP="00397472">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EC15B15" w14:textId="77777777" w:rsidR="00C2534A" w:rsidRPr="00783F5C" w:rsidRDefault="00C2534A" w:rsidP="002D16D9">
      <w:pPr>
        <w:pStyle w:val="Bezmezer"/>
        <w:ind w:left="426"/>
        <w:jc w:val="both"/>
        <w:rPr>
          <w:rFonts w:cstheme="minorHAnsi"/>
        </w:rPr>
      </w:pPr>
    </w:p>
    <w:p w14:paraId="4ACFFA89" w14:textId="77777777" w:rsidR="00C2534A" w:rsidRPr="00783F5C" w:rsidRDefault="00C2534A" w:rsidP="00506C10">
      <w:pPr>
        <w:pStyle w:val="Bezmezer"/>
        <w:ind w:left="425"/>
        <w:jc w:val="center"/>
        <w:rPr>
          <w:rFonts w:cstheme="minorHAnsi"/>
          <w:b/>
        </w:rPr>
      </w:pPr>
      <w:r w:rsidRPr="00783F5C">
        <w:rPr>
          <w:rFonts w:cstheme="minorHAnsi"/>
          <w:b/>
        </w:rPr>
        <w:t>Článek 10</w:t>
      </w:r>
    </w:p>
    <w:p w14:paraId="27CB45AB" w14:textId="77777777" w:rsidR="00C2534A" w:rsidRPr="00783F5C" w:rsidRDefault="00C2534A"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3C3C7A2D" w14:textId="77777777" w:rsidR="00C2534A" w:rsidRPr="00783F5C" w:rsidRDefault="00C2534A" w:rsidP="00506C10">
      <w:pPr>
        <w:keepNext/>
        <w:tabs>
          <w:tab w:val="left" w:pos="5245"/>
        </w:tabs>
        <w:ind w:left="426" w:hanging="426"/>
        <w:jc w:val="center"/>
        <w:rPr>
          <w:rFonts w:asciiTheme="minorHAnsi" w:hAnsiTheme="minorHAnsi" w:cstheme="minorHAnsi"/>
          <w:b/>
          <w:sz w:val="22"/>
          <w:szCs w:val="22"/>
        </w:rPr>
      </w:pPr>
    </w:p>
    <w:p w14:paraId="7727EE01" w14:textId="77777777" w:rsidR="00C2534A" w:rsidRPr="00783F5C" w:rsidRDefault="00C2534A" w:rsidP="00397472">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1E29E83" w14:textId="77777777" w:rsidR="00C2534A" w:rsidRPr="00783F5C" w:rsidRDefault="00C2534A" w:rsidP="00397472">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DE7F50E" w14:textId="77777777" w:rsidR="00C2534A" w:rsidRPr="00783F5C" w:rsidRDefault="00C2534A" w:rsidP="00397472">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6B128C0" w14:textId="77777777" w:rsidR="00C2534A" w:rsidRPr="00783F5C" w:rsidRDefault="00C2534A" w:rsidP="00397472">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5752199" w14:textId="77777777" w:rsidR="00C2534A" w:rsidRPr="00783F5C" w:rsidRDefault="00C2534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4996A7E0" w14:textId="77777777" w:rsidR="00C2534A" w:rsidRPr="00783F5C" w:rsidRDefault="00C2534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3B3062E" w14:textId="77777777" w:rsidR="00C2534A" w:rsidRPr="00783F5C" w:rsidRDefault="00C2534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7600E953" w14:textId="77777777" w:rsidR="00C2534A" w:rsidRPr="00783F5C" w:rsidRDefault="00C2534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C041475" w14:textId="77777777" w:rsidR="00C2534A" w:rsidRPr="00783F5C" w:rsidRDefault="00C2534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6391975B" w14:textId="77777777" w:rsidR="00C2534A" w:rsidRPr="00783F5C" w:rsidRDefault="00C2534A" w:rsidP="00397472">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63686981" w14:textId="77777777" w:rsidR="00C2534A" w:rsidRPr="00783F5C" w:rsidRDefault="00C2534A" w:rsidP="00397472">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37A465D6" w14:textId="77777777" w:rsidR="00C2534A" w:rsidRPr="00783F5C" w:rsidRDefault="00C2534A" w:rsidP="00397472">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8E392C4" w14:textId="77777777" w:rsidR="00C2534A" w:rsidRPr="00783F5C" w:rsidRDefault="00C2534A" w:rsidP="00397472">
      <w:pPr>
        <w:numPr>
          <w:ilvl w:val="0"/>
          <w:numId w:val="9"/>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0D8242BF" w14:textId="77777777" w:rsidR="00C2534A" w:rsidRPr="00783F5C" w:rsidRDefault="00C2534A" w:rsidP="002D16D9">
      <w:pPr>
        <w:suppressAutoHyphens/>
        <w:ind w:left="426"/>
        <w:jc w:val="both"/>
        <w:rPr>
          <w:rFonts w:asciiTheme="minorHAnsi" w:hAnsiTheme="minorHAnsi" w:cstheme="minorHAnsi"/>
          <w:sz w:val="22"/>
          <w:szCs w:val="22"/>
        </w:rPr>
      </w:pPr>
    </w:p>
    <w:p w14:paraId="59474F2F" w14:textId="77777777" w:rsidR="00C2534A" w:rsidRPr="00783F5C" w:rsidRDefault="00C2534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FB5A7F3" w14:textId="77777777" w:rsidR="00C2534A" w:rsidRPr="00783F5C" w:rsidRDefault="00C2534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16F8E202" w14:textId="77777777" w:rsidR="00C2534A" w:rsidRPr="00783F5C" w:rsidRDefault="00C2534A" w:rsidP="00397472">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65031A33" w14:textId="77777777" w:rsidR="00C2534A" w:rsidRPr="00783F5C" w:rsidRDefault="00C2534A" w:rsidP="00397472">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3110E90" w14:textId="77777777" w:rsidR="00C2534A" w:rsidRPr="00783F5C" w:rsidRDefault="00C2534A" w:rsidP="00397472">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06883B5" w14:textId="77777777" w:rsidR="00C2534A" w:rsidRPr="00783F5C" w:rsidRDefault="00C2534A" w:rsidP="00397472">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4915E9E" w14:textId="77777777" w:rsidR="00C2534A" w:rsidRPr="00783F5C" w:rsidRDefault="00C2534A" w:rsidP="00397472">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17E79F28" w14:textId="77777777" w:rsidR="00C2534A" w:rsidRPr="00783F5C" w:rsidRDefault="00C2534A" w:rsidP="00EF108A">
      <w:pPr>
        <w:pStyle w:val="Odstavec-1"/>
        <w:keepNext/>
        <w:spacing w:after="0"/>
        <w:ind w:left="720" w:firstLine="0"/>
        <w:rPr>
          <w:rFonts w:asciiTheme="minorHAnsi" w:hAnsiTheme="minorHAnsi" w:cstheme="minorHAnsi"/>
          <w:b/>
          <w:sz w:val="22"/>
          <w:szCs w:val="22"/>
        </w:rPr>
      </w:pPr>
    </w:p>
    <w:p w14:paraId="2BD17588" w14:textId="77777777" w:rsidR="00C2534A" w:rsidRPr="00783F5C" w:rsidRDefault="00C2534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D96BE7F" w14:textId="77777777" w:rsidR="00C2534A" w:rsidRPr="00783F5C" w:rsidRDefault="00C2534A"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B16CAAE" w14:textId="77777777" w:rsidR="00C2534A" w:rsidRPr="00783F5C" w:rsidRDefault="00C2534A" w:rsidP="00397472">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746A460E" w14:textId="77777777" w:rsidR="00C2534A" w:rsidRPr="00783F5C" w:rsidRDefault="00C2534A" w:rsidP="00397472">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2C0E86EA" w14:textId="77777777" w:rsidR="00C2534A" w:rsidRPr="00783F5C" w:rsidRDefault="00C2534A" w:rsidP="00397472">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45A945A" w14:textId="77777777" w:rsidR="00C2534A" w:rsidRPr="00783F5C" w:rsidRDefault="00C2534A" w:rsidP="002D16D9">
      <w:pPr>
        <w:pStyle w:val="Odstavec-1"/>
        <w:keepNext/>
        <w:spacing w:after="0"/>
        <w:rPr>
          <w:rFonts w:asciiTheme="minorHAnsi" w:hAnsiTheme="minorHAnsi" w:cstheme="minorHAnsi"/>
          <w:sz w:val="22"/>
          <w:szCs w:val="22"/>
        </w:rPr>
      </w:pPr>
    </w:p>
    <w:p w14:paraId="61FA1643" w14:textId="77777777" w:rsidR="00C2534A" w:rsidRPr="00783F5C" w:rsidRDefault="00C2534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234F2D0" w14:textId="77777777" w:rsidR="00C2534A" w:rsidRPr="00783F5C" w:rsidRDefault="00C2534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5453F3AC" w14:textId="77777777" w:rsidR="00C2534A" w:rsidRPr="00783F5C" w:rsidRDefault="00C2534A" w:rsidP="00E51E80">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3B7ECB8" w14:textId="77777777" w:rsidR="00C2534A" w:rsidRPr="00783F5C" w:rsidRDefault="00C2534A" w:rsidP="002D16D9">
      <w:pPr>
        <w:tabs>
          <w:tab w:val="left" w:pos="567"/>
        </w:tabs>
        <w:suppressAutoHyphens/>
        <w:ind w:left="567"/>
        <w:jc w:val="both"/>
        <w:rPr>
          <w:rFonts w:asciiTheme="minorHAnsi" w:hAnsiTheme="minorHAnsi" w:cstheme="minorHAnsi"/>
          <w:sz w:val="22"/>
          <w:szCs w:val="22"/>
        </w:rPr>
      </w:pPr>
    </w:p>
    <w:p w14:paraId="32012384" w14:textId="77777777" w:rsidR="00C2534A" w:rsidRPr="00783F5C" w:rsidRDefault="00C2534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70BC3C2B" w14:textId="77777777" w:rsidR="00C2534A" w:rsidRPr="00783F5C" w:rsidRDefault="00C2534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005D26D3" w14:textId="77777777" w:rsidR="00C2534A" w:rsidRDefault="00C2534A" w:rsidP="00397472">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10A72108" w14:textId="77777777" w:rsidR="00C2534A" w:rsidRDefault="00C2534A" w:rsidP="00397472">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76AAE21B" w14:textId="77777777" w:rsidR="00C2534A" w:rsidRDefault="00C2534A" w:rsidP="00397472">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4B128D8" w14:textId="77777777" w:rsidR="00C2534A" w:rsidRPr="00640C2E" w:rsidRDefault="00C2534A" w:rsidP="00397472">
      <w:pPr>
        <w:pStyle w:val="Zkladntext3"/>
        <w:numPr>
          <w:ilvl w:val="0"/>
          <w:numId w:val="22"/>
        </w:numPr>
        <w:spacing w:before="240" w:after="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B7895E5" w14:textId="77777777" w:rsidR="00C2534A" w:rsidRPr="00783F5C" w:rsidRDefault="00C2534A" w:rsidP="002D16D9">
      <w:pPr>
        <w:tabs>
          <w:tab w:val="left" w:pos="567"/>
        </w:tabs>
        <w:suppressAutoHyphens/>
        <w:ind w:left="426" w:hanging="426"/>
        <w:jc w:val="both"/>
        <w:rPr>
          <w:rFonts w:asciiTheme="minorHAnsi" w:hAnsiTheme="minorHAnsi" w:cstheme="minorHAnsi"/>
          <w:sz w:val="22"/>
          <w:szCs w:val="22"/>
        </w:rPr>
      </w:pPr>
    </w:p>
    <w:p w14:paraId="0C1B7193" w14:textId="77777777" w:rsidR="00C2534A" w:rsidRPr="00783F5C" w:rsidRDefault="00C2534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13E0BFCA" w14:textId="77777777" w:rsidR="00C2534A" w:rsidRPr="00783F5C" w:rsidRDefault="00C2534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02A6261" w14:textId="77777777" w:rsidR="00C2534A" w:rsidRPr="00783F5C" w:rsidRDefault="00C2534A" w:rsidP="002D16D9">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650CED57" w14:textId="77777777" w:rsidR="00C2534A" w:rsidRPr="00783F5C" w:rsidRDefault="00C2534A" w:rsidP="00506C10">
      <w:pPr>
        <w:pStyle w:val="Zkladntext3"/>
        <w:rPr>
          <w:rFonts w:asciiTheme="minorHAnsi" w:hAnsiTheme="minorHAnsi" w:cstheme="minorHAnsi"/>
          <w:sz w:val="22"/>
          <w:szCs w:val="22"/>
        </w:rPr>
      </w:pPr>
    </w:p>
    <w:p w14:paraId="3BFA1519" w14:textId="77777777" w:rsidR="00C2534A" w:rsidRPr="00783F5C" w:rsidRDefault="00C2534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08288B" w14:textId="77777777" w:rsidR="00C2534A" w:rsidRPr="00783F5C" w:rsidRDefault="00C2534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48080269" w14:textId="77777777" w:rsidR="00C2534A" w:rsidRPr="00783F5C" w:rsidRDefault="00C2534A"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6514C89" w14:textId="77777777" w:rsidR="00C2534A" w:rsidRPr="00783F5C" w:rsidRDefault="00C2534A"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7F20E2B" w14:textId="77777777" w:rsidR="00C2534A" w:rsidRPr="00783F5C" w:rsidRDefault="00C2534A"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0C165EC4" w14:textId="77777777" w:rsidR="00C2534A" w:rsidRPr="00783F5C" w:rsidRDefault="00C2534A"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513E4232" w14:textId="77777777" w:rsidR="00C2534A" w:rsidRPr="00EC16FF" w:rsidRDefault="00C2534A"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5C7E4C75" w14:textId="77777777" w:rsidR="00C2534A" w:rsidRPr="00EC16FF" w:rsidRDefault="00C2534A" w:rsidP="002D16D9">
      <w:pPr>
        <w:pStyle w:val="Zkladntext3"/>
        <w:ind w:left="426" w:hanging="426"/>
        <w:rPr>
          <w:rFonts w:asciiTheme="minorHAnsi" w:hAnsiTheme="minorHAnsi" w:cstheme="minorHAnsi"/>
          <w:b/>
          <w:strike/>
          <w:sz w:val="22"/>
          <w:szCs w:val="22"/>
        </w:rPr>
      </w:pPr>
    </w:p>
    <w:p w14:paraId="74480B9A" w14:textId="77777777" w:rsidR="00C2534A" w:rsidRPr="00783F5C" w:rsidRDefault="00C2534A"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0AF210C1" w14:textId="77777777" w:rsidR="00C2534A" w:rsidRPr="00783F5C" w:rsidRDefault="00C2534A"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3796EB2" w14:textId="77777777" w:rsidR="00C2534A" w:rsidRPr="00783F5C" w:rsidRDefault="00C2534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4984714" w14:textId="77777777" w:rsidR="00C2534A" w:rsidRPr="00783F5C" w:rsidRDefault="00C2534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0EBAEBF" w14:textId="77777777" w:rsidR="00C2534A" w:rsidRPr="00783F5C" w:rsidRDefault="00C2534A"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9B9F1E" w14:textId="77777777" w:rsidR="00C2534A" w:rsidRPr="00783F5C" w:rsidRDefault="00C2534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934118C" w14:textId="77777777" w:rsidR="00C2534A" w:rsidRPr="00783F5C" w:rsidRDefault="00C2534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D9204EC" w14:textId="77777777" w:rsidR="00C2534A" w:rsidRPr="00783F5C" w:rsidRDefault="00C2534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35D39C24" w14:textId="77777777" w:rsidR="00C2534A" w:rsidRPr="00783F5C" w:rsidRDefault="00C2534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1219D2B8" w14:textId="77777777" w:rsidR="00C2534A" w:rsidRPr="00783F5C" w:rsidRDefault="00C2534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03B594D2" w14:textId="77777777" w:rsidR="00C2534A" w:rsidRPr="00783F5C" w:rsidRDefault="00C2534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681AE3B3" w14:textId="77777777" w:rsidR="00C2534A" w:rsidRPr="00783F5C" w:rsidRDefault="00C2534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A9E38B2" w14:textId="77777777" w:rsidR="00C2534A" w:rsidRPr="00783F5C" w:rsidRDefault="00C2534A"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52F1E95E" w14:textId="77777777" w:rsidR="00C2534A" w:rsidRPr="00783F5C" w:rsidRDefault="00C2534A" w:rsidP="00506C10">
      <w:pPr>
        <w:ind w:left="426" w:hanging="426"/>
        <w:rPr>
          <w:rFonts w:asciiTheme="minorHAnsi" w:hAnsiTheme="minorHAnsi" w:cstheme="minorHAnsi"/>
          <w:b/>
          <w:sz w:val="22"/>
          <w:szCs w:val="22"/>
        </w:rPr>
      </w:pPr>
    </w:p>
    <w:p w14:paraId="7CFB5BEB" w14:textId="77777777" w:rsidR="00C2534A" w:rsidRDefault="00C2534A" w:rsidP="0031023A">
      <w:pPr>
        <w:pStyle w:val="Zkladntext"/>
        <w:ind w:firstLine="567"/>
        <w:rPr>
          <w:rFonts w:asciiTheme="minorHAnsi" w:hAnsiTheme="minorHAnsi" w:cstheme="minorHAnsi"/>
          <w:b/>
          <w:sz w:val="22"/>
          <w:szCs w:val="22"/>
        </w:rPr>
      </w:pPr>
    </w:p>
    <w:p w14:paraId="54809566" w14:textId="77777777" w:rsidR="00E51E80" w:rsidRDefault="00E51E80" w:rsidP="0031023A">
      <w:pPr>
        <w:pStyle w:val="Zkladntext"/>
        <w:ind w:firstLine="567"/>
        <w:rPr>
          <w:rFonts w:asciiTheme="minorHAnsi" w:hAnsiTheme="minorHAnsi" w:cstheme="minorHAnsi"/>
          <w:b/>
          <w:sz w:val="22"/>
          <w:szCs w:val="22"/>
        </w:rPr>
      </w:pPr>
    </w:p>
    <w:p w14:paraId="178B4A46" w14:textId="77777777" w:rsidR="00E51E80" w:rsidRDefault="00E51E80" w:rsidP="0031023A">
      <w:pPr>
        <w:pStyle w:val="Zkladntext"/>
        <w:ind w:firstLine="567"/>
        <w:rPr>
          <w:rFonts w:asciiTheme="minorHAnsi" w:hAnsiTheme="minorHAnsi" w:cstheme="minorHAnsi"/>
          <w:b/>
          <w:sz w:val="22"/>
          <w:szCs w:val="22"/>
        </w:rPr>
      </w:pPr>
    </w:p>
    <w:p w14:paraId="120AD986" w14:textId="63F05F77" w:rsidR="00C2534A" w:rsidRPr="00783F5C" w:rsidRDefault="00C2534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54793DD" w14:textId="77777777" w:rsidR="00C2534A" w:rsidRPr="00783F5C" w:rsidRDefault="00C2534A" w:rsidP="0031023A">
      <w:pPr>
        <w:pStyle w:val="Zkladntext"/>
        <w:ind w:firstLine="567"/>
        <w:rPr>
          <w:rFonts w:asciiTheme="minorHAnsi" w:hAnsiTheme="minorHAnsi" w:cstheme="minorHAnsi"/>
          <w:sz w:val="22"/>
          <w:szCs w:val="22"/>
        </w:rPr>
      </w:pPr>
    </w:p>
    <w:p w14:paraId="6600693D" w14:textId="77777777" w:rsidR="00C2534A" w:rsidRPr="00783F5C" w:rsidRDefault="00C2534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8D22ED7" w14:textId="77777777" w:rsidR="00C2534A" w:rsidRPr="00783F5C" w:rsidRDefault="00C2534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25BB43C" w14:textId="77777777" w:rsidR="00C2534A" w:rsidRDefault="00C2534A" w:rsidP="008C5DDF">
      <w:pPr>
        <w:pStyle w:val="Zkladntext"/>
        <w:spacing w:before="240" w:after="120"/>
        <w:ind w:firstLine="567"/>
        <w:rPr>
          <w:rFonts w:asciiTheme="minorHAnsi" w:hAnsiTheme="minorHAnsi" w:cstheme="minorHAnsi"/>
          <w:sz w:val="22"/>
          <w:szCs w:val="22"/>
        </w:rPr>
      </w:pPr>
    </w:p>
    <w:p w14:paraId="431E6299" w14:textId="77777777" w:rsidR="00C2534A" w:rsidRDefault="00C2534A" w:rsidP="008C5DDF">
      <w:pPr>
        <w:pStyle w:val="Zkladntext"/>
        <w:spacing w:before="240" w:after="120"/>
        <w:ind w:firstLine="567"/>
        <w:rPr>
          <w:rFonts w:asciiTheme="minorHAnsi" w:hAnsiTheme="minorHAnsi" w:cstheme="minorHAnsi"/>
          <w:sz w:val="22"/>
          <w:szCs w:val="22"/>
        </w:rPr>
      </w:pPr>
    </w:p>
    <w:p w14:paraId="7FB96AB5" w14:textId="77777777" w:rsidR="00C2534A" w:rsidRPr="00783F5C" w:rsidRDefault="00C2534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prof. MUDr. Milena Králíčková, Ph.D.</w:t>
      </w:r>
    </w:p>
    <w:p w14:paraId="073FADE0" w14:textId="77777777" w:rsidR="00C2534A" w:rsidRDefault="00C2534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rektorka</w:t>
      </w:r>
    </w:p>
    <w:p w14:paraId="30FE1144" w14:textId="77777777" w:rsidR="00C2534A" w:rsidRPr="00783F5C" w:rsidRDefault="00C2534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1DE91B99" w14:textId="77777777" w:rsidR="00C2534A" w:rsidRDefault="00C2534A" w:rsidP="00D218FB">
      <w:pPr>
        <w:pStyle w:val="Zkladntext"/>
        <w:spacing w:before="240" w:after="120"/>
        <w:ind w:firstLine="567"/>
        <w:rPr>
          <w:rFonts w:asciiTheme="minorHAnsi" w:hAnsiTheme="minorHAnsi" w:cstheme="minorHAnsi"/>
          <w:sz w:val="22"/>
          <w:szCs w:val="22"/>
        </w:rPr>
      </w:pPr>
    </w:p>
    <w:p w14:paraId="12D47169" w14:textId="77777777" w:rsidR="00C2534A" w:rsidRDefault="00C2534A" w:rsidP="00D218FB">
      <w:pPr>
        <w:pStyle w:val="Zkladntext"/>
        <w:spacing w:before="240" w:after="120"/>
        <w:ind w:firstLine="567"/>
        <w:rPr>
          <w:rFonts w:asciiTheme="minorHAnsi" w:hAnsiTheme="minorHAnsi" w:cstheme="minorHAnsi"/>
          <w:sz w:val="22"/>
          <w:szCs w:val="22"/>
        </w:rPr>
      </w:pPr>
    </w:p>
    <w:p w14:paraId="7B0F7ECA" w14:textId="77777777" w:rsidR="00C2534A" w:rsidRDefault="00C2534A" w:rsidP="00D218FB">
      <w:pPr>
        <w:pStyle w:val="Zkladntext"/>
        <w:spacing w:before="240" w:after="120"/>
        <w:ind w:firstLine="567"/>
        <w:rPr>
          <w:rFonts w:asciiTheme="minorHAnsi" w:hAnsiTheme="minorHAnsi" w:cstheme="minorHAnsi"/>
          <w:sz w:val="22"/>
          <w:szCs w:val="22"/>
        </w:rPr>
      </w:pPr>
    </w:p>
    <w:p w14:paraId="1C800DB0" w14:textId="77777777" w:rsidR="00C2534A" w:rsidRDefault="00C2534A" w:rsidP="00D218FB">
      <w:pPr>
        <w:pStyle w:val="Zkladntext"/>
        <w:spacing w:before="240" w:after="120"/>
        <w:ind w:firstLine="567"/>
        <w:rPr>
          <w:rFonts w:asciiTheme="minorHAnsi" w:hAnsiTheme="minorHAnsi" w:cstheme="minorHAnsi"/>
          <w:sz w:val="22"/>
          <w:szCs w:val="22"/>
        </w:rPr>
      </w:pPr>
    </w:p>
    <w:p w14:paraId="7799C79D" w14:textId="77777777" w:rsidR="00C2534A" w:rsidRDefault="00C2534A" w:rsidP="00D218FB">
      <w:pPr>
        <w:pStyle w:val="Zkladntext"/>
        <w:spacing w:before="240" w:after="120"/>
        <w:ind w:firstLine="567"/>
        <w:rPr>
          <w:rFonts w:asciiTheme="minorHAnsi" w:hAnsiTheme="minorHAnsi" w:cstheme="minorHAnsi"/>
          <w:sz w:val="22"/>
          <w:szCs w:val="22"/>
        </w:rPr>
      </w:pPr>
    </w:p>
    <w:p w14:paraId="618BD874" w14:textId="77777777" w:rsidR="00C2534A" w:rsidRDefault="00C2534A" w:rsidP="00D218FB">
      <w:pPr>
        <w:pStyle w:val="Zkladntext"/>
        <w:spacing w:before="240" w:after="120"/>
        <w:ind w:firstLine="567"/>
        <w:rPr>
          <w:rFonts w:asciiTheme="minorHAnsi" w:hAnsiTheme="minorHAnsi" w:cstheme="minorHAnsi"/>
          <w:sz w:val="22"/>
          <w:szCs w:val="22"/>
        </w:rPr>
      </w:pPr>
    </w:p>
    <w:p w14:paraId="4CFBD53F" w14:textId="77777777" w:rsidR="00C2534A" w:rsidRDefault="00C2534A" w:rsidP="00D218FB">
      <w:pPr>
        <w:pStyle w:val="Zkladntext"/>
        <w:spacing w:before="240" w:after="120"/>
        <w:ind w:firstLine="567"/>
        <w:rPr>
          <w:rFonts w:asciiTheme="minorHAnsi" w:hAnsiTheme="minorHAnsi" w:cstheme="minorHAnsi"/>
          <w:sz w:val="22"/>
          <w:szCs w:val="22"/>
        </w:rPr>
      </w:pPr>
    </w:p>
    <w:p w14:paraId="7430BC6F" w14:textId="77777777" w:rsidR="00C2534A" w:rsidRDefault="00C2534A" w:rsidP="00D218FB">
      <w:pPr>
        <w:pStyle w:val="Zkladntext"/>
        <w:spacing w:before="240" w:after="120"/>
        <w:ind w:firstLine="567"/>
        <w:rPr>
          <w:rFonts w:asciiTheme="minorHAnsi" w:hAnsiTheme="minorHAnsi" w:cstheme="minorHAnsi"/>
          <w:sz w:val="22"/>
          <w:szCs w:val="22"/>
        </w:rPr>
      </w:pPr>
    </w:p>
    <w:p w14:paraId="0CB9D368" w14:textId="77777777" w:rsidR="00C2534A" w:rsidRDefault="00C2534A" w:rsidP="00D218FB">
      <w:pPr>
        <w:pStyle w:val="Zkladntext"/>
        <w:spacing w:before="240" w:after="120"/>
        <w:ind w:firstLine="567"/>
        <w:rPr>
          <w:rFonts w:asciiTheme="minorHAnsi" w:hAnsiTheme="minorHAnsi" w:cstheme="minorHAnsi"/>
          <w:sz w:val="22"/>
          <w:szCs w:val="22"/>
        </w:rPr>
      </w:pPr>
    </w:p>
    <w:p w14:paraId="4FEFF19B" w14:textId="77777777" w:rsidR="00C2534A" w:rsidRDefault="00C2534A" w:rsidP="001E5C0A">
      <w:pPr>
        <w:pStyle w:val="Zkladntext"/>
        <w:spacing w:before="240" w:after="120"/>
        <w:rPr>
          <w:rFonts w:asciiTheme="minorHAnsi" w:hAnsiTheme="minorHAnsi" w:cstheme="minorHAnsi"/>
          <w:sz w:val="22"/>
          <w:szCs w:val="22"/>
        </w:rPr>
      </w:pPr>
    </w:p>
    <w:p w14:paraId="4314A352" w14:textId="77777777" w:rsidR="00C2534A" w:rsidRPr="00567207" w:rsidRDefault="00C2534A" w:rsidP="00567207">
      <w:pPr>
        <w:sectPr w:rsidR="00C2534A" w:rsidRPr="00567207" w:rsidSect="00C2534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324D29A8" w14:textId="77777777" w:rsidR="00E51E80" w:rsidRDefault="00C2534A" w:rsidP="00E51E80">
      <w:pPr>
        <w:pStyle w:val="Zkladntext"/>
        <w:tabs>
          <w:tab w:val="left" w:pos="2790"/>
          <w:tab w:val="left" w:pos="2970"/>
        </w:tabs>
        <w:rPr>
          <w:rFonts w:asciiTheme="minorHAnsi" w:hAnsiTheme="minorHAnsi" w:cstheme="minorHAnsi"/>
          <w:sz w:val="22"/>
          <w:szCs w:val="22"/>
        </w:rPr>
      </w:pPr>
      <w:r>
        <w:rPr>
          <w:rFonts w:asciiTheme="minorHAnsi" w:hAnsiTheme="minorHAnsi" w:cstheme="minorHAnsi"/>
          <w:sz w:val="22"/>
          <w:szCs w:val="22"/>
        </w:rPr>
        <w:tab/>
      </w:r>
    </w:p>
    <w:p w14:paraId="09CA5CBB" w14:textId="51227772" w:rsidR="00C2534A" w:rsidRPr="000C0E9F" w:rsidRDefault="00E51E80" w:rsidP="00E51E80">
      <w:pPr>
        <w:pStyle w:val="Zkladntext"/>
        <w:tabs>
          <w:tab w:val="left" w:pos="2790"/>
          <w:tab w:val="left" w:pos="2970"/>
        </w:tabs>
        <w:sectPr w:rsidR="00C2534A" w:rsidRPr="000C0E9F" w:rsidSect="00C2534A">
          <w:headerReference w:type="default" r:id="rId15"/>
          <w:footerReference w:type="default" r:id="rId16"/>
          <w:pgSz w:w="11907" w:h="16839" w:code="9"/>
          <w:pgMar w:top="1148" w:right="1417" w:bottom="765" w:left="1418" w:header="709" w:footer="709" w:gutter="0"/>
          <w:pgNumType w:fmt="lowerRoman" w:start="0"/>
          <w:cols w:space="720"/>
          <w:docGrid w:linePitch="360"/>
        </w:sectPr>
      </w:pPr>
      <w:r>
        <w:rPr>
          <w:rFonts w:asciiTheme="minorHAnsi" w:hAnsiTheme="minorHAnsi" w:cstheme="minorHAnsi"/>
          <w:sz w:val="22"/>
          <w:szCs w:val="22"/>
        </w:rPr>
        <w:tab/>
      </w:r>
      <w:r w:rsidR="00C2534A">
        <w:tab/>
      </w:r>
    </w:p>
    <w:p w14:paraId="3354208A" w14:textId="77777777" w:rsidR="00C2534A" w:rsidRPr="00567207" w:rsidRDefault="00C2534A"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3D712739" w14:textId="77777777" w:rsidR="00C2534A" w:rsidRPr="00567207" w:rsidRDefault="00C2534A"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38FA8E6C" w14:textId="77777777" w:rsidR="00C2534A" w:rsidRDefault="00C2534A" w:rsidP="007A4103">
      <w:pPr>
        <w:pStyle w:val="Zkladntext"/>
        <w:spacing w:before="240" w:after="120"/>
        <w:rPr>
          <w:rFonts w:asciiTheme="minorHAnsi" w:hAnsiTheme="minorHAnsi" w:cstheme="minorHAnsi"/>
          <w:sz w:val="22"/>
          <w:szCs w:val="22"/>
        </w:rPr>
        <w:sectPr w:rsidR="00C2534A" w:rsidSect="00C2534A">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7F36A178" w14:textId="77777777" w:rsidR="00C2534A" w:rsidRDefault="00C2534A" w:rsidP="007A4103">
      <w:pPr>
        <w:pStyle w:val="Zkladntext"/>
        <w:spacing w:before="240" w:after="120"/>
        <w:rPr>
          <w:rFonts w:asciiTheme="minorHAnsi" w:hAnsiTheme="minorHAnsi" w:cstheme="minorHAnsi"/>
          <w:sz w:val="22"/>
          <w:szCs w:val="22"/>
        </w:rPr>
      </w:pPr>
    </w:p>
    <w:p w14:paraId="25E867C9" w14:textId="77777777" w:rsidR="00E51E80" w:rsidRDefault="00E51E80" w:rsidP="00E51E80">
      <w:pPr>
        <w:rPr>
          <w:rFonts w:asciiTheme="minorHAnsi" w:hAnsiTheme="minorHAnsi" w:cstheme="minorHAnsi"/>
          <w:sz w:val="22"/>
          <w:szCs w:val="22"/>
        </w:rPr>
      </w:pPr>
    </w:p>
    <w:p w14:paraId="08ED39D1" w14:textId="77777777" w:rsidR="00E51E80" w:rsidRDefault="00E51E80" w:rsidP="00E51E80">
      <w:pPr>
        <w:jc w:val="center"/>
      </w:pPr>
    </w:p>
    <w:p w14:paraId="741488D1" w14:textId="77777777" w:rsidR="006F7FE1" w:rsidRDefault="006F7FE1" w:rsidP="00E51E80">
      <w:pPr>
        <w:jc w:val="center"/>
      </w:pPr>
    </w:p>
    <w:p w14:paraId="50BF0E40" w14:textId="77777777" w:rsidR="006F7FE1" w:rsidRDefault="006F7FE1" w:rsidP="00E51E80">
      <w:pPr>
        <w:jc w:val="center"/>
      </w:pPr>
    </w:p>
    <w:p w14:paraId="301843B4" w14:textId="77777777" w:rsidR="006F7FE1" w:rsidRDefault="006F7FE1" w:rsidP="00E51E80">
      <w:pPr>
        <w:jc w:val="center"/>
      </w:pPr>
    </w:p>
    <w:p w14:paraId="0B65CAFB" w14:textId="77777777" w:rsidR="006F7FE1" w:rsidRDefault="006F7FE1" w:rsidP="00E51E80">
      <w:pPr>
        <w:jc w:val="center"/>
      </w:pPr>
    </w:p>
    <w:p w14:paraId="42AB76F5" w14:textId="77777777" w:rsidR="006F7FE1" w:rsidRDefault="006F7FE1" w:rsidP="00E51E80">
      <w:pPr>
        <w:jc w:val="center"/>
      </w:pPr>
    </w:p>
    <w:p w14:paraId="4DA8A488" w14:textId="77777777" w:rsidR="006F7FE1" w:rsidRDefault="006F7FE1" w:rsidP="00E51E80">
      <w:pPr>
        <w:jc w:val="center"/>
      </w:pPr>
    </w:p>
    <w:p w14:paraId="3CBD862B" w14:textId="77777777" w:rsidR="006F7FE1" w:rsidRDefault="006F7FE1" w:rsidP="00E51E80">
      <w:pPr>
        <w:jc w:val="center"/>
      </w:pPr>
    </w:p>
    <w:p w14:paraId="662CC7F5" w14:textId="77777777" w:rsidR="006F7FE1" w:rsidRDefault="006F7FE1" w:rsidP="00E51E80">
      <w:pPr>
        <w:jc w:val="center"/>
      </w:pPr>
    </w:p>
    <w:p w14:paraId="1CB53033" w14:textId="77777777" w:rsidR="006F7FE1" w:rsidRDefault="006F7FE1" w:rsidP="00E51E80">
      <w:pPr>
        <w:jc w:val="center"/>
      </w:pPr>
    </w:p>
    <w:p w14:paraId="152B006D" w14:textId="77777777" w:rsidR="006F7FE1" w:rsidRDefault="006F7FE1" w:rsidP="00E51E80">
      <w:pPr>
        <w:jc w:val="center"/>
      </w:pPr>
    </w:p>
    <w:p w14:paraId="2380DAE2" w14:textId="77777777" w:rsidR="006F7FE1" w:rsidRDefault="006F7FE1" w:rsidP="00E51E80">
      <w:pPr>
        <w:jc w:val="center"/>
      </w:pPr>
    </w:p>
    <w:p w14:paraId="104B616B" w14:textId="77777777" w:rsidR="006F7FE1" w:rsidRDefault="006F7FE1" w:rsidP="00E51E80">
      <w:pPr>
        <w:jc w:val="center"/>
      </w:pPr>
    </w:p>
    <w:p w14:paraId="08EE20A1" w14:textId="77777777" w:rsidR="006F7FE1" w:rsidRDefault="006F7FE1" w:rsidP="00E51E80">
      <w:pPr>
        <w:jc w:val="center"/>
      </w:pPr>
    </w:p>
    <w:p w14:paraId="1F75DCAA" w14:textId="77777777" w:rsidR="006F7FE1" w:rsidRDefault="006F7FE1" w:rsidP="00E51E80">
      <w:pPr>
        <w:jc w:val="center"/>
      </w:pPr>
    </w:p>
    <w:p w14:paraId="7EC2D704" w14:textId="77777777" w:rsidR="006F7FE1" w:rsidRDefault="006F7FE1" w:rsidP="00E51E80">
      <w:pPr>
        <w:jc w:val="center"/>
      </w:pPr>
    </w:p>
    <w:p w14:paraId="3B742EEF" w14:textId="77777777" w:rsidR="006F7FE1" w:rsidRDefault="006F7FE1" w:rsidP="00E51E80">
      <w:pPr>
        <w:jc w:val="center"/>
      </w:pPr>
    </w:p>
    <w:p w14:paraId="7CC7F9B5" w14:textId="77777777" w:rsidR="006F7FE1" w:rsidRDefault="006F7FE1" w:rsidP="00E51E80">
      <w:pPr>
        <w:jc w:val="center"/>
      </w:pPr>
    </w:p>
    <w:p w14:paraId="51C8BAA5" w14:textId="77777777" w:rsidR="006F7FE1" w:rsidRDefault="006F7FE1" w:rsidP="00E51E80">
      <w:pPr>
        <w:jc w:val="center"/>
      </w:pPr>
    </w:p>
    <w:p w14:paraId="3A4FD2AA" w14:textId="77777777" w:rsidR="006F7FE1" w:rsidRDefault="006F7FE1" w:rsidP="00E51E80">
      <w:pPr>
        <w:jc w:val="center"/>
      </w:pPr>
    </w:p>
    <w:p w14:paraId="0BE43618" w14:textId="77777777" w:rsidR="006F7FE1" w:rsidRDefault="006F7FE1" w:rsidP="00E51E80">
      <w:pPr>
        <w:jc w:val="center"/>
      </w:pPr>
    </w:p>
    <w:p w14:paraId="7A1A51E4" w14:textId="77777777" w:rsidR="006F7FE1" w:rsidRDefault="006F7FE1" w:rsidP="00E51E80">
      <w:pPr>
        <w:jc w:val="center"/>
      </w:pPr>
    </w:p>
    <w:p w14:paraId="33E740A9" w14:textId="77777777" w:rsidR="006F7FE1" w:rsidRDefault="006F7FE1" w:rsidP="00E51E80">
      <w:pPr>
        <w:jc w:val="center"/>
      </w:pPr>
    </w:p>
    <w:p w14:paraId="5D370B2F" w14:textId="77777777" w:rsidR="006F7FE1" w:rsidRDefault="006F7FE1" w:rsidP="00E51E80">
      <w:pPr>
        <w:jc w:val="center"/>
      </w:pPr>
    </w:p>
    <w:p w14:paraId="6EFFA983" w14:textId="77777777" w:rsidR="006F7FE1" w:rsidRDefault="006F7FE1" w:rsidP="00E51E80">
      <w:pPr>
        <w:jc w:val="center"/>
      </w:pPr>
    </w:p>
    <w:p w14:paraId="48E5A8AA" w14:textId="77777777" w:rsidR="006F7FE1" w:rsidRDefault="006F7FE1" w:rsidP="00E51E80">
      <w:pPr>
        <w:jc w:val="center"/>
      </w:pPr>
    </w:p>
    <w:p w14:paraId="4CBA4BB9" w14:textId="77777777" w:rsidR="006F7FE1" w:rsidRDefault="006F7FE1" w:rsidP="00E51E80">
      <w:pPr>
        <w:jc w:val="center"/>
      </w:pPr>
    </w:p>
    <w:p w14:paraId="3D0533BA" w14:textId="77777777" w:rsidR="006F7FE1" w:rsidRDefault="006F7FE1" w:rsidP="00E51E80">
      <w:pPr>
        <w:jc w:val="center"/>
      </w:pPr>
    </w:p>
    <w:p w14:paraId="51CEE5AB" w14:textId="77777777" w:rsidR="006F7FE1" w:rsidRDefault="006F7FE1" w:rsidP="00E51E80">
      <w:pPr>
        <w:jc w:val="center"/>
      </w:pPr>
    </w:p>
    <w:p w14:paraId="04E9426E" w14:textId="77777777" w:rsidR="006F7FE1" w:rsidRDefault="006F7FE1" w:rsidP="00E51E80">
      <w:pPr>
        <w:jc w:val="center"/>
      </w:pPr>
    </w:p>
    <w:p w14:paraId="17B32952" w14:textId="77777777" w:rsidR="006F7FE1" w:rsidRDefault="006F7FE1" w:rsidP="00E51E80">
      <w:pPr>
        <w:jc w:val="center"/>
      </w:pPr>
    </w:p>
    <w:p w14:paraId="22276B2D" w14:textId="77777777" w:rsidR="006F7FE1" w:rsidRDefault="006F7FE1" w:rsidP="00E51E80">
      <w:pPr>
        <w:jc w:val="center"/>
      </w:pPr>
    </w:p>
    <w:p w14:paraId="17FC71E6" w14:textId="77777777" w:rsidR="006F7FE1" w:rsidRDefault="006F7FE1" w:rsidP="00E51E80">
      <w:pPr>
        <w:jc w:val="center"/>
      </w:pPr>
    </w:p>
    <w:p w14:paraId="01A42085" w14:textId="77777777" w:rsidR="006F7FE1" w:rsidRDefault="006F7FE1" w:rsidP="00E51E80">
      <w:pPr>
        <w:jc w:val="center"/>
      </w:pPr>
    </w:p>
    <w:p w14:paraId="218E8FC3" w14:textId="77777777" w:rsidR="006F7FE1" w:rsidRDefault="006F7FE1" w:rsidP="00E51E80">
      <w:pPr>
        <w:jc w:val="center"/>
      </w:pPr>
    </w:p>
    <w:p w14:paraId="7BEFA741" w14:textId="77777777" w:rsidR="006F7FE1" w:rsidRDefault="006F7FE1" w:rsidP="00E51E80">
      <w:pPr>
        <w:jc w:val="center"/>
      </w:pPr>
    </w:p>
    <w:p w14:paraId="27C13962" w14:textId="77777777" w:rsidR="006F7FE1" w:rsidRDefault="006F7FE1" w:rsidP="00E51E80">
      <w:pPr>
        <w:jc w:val="center"/>
      </w:pPr>
    </w:p>
    <w:p w14:paraId="6CB2C414" w14:textId="77777777" w:rsidR="006F7FE1" w:rsidRDefault="006F7FE1" w:rsidP="00E51E80">
      <w:pPr>
        <w:jc w:val="center"/>
      </w:pPr>
    </w:p>
    <w:p w14:paraId="5B3D9DED" w14:textId="77777777" w:rsidR="006F7FE1" w:rsidRDefault="006F7FE1" w:rsidP="00E51E80">
      <w:pPr>
        <w:jc w:val="center"/>
      </w:pPr>
    </w:p>
    <w:p w14:paraId="71A53FA2" w14:textId="77777777" w:rsidR="006F7FE1" w:rsidRDefault="006F7FE1" w:rsidP="00E51E80">
      <w:pPr>
        <w:jc w:val="center"/>
      </w:pPr>
    </w:p>
    <w:p w14:paraId="3C1484DF" w14:textId="77777777" w:rsidR="006F7FE1" w:rsidRDefault="006F7FE1" w:rsidP="00E51E80">
      <w:pPr>
        <w:jc w:val="center"/>
      </w:pPr>
    </w:p>
    <w:p w14:paraId="2367FA1D" w14:textId="77777777" w:rsidR="006F7FE1" w:rsidRDefault="006F7FE1" w:rsidP="00E51E80">
      <w:pPr>
        <w:jc w:val="center"/>
      </w:pPr>
    </w:p>
    <w:p w14:paraId="13942D35" w14:textId="77777777" w:rsidR="006F7FE1" w:rsidRDefault="006F7FE1" w:rsidP="00E51E80">
      <w:pPr>
        <w:jc w:val="center"/>
      </w:pPr>
    </w:p>
    <w:p w14:paraId="58BC0A2D" w14:textId="77777777" w:rsidR="006F7FE1" w:rsidRDefault="006F7FE1" w:rsidP="00E51E80">
      <w:pPr>
        <w:jc w:val="center"/>
      </w:pPr>
    </w:p>
    <w:p w14:paraId="4E6C193F" w14:textId="77777777" w:rsidR="006F7FE1" w:rsidRDefault="006F7FE1" w:rsidP="00E51E80">
      <w:pPr>
        <w:jc w:val="center"/>
      </w:pPr>
    </w:p>
    <w:p w14:paraId="4C04D80C" w14:textId="77777777" w:rsidR="006F7FE1" w:rsidRDefault="006F7FE1" w:rsidP="00E51E80">
      <w:pPr>
        <w:jc w:val="center"/>
      </w:pPr>
    </w:p>
    <w:p w14:paraId="0A97B671" w14:textId="77777777" w:rsidR="006F7FE1" w:rsidRDefault="006F7FE1" w:rsidP="00E51E80">
      <w:pPr>
        <w:jc w:val="center"/>
      </w:pPr>
    </w:p>
    <w:p w14:paraId="7544E58B" w14:textId="77777777" w:rsidR="006F7FE1" w:rsidRDefault="006F7FE1" w:rsidP="00E51E80">
      <w:pPr>
        <w:jc w:val="center"/>
      </w:pPr>
    </w:p>
    <w:p w14:paraId="44DF0F1F" w14:textId="77777777" w:rsidR="006F7FE1" w:rsidRDefault="006F7FE1" w:rsidP="00E51E80">
      <w:pPr>
        <w:jc w:val="center"/>
      </w:pPr>
    </w:p>
    <w:p w14:paraId="7CC9121D" w14:textId="77777777" w:rsidR="006F7FE1" w:rsidRDefault="006F7FE1" w:rsidP="00E51E80">
      <w:pPr>
        <w:jc w:val="center"/>
      </w:pPr>
    </w:p>
    <w:p w14:paraId="5AF79DB4" w14:textId="77777777" w:rsidR="006F7FE1" w:rsidRDefault="006F7FE1" w:rsidP="00E51E80">
      <w:pPr>
        <w:jc w:val="center"/>
      </w:pPr>
    </w:p>
    <w:p w14:paraId="4126EA1D" w14:textId="77777777" w:rsidR="006F7FE1" w:rsidRDefault="006F7FE1" w:rsidP="00E51E80">
      <w:pPr>
        <w:jc w:val="center"/>
      </w:pPr>
    </w:p>
    <w:p w14:paraId="754441FC" w14:textId="77777777" w:rsidR="006F7FE1" w:rsidRDefault="006F7FE1" w:rsidP="00E51E80">
      <w:pPr>
        <w:jc w:val="center"/>
      </w:pPr>
    </w:p>
    <w:p w14:paraId="7A2662AC" w14:textId="77777777" w:rsidR="006F7FE1" w:rsidRDefault="006F7FE1" w:rsidP="00E51E80">
      <w:pPr>
        <w:jc w:val="center"/>
      </w:pPr>
    </w:p>
    <w:p w14:paraId="182DB2B0" w14:textId="77777777" w:rsidR="006F7FE1" w:rsidRDefault="006F7FE1" w:rsidP="006F7FE1">
      <w:pPr>
        <w:spacing w:line="259" w:lineRule="auto"/>
        <w:jc w:val="center"/>
        <w:rPr>
          <w:rFonts w:ascii="Calibri" w:eastAsia="Aptos" w:hAnsi="Calibri" w:cs="Calibri"/>
          <w:b/>
          <w:bCs/>
          <w:kern w:val="2"/>
          <w:sz w:val="22"/>
          <w:szCs w:val="22"/>
          <w:lang w:eastAsia="en-US"/>
          <w14:ligatures w14:val="standardContextual"/>
        </w:rPr>
      </w:pPr>
    </w:p>
    <w:p w14:paraId="36A2184E" w14:textId="77DE23CF" w:rsidR="006F7FE1" w:rsidRPr="006F7FE1" w:rsidRDefault="006F7FE1" w:rsidP="006F7FE1">
      <w:pPr>
        <w:spacing w:line="259" w:lineRule="auto"/>
        <w:jc w:val="center"/>
        <w:rPr>
          <w:rFonts w:ascii="Calibri" w:eastAsia="Aptos" w:hAnsi="Calibri" w:cs="Calibri"/>
          <w:b/>
          <w:bCs/>
          <w:kern w:val="2"/>
          <w:sz w:val="22"/>
          <w:szCs w:val="22"/>
          <w:lang w:eastAsia="en-US"/>
          <w14:ligatures w14:val="standardContextual"/>
        </w:rPr>
      </w:pPr>
      <w:r w:rsidRPr="006F7FE1">
        <w:rPr>
          <w:rFonts w:ascii="Calibri" w:eastAsia="Aptos" w:hAnsi="Calibri" w:cs="Calibri"/>
          <w:b/>
          <w:bCs/>
          <w:kern w:val="2"/>
          <w:sz w:val="22"/>
          <w:szCs w:val="22"/>
          <w:lang w:eastAsia="en-US"/>
          <w14:ligatures w14:val="standardContextual"/>
        </w:rPr>
        <w:t>Příloha II. ke smlouvě o poskytnutí účelové podpory</w:t>
      </w:r>
    </w:p>
    <w:p w14:paraId="038B27F4" w14:textId="77777777" w:rsidR="006F7FE1" w:rsidRPr="006F7FE1" w:rsidRDefault="006F7FE1" w:rsidP="006F7FE1">
      <w:pPr>
        <w:spacing w:line="259" w:lineRule="auto"/>
        <w:jc w:val="center"/>
        <w:rPr>
          <w:rFonts w:ascii="Calibri" w:eastAsia="Aptos" w:hAnsi="Calibri" w:cs="Calibri"/>
          <w:b/>
          <w:bCs/>
          <w:kern w:val="2"/>
          <w:sz w:val="22"/>
          <w:szCs w:val="22"/>
          <w:lang w:eastAsia="en-US"/>
          <w14:ligatures w14:val="standardContextual"/>
        </w:rPr>
      </w:pPr>
      <w:r w:rsidRPr="006F7FE1">
        <w:rPr>
          <w:rFonts w:ascii="Calibri" w:eastAsia="Aptos" w:hAnsi="Calibri" w:cs="Calibri"/>
          <w:b/>
          <w:bCs/>
          <w:kern w:val="2"/>
          <w:sz w:val="22"/>
          <w:szCs w:val="22"/>
          <w:lang w:eastAsia="en-US"/>
          <w14:ligatures w14:val="standardContextual"/>
        </w:rPr>
        <w:t xml:space="preserve">Uznané náklady a finanční zdroje Projektu </w:t>
      </w:r>
    </w:p>
    <w:p w14:paraId="0C887749" w14:textId="77777777" w:rsidR="006F7FE1" w:rsidRPr="006F7FE1" w:rsidRDefault="006F7FE1" w:rsidP="006F7FE1">
      <w:pPr>
        <w:spacing w:after="160" w:line="259" w:lineRule="auto"/>
        <w:rPr>
          <w:rFonts w:ascii="Aptos" w:eastAsia="Aptos" w:hAnsi="Aptos"/>
          <w:kern w:val="2"/>
          <w:sz w:val="22"/>
          <w:szCs w:val="22"/>
          <w:lang w:eastAsia="en-US"/>
          <w14:ligatures w14:val="standardContextual"/>
        </w:rPr>
      </w:pPr>
    </w:p>
    <w:p w14:paraId="1249DDDD" w14:textId="77777777" w:rsidR="006F7FE1" w:rsidRDefault="006F7FE1" w:rsidP="00E51E80">
      <w:pPr>
        <w:jc w:val="center"/>
      </w:pPr>
    </w:p>
    <w:p w14:paraId="0EE29DAE" w14:textId="77777777" w:rsidR="006F7FE1" w:rsidRDefault="006F7FE1" w:rsidP="00E51E80">
      <w:pPr>
        <w:jc w:val="center"/>
      </w:pPr>
    </w:p>
    <w:p w14:paraId="5A354795" w14:textId="77777777" w:rsidR="006F7FE1" w:rsidRDefault="006F7FE1" w:rsidP="00E51E80">
      <w:pPr>
        <w:jc w:val="center"/>
      </w:pPr>
    </w:p>
    <w:p w14:paraId="548A9560" w14:textId="77777777" w:rsidR="006F7FE1" w:rsidRDefault="006F7FE1" w:rsidP="00E51E80">
      <w:pPr>
        <w:jc w:val="center"/>
      </w:pPr>
    </w:p>
    <w:p w14:paraId="594C7818" w14:textId="77777777" w:rsidR="006F7FE1" w:rsidRDefault="006F7FE1" w:rsidP="00E51E80">
      <w:pPr>
        <w:jc w:val="center"/>
      </w:pPr>
    </w:p>
    <w:p w14:paraId="7B02FD9C" w14:textId="77777777" w:rsidR="006F7FE1" w:rsidRDefault="006F7FE1" w:rsidP="00E51E80">
      <w:pPr>
        <w:jc w:val="center"/>
      </w:pPr>
    </w:p>
    <w:p w14:paraId="68CFDEAD" w14:textId="77777777" w:rsidR="006F7FE1" w:rsidRDefault="006F7FE1" w:rsidP="00E51E80">
      <w:pPr>
        <w:jc w:val="center"/>
      </w:pPr>
    </w:p>
    <w:p w14:paraId="2242D97E" w14:textId="77777777" w:rsidR="006F7FE1" w:rsidRDefault="006F7FE1" w:rsidP="00E51E80">
      <w:pPr>
        <w:jc w:val="center"/>
      </w:pPr>
    </w:p>
    <w:p w14:paraId="51611CC0" w14:textId="77777777" w:rsidR="006F7FE1" w:rsidRDefault="006F7FE1" w:rsidP="00E51E80">
      <w:pPr>
        <w:jc w:val="center"/>
      </w:pPr>
    </w:p>
    <w:p w14:paraId="2576071C" w14:textId="77777777" w:rsidR="006F7FE1" w:rsidRDefault="006F7FE1" w:rsidP="00E51E80">
      <w:pPr>
        <w:jc w:val="center"/>
      </w:pPr>
    </w:p>
    <w:p w14:paraId="3C72F00F" w14:textId="77777777" w:rsidR="006F7FE1" w:rsidRDefault="006F7FE1" w:rsidP="00E51E80">
      <w:pPr>
        <w:jc w:val="center"/>
      </w:pPr>
    </w:p>
    <w:p w14:paraId="60CBCE81" w14:textId="77777777" w:rsidR="006F7FE1" w:rsidRDefault="006F7FE1" w:rsidP="00E51E80">
      <w:pPr>
        <w:jc w:val="center"/>
      </w:pPr>
    </w:p>
    <w:p w14:paraId="686500ED" w14:textId="77777777" w:rsidR="006F7FE1" w:rsidRDefault="006F7FE1" w:rsidP="00E51E80">
      <w:pPr>
        <w:jc w:val="center"/>
      </w:pPr>
    </w:p>
    <w:p w14:paraId="3760F25C" w14:textId="77777777" w:rsidR="006F7FE1" w:rsidRDefault="006F7FE1" w:rsidP="00E51E80">
      <w:pPr>
        <w:jc w:val="center"/>
      </w:pPr>
    </w:p>
    <w:p w14:paraId="052564DA" w14:textId="77777777" w:rsidR="006F7FE1" w:rsidRDefault="006F7FE1" w:rsidP="00E51E80">
      <w:pPr>
        <w:jc w:val="center"/>
      </w:pPr>
    </w:p>
    <w:p w14:paraId="753E7F40" w14:textId="77777777" w:rsidR="006F7FE1" w:rsidRDefault="006F7FE1" w:rsidP="00E51E80">
      <w:pPr>
        <w:jc w:val="center"/>
      </w:pPr>
    </w:p>
    <w:p w14:paraId="407A9B56" w14:textId="77777777" w:rsidR="006F7FE1" w:rsidRDefault="006F7FE1" w:rsidP="00E51E80">
      <w:pPr>
        <w:jc w:val="center"/>
      </w:pPr>
    </w:p>
    <w:p w14:paraId="10D3C02A" w14:textId="77777777" w:rsidR="006F7FE1" w:rsidRDefault="006F7FE1" w:rsidP="00E51E80">
      <w:pPr>
        <w:jc w:val="center"/>
      </w:pPr>
    </w:p>
    <w:p w14:paraId="0E493E06" w14:textId="77777777" w:rsidR="006F7FE1" w:rsidRDefault="006F7FE1" w:rsidP="00E51E80">
      <w:pPr>
        <w:jc w:val="center"/>
      </w:pPr>
    </w:p>
    <w:p w14:paraId="00593E9A" w14:textId="77777777" w:rsidR="006F7FE1" w:rsidRDefault="006F7FE1" w:rsidP="00E51E80">
      <w:pPr>
        <w:jc w:val="center"/>
      </w:pPr>
    </w:p>
    <w:p w14:paraId="33D99EC0" w14:textId="77777777" w:rsidR="006F7FE1" w:rsidRDefault="006F7FE1" w:rsidP="00E51E80">
      <w:pPr>
        <w:jc w:val="center"/>
      </w:pPr>
    </w:p>
    <w:p w14:paraId="673FD075" w14:textId="77777777" w:rsidR="006F7FE1" w:rsidRDefault="006F7FE1" w:rsidP="00E51E80">
      <w:pPr>
        <w:jc w:val="center"/>
      </w:pPr>
    </w:p>
    <w:p w14:paraId="598CFB45" w14:textId="77777777" w:rsidR="006F7FE1" w:rsidRDefault="006F7FE1" w:rsidP="00E51E80">
      <w:pPr>
        <w:jc w:val="center"/>
      </w:pPr>
    </w:p>
    <w:p w14:paraId="1267E328" w14:textId="77777777" w:rsidR="006F7FE1" w:rsidRDefault="006F7FE1" w:rsidP="00E51E80">
      <w:pPr>
        <w:jc w:val="center"/>
      </w:pPr>
    </w:p>
    <w:p w14:paraId="3C26AF7C" w14:textId="77777777" w:rsidR="006F7FE1" w:rsidRDefault="006F7FE1" w:rsidP="00E51E80">
      <w:pPr>
        <w:jc w:val="center"/>
      </w:pPr>
    </w:p>
    <w:p w14:paraId="774FD7DD" w14:textId="77777777" w:rsidR="006F7FE1" w:rsidRDefault="006F7FE1" w:rsidP="00E51E80">
      <w:pPr>
        <w:jc w:val="center"/>
      </w:pPr>
    </w:p>
    <w:p w14:paraId="58D9A386" w14:textId="77777777" w:rsidR="006F7FE1" w:rsidRDefault="006F7FE1" w:rsidP="00E51E80">
      <w:pPr>
        <w:jc w:val="center"/>
      </w:pPr>
    </w:p>
    <w:p w14:paraId="65F9989E" w14:textId="77777777" w:rsidR="006F7FE1" w:rsidRDefault="006F7FE1" w:rsidP="00E51E80">
      <w:pPr>
        <w:jc w:val="center"/>
      </w:pPr>
    </w:p>
    <w:p w14:paraId="2375633D" w14:textId="77777777" w:rsidR="006F7FE1" w:rsidRDefault="006F7FE1" w:rsidP="00E51E80">
      <w:pPr>
        <w:jc w:val="center"/>
      </w:pPr>
    </w:p>
    <w:p w14:paraId="0E87F1A8" w14:textId="77777777" w:rsidR="006F7FE1" w:rsidRDefault="006F7FE1" w:rsidP="00E51E80">
      <w:pPr>
        <w:jc w:val="center"/>
      </w:pPr>
    </w:p>
    <w:p w14:paraId="2D8971DB" w14:textId="77777777" w:rsidR="006F7FE1" w:rsidRDefault="006F7FE1" w:rsidP="00E51E80">
      <w:pPr>
        <w:jc w:val="center"/>
      </w:pPr>
    </w:p>
    <w:p w14:paraId="469D7E91" w14:textId="77777777" w:rsidR="006F7FE1" w:rsidRDefault="006F7FE1" w:rsidP="00E51E80">
      <w:pPr>
        <w:jc w:val="center"/>
      </w:pPr>
    </w:p>
    <w:p w14:paraId="54A950DB" w14:textId="77777777" w:rsidR="006F7FE1" w:rsidRDefault="006F7FE1" w:rsidP="00E51E80">
      <w:pPr>
        <w:jc w:val="center"/>
      </w:pPr>
    </w:p>
    <w:p w14:paraId="69A7FA26" w14:textId="77777777" w:rsidR="006F7FE1" w:rsidRDefault="006F7FE1" w:rsidP="00E51E80">
      <w:pPr>
        <w:jc w:val="center"/>
      </w:pPr>
    </w:p>
    <w:p w14:paraId="339CAAB6" w14:textId="77777777" w:rsidR="006F7FE1" w:rsidRDefault="006F7FE1" w:rsidP="00E51E80">
      <w:pPr>
        <w:jc w:val="center"/>
      </w:pPr>
    </w:p>
    <w:p w14:paraId="73F63942" w14:textId="77777777" w:rsidR="006F7FE1" w:rsidRDefault="006F7FE1" w:rsidP="00E51E80">
      <w:pPr>
        <w:jc w:val="center"/>
      </w:pPr>
    </w:p>
    <w:p w14:paraId="31C720ED" w14:textId="77777777" w:rsidR="006F7FE1" w:rsidRDefault="006F7FE1" w:rsidP="00E51E80">
      <w:pPr>
        <w:jc w:val="center"/>
      </w:pPr>
    </w:p>
    <w:p w14:paraId="218B91BB" w14:textId="77777777" w:rsidR="006F7FE1" w:rsidRDefault="006F7FE1" w:rsidP="00E51E80">
      <w:pPr>
        <w:jc w:val="center"/>
      </w:pPr>
    </w:p>
    <w:p w14:paraId="1910017E" w14:textId="77777777" w:rsidR="006F7FE1" w:rsidRDefault="006F7FE1" w:rsidP="00E51E80">
      <w:pPr>
        <w:jc w:val="center"/>
      </w:pPr>
    </w:p>
    <w:p w14:paraId="6617A619" w14:textId="77777777" w:rsidR="006F7FE1" w:rsidRDefault="006F7FE1" w:rsidP="00E51E80">
      <w:pPr>
        <w:jc w:val="center"/>
      </w:pPr>
    </w:p>
    <w:p w14:paraId="64A0BB73" w14:textId="77777777" w:rsidR="006F7FE1" w:rsidRDefault="006F7FE1" w:rsidP="00E51E80">
      <w:pPr>
        <w:jc w:val="center"/>
      </w:pPr>
    </w:p>
    <w:p w14:paraId="1E9CE59F" w14:textId="77777777" w:rsidR="006F7FE1" w:rsidRDefault="006F7FE1" w:rsidP="00E51E80">
      <w:pPr>
        <w:jc w:val="center"/>
      </w:pPr>
    </w:p>
    <w:p w14:paraId="215757C7" w14:textId="77777777" w:rsidR="006F7FE1" w:rsidRDefault="006F7FE1" w:rsidP="00E51E80">
      <w:pPr>
        <w:jc w:val="center"/>
      </w:pPr>
    </w:p>
    <w:p w14:paraId="5BA7718C" w14:textId="77777777" w:rsidR="006F7FE1" w:rsidRDefault="006F7FE1" w:rsidP="00E51E80">
      <w:pPr>
        <w:jc w:val="center"/>
      </w:pPr>
    </w:p>
    <w:p w14:paraId="614F905E" w14:textId="77777777" w:rsidR="006F7FE1" w:rsidRDefault="006F7FE1" w:rsidP="00E51E80">
      <w:pPr>
        <w:jc w:val="center"/>
      </w:pPr>
    </w:p>
    <w:p w14:paraId="0BA77745" w14:textId="77777777" w:rsidR="006F7FE1" w:rsidRDefault="006F7FE1" w:rsidP="00E51E80">
      <w:pPr>
        <w:jc w:val="center"/>
      </w:pPr>
    </w:p>
    <w:p w14:paraId="723C612E" w14:textId="77777777" w:rsidR="006F7FE1" w:rsidRDefault="006F7FE1" w:rsidP="00E51E80">
      <w:pPr>
        <w:jc w:val="center"/>
      </w:pPr>
    </w:p>
    <w:p w14:paraId="07B471DD" w14:textId="77777777" w:rsidR="006F7FE1" w:rsidRDefault="006F7FE1" w:rsidP="00E51E80">
      <w:pPr>
        <w:jc w:val="center"/>
      </w:pPr>
    </w:p>
    <w:p w14:paraId="5C2242AC" w14:textId="77777777" w:rsidR="006F7FE1" w:rsidRDefault="006F7FE1" w:rsidP="00E51E80">
      <w:pPr>
        <w:jc w:val="center"/>
      </w:pPr>
    </w:p>
    <w:p w14:paraId="1658731C" w14:textId="77777777" w:rsidR="006F7FE1" w:rsidRDefault="006F7FE1" w:rsidP="00E51E80">
      <w:pPr>
        <w:jc w:val="center"/>
      </w:pPr>
    </w:p>
    <w:p w14:paraId="16895A86" w14:textId="77777777" w:rsidR="006F7FE1" w:rsidRDefault="006F7FE1" w:rsidP="00E51E80">
      <w:pPr>
        <w:jc w:val="center"/>
      </w:pPr>
    </w:p>
    <w:p w14:paraId="154DE72D" w14:textId="77777777" w:rsidR="006F7FE1" w:rsidRDefault="006F7FE1" w:rsidP="00E51E80">
      <w:pPr>
        <w:jc w:val="center"/>
      </w:pPr>
    </w:p>
    <w:p w14:paraId="6DCE58C2" w14:textId="77777777" w:rsidR="006F7FE1" w:rsidRDefault="006F7FE1" w:rsidP="00E51E80">
      <w:pPr>
        <w:jc w:val="center"/>
      </w:pPr>
    </w:p>
    <w:p w14:paraId="6AE90B7B" w14:textId="77777777" w:rsidR="006F7FE1" w:rsidRDefault="006F7FE1" w:rsidP="00E51E80">
      <w:pPr>
        <w:jc w:val="center"/>
      </w:pPr>
    </w:p>
    <w:p w14:paraId="191A452F" w14:textId="77777777" w:rsidR="006F7FE1" w:rsidRDefault="006F7FE1" w:rsidP="00E51E80">
      <w:pPr>
        <w:jc w:val="center"/>
      </w:pPr>
    </w:p>
    <w:p w14:paraId="528DDB28" w14:textId="77777777" w:rsidR="00397472" w:rsidRDefault="00397472" w:rsidP="006F7FE1">
      <w:pPr>
        <w:jc w:val="center"/>
        <w:rPr>
          <w:rFonts w:ascii="Calibri" w:hAnsi="Calibri" w:cs="Calibri"/>
          <w:b/>
          <w:sz w:val="22"/>
          <w:szCs w:val="22"/>
        </w:rPr>
      </w:pPr>
    </w:p>
    <w:p w14:paraId="7C8FD5B6" w14:textId="0ED6692F" w:rsidR="006F7FE1" w:rsidRPr="006F7FE1" w:rsidRDefault="006F7FE1" w:rsidP="006F7FE1">
      <w:pPr>
        <w:jc w:val="center"/>
        <w:rPr>
          <w:rFonts w:ascii="Calibri" w:hAnsi="Calibri" w:cs="Calibri"/>
          <w:b/>
          <w:color w:val="FF0000"/>
          <w:sz w:val="22"/>
          <w:szCs w:val="22"/>
        </w:rPr>
      </w:pPr>
      <w:r w:rsidRPr="006F7FE1">
        <w:rPr>
          <w:rFonts w:ascii="Calibri" w:hAnsi="Calibri" w:cs="Calibri"/>
          <w:b/>
          <w:sz w:val="22"/>
          <w:szCs w:val="22"/>
        </w:rPr>
        <w:t>Příloha III. ke smlouvě o poskytnutí účelové podpory</w:t>
      </w:r>
    </w:p>
    <w:p w14:paraId="35069689" w14:textId="77777777" w:rsidR="006F7FE1" w:rsidRPr="006F7FE1" w:rsidRDefault="006F7FE1" w:rsidP="006F7FE1">
      <w:pPr>
        <w:jc w:val="center"/>
        <w:rPr>
          <w:rFonts w:ascii="Calibri" w:hAnsi="Calibri" w:cs="Calibri"/>
          <w:b/>
          <w:sz w:val="22"/>
          <w:szCs w:val="22"/>
        </w:rPr>
      </w:pPr>
      <w:r w:rsidRPr="006F7FE1">
        <w:rPr>
          <w:rFonts w:ascii="Calibri" w:hAnsi="Calibri" w:cs="Calibri"/>
          <w:b/>
          <w:sz w:val="22"/>
          <w:szCs w:val="22"/>
        </w:rPr>
        <w:t>Plán hodnocení Projektu</w:t>
      </w:r>
    </w:p>
    <w:p w14:paraId="58C9E381" w14:textId="77777777" w:rsidR="006F7FE1" w:rsidRPr="006F7FE1" w:rsidRDefault="006F7FE1" w:rsidP="006F7FE1">
      <w:pPr>
        <w:spacing w:before="240" w:after="120"/>
        <w:jc w:val="center"/>
        <w:rPr>
          <w:rFonts w:ascii="Calibri" w:hAnsi="Calibri" w:cs="Calibri"/>
          <w:b/>
          <w:sz w:val="22"/>
          <w:szCs w:val="22"/>
        </w:rPr>
      </w:pPr>
    </w:p>
    <w:p w14:paraId="5429AE9E" w14:textId="77777777" w:rsidR="006F7FE1" w:rsidRPr="006F7FE1" w:rsidRDefault="006F7FE1" w:rsidP="00397472">
      <w:pPr>
        <w:numPr>
          <w:ilvl w:val="0"/>
          <w:numId w:val="23"/>
        </w:numPr>
        <w:tabs>
          <w:tab w:val="num" w:pos="567"/>
          <w:tab w:val="left" w:pos="5245"/>
        </w:tabs>
        <w:spacing w:before="240" w:after="120"/>
        <w:ind w:left="567" w:hanging="567"/>
        <w:jc w:val="both"/>
        <w:rPr>
          <w:rFonts w:ascii="Calibri" w:hAnsi="Calibri" w:cs="Calibri"/>
          <w:sz w:val="22"/>
          <w:szCs w:val="22"/>
        </w:rPr>
      </w:pPr>
      <w:r w:rsidRPr="006F7FE1">
        <w:rPr>
          <w:rFonts w:ascii="Calibri" w:hAnsi="Calibri" w:cs="Calibri"/>
          <w:sz w:val="22"/>
          <w:szCs w:val="22"/>
        </w:rPr>
        <w:t>Poskytovatel provádí kontrolu a hodnocení Projektu (dále jen „kontrola“) podle tohoto plánu hodnocení Projektu v souladu s § 13 zákona č. 130/2002 Sb.</w:t>
      </w:r>
    </w:p>
    <w:p w14:paraId="5E1CCCAC" w14:textId="77777777" w:rsidR="006F7FE1" w:rsidRPr="006F7FE1" w:rsidRDefault="006F7FE1" w:rsidP="00397472">
      <w:pPr>
        <w:numPr>
          <w:ilvl w:val="0"/>
          <w:numId w:val="23"/>
        </w:numPr>
        <w:tabs>
          <w:tab w:val="num" w:pos="567"/>
          <w:tab w:val="left" w:pos="5245"/>
        </w:tabs>
        <w:spacing w:before="240" w:after="120"/>
        <w:ind w:left="567" w:hanging="567"/>
        <w:jc w:val="both"/>
        <w:rPr>
          <w:rFonts w:ascii="Calibri" w:hAnsi="Calibri" w:cs="Calibri"/>
          <w:sz w:val="22"/>
          <w:szCs w:val="22"/>
        </w:rPr>
      </w:pPr>
      <w:r w:rsidRPr="006F7FE1">
        <w:rPr>
          <w:rFonts w:ascii="Calibri" w:hAnsi="Calibri" w:cs="Calibr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11E4C432" w14:textId="77777777" w:rsidR="006F7FE1" w:rsidRPr="006F7FE1" w:rsidRDefault="006F7FE1" w:rsidP="00397472">
      <w:pPr>
        <w:numPr>
          <w:ilvl w:val="0"/>
          <w:numId w:val="23"/>
        </w:numPr>
        <w:tabs>
          <w:tab w:val="num" w:pos="567"/>
          <w:tab w:val="left" w:pos="5245"/>
        </w:tabs>
        <w:spacing w:before="240" w:after="120"/>
        <w:ind w:left="567" w:hanging="567"/>
        <w:jc w:val="both"/>
        <w:rPr>
          <w:rFonts w:ascii="Calibri" w:hAnsi="Calibri" w:cs="Calibri"/>
          <w:sz w:val="22"/>
          <w:szCs w:val="22"/>
        </w:rPr>
      </w:pPr>
      <w:r w:rsidRPr="006F7FE1">
        <w:rPr>
          <w:rFonts w:ascii="Calibri" w:hAnsi="Calibri" w:cs="Calibri"/>
          <w:sz w:val="22"/>
          <w:szCs w:val="22"/>
        </w:rPr>
        <w:t>Poskytovatel provádí kontrolu ve dvou stupních:</w:t>
      </w:r>
    </w:p>
    <w:p w14:paraId="10476040" w14:textId="0416A004" w:rsidR="006F7FE1" w:rsidRPr="006F7FE1" w:rsidRDefault="006F7FE1" w:rsidP="00397472">
      <w:pPr>
        <w:numPr>
          <w:ilvl w:val="1"/>
          <w:numId w:val="23"/>
        </w:numPr>
        <w:tabs>
          <w:tab w:val="num" w:pos="851"/>
          <w:tab w:val="left" w:pos="5245"/>
        </w:tabs>
        <w:spacing w:before="240" w:after="120"/>
        <w:ind w:left="851" w:hanging="142"/>
        <w:jc w:val="both"/>
        <w:rPr>
          <w:rFonts w:ascii="Calibri" w:hAnsi="Calibri" w:cs="Calibri"/>
          <w:sz w:val="22"/>
          <w:szCs w:val="22"/>
        </w:rPr>
      </w:pPr>
      <w:r>
        <w:rPr>
          <w:rFonts w:ascii="Calibri" w:hAnsi="Calibri" w:cs="Calibri"/>
          <w:sz w:val="22"/>
          <w:szCs w:val="22"/>
        </w:rPr>
        <w:t xml:space="preserve">   </w:t>
      </w:r>
      <w:r w:rsidRPr="006F7FE1">
        <w:rPr>
          <w:rFonts w:ascii="Calibri" w:hAnsi="Calibri" w:cs="Calibri"/>
          <w:sz w:val="22"/>
          <w:szCs w:val="22"/>
          <w:u w:val="single"/>
        </w:rPr>
        <w:t>Monitoring</w:t>
      </w:r>
      <w:r w:rsidRPr="006F7FE1">
        <w:rPr>
          <w:rFonts w:ascii="Calibri" w:hAnsi="Calibri" w:cs="Calibr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1D441F90" w14:textId="77777777" w:rsidR="006F7FE1" w:rsidRPr="006F7FE1" w:rsidRDefault="006F7FE1" w:rsidP="006F7FE1">
      <w:pPr>
        <w:tabs>
          <w:tab w:val="num" w:pos="851"/>
          <w:tab w:val="left" w:pos="5245"/>
        </w:tabs>
        <w:spacing w:before="240" w:after="120"/>
        <w:ind w:left="851" w:hanging="284"/>
        <w:jc w:val="both"/>
        <w:rPr>
          <w:rFonts w:ascii="Calibri" w:hAnsi="Calibri" w:cs="Calibri"/>
          <w:sz w:val="22"/>
          <w:szCs w:val="22"/>
        </w:rPr>
      </w:pPr>
      <w:r w:rsidRPr="006F7FE1">
        <w:rPr>
          <w:rFonts w:ascii="Calibri" w:hAnsi="Calibri" w:cs="Calibri"/>
          <w:sz w:val="22"/>
          <w:szCs w:val="22"/>
        </w:rPr>
        <w:t>II.</w:t>
      </w:r>
      <w:r w:rsidRPr="006F7FE1">
        <w:rPr>
          <w:rFonts w:ascii="Calibri" w:hAnsi="Calibri" w:cs="Calibri"/>
          <w:sz w:val="22"/>
          <w:szCs w:val="22"/>
        </w:rPr>
        <w:tab/>
      </w:r>
      <w:r w:rsidRPr="006F7FE1">
        <w:rPr>
          <w:rFonts w:ascii="Calibri" w:hAnsi="Calibri" w:cs="Calibri"/>
          <w:sz w:val="22"/>
          <w:szCs w:val="22"/>
          <w:u w:val="single"/>
        </w:rPr>
        <w:t>Evaluace</w:t>
      </w:r>
      <w:r w:rsidRPr="006F7FE1">
        <w:rPr>
          <w:rFonts w:ascii="Calibri" w:hAnsi="Calibri" w:cs="Calibr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597BA683" w14:textId="77777777" w:rsidR="006F7FE1" w:rsidRPr="006F7FE1" w:rsidRDefault="006F7FE1" w:rsidP="00397472">
      <w:pPr>
        <w:numPr>
          <w:ilvl w:val="0"/>
          <w:numId w:val="23"/>
        </w:numPr>
        <w:tabs>
          <w:tab w:val="num" w:pos="567"/>
          <w:tab w:val="left" w:pos="5245"/>
        </w:tabs>
        <w:spacing w:before="240" w:after="120"/>
        <w:ind w:left="567" w:hanging="567"/>
        <w:jc w:val="both"/>
        <w:rPr>
          <w:rFonts w:ascii="Calibri" w:hAnsi="Calibri" w:cs="Calibri"/>
          <w:sz w:val="22"/>
          <w:szCs w:val="22"/>
        </w:rPr>
      </w:pPr>
      <w:r w:rsidRPr="006F7FE1">
        <w:rPr>
          <w:rFonts w:ascii="Calibri" w:hAnsi="Calibri" w:cs="Calibr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6F7FE1" w:rsidRPr="006F7FE1" w14:paraId="3ACEACA5" w14:textId="77777777" w:rsidTr="006F7FE1">
        <w:tc>
          <w:tcPr>
            <w:tcW w:w="284" w:type="dxa"/>
            <w:tcBorders>
              <w:top w:val="single" w:sz="4" w:space="0" w:color="auto"/>
              <w:left w:val="single" w:sz="4" w:space="0" w:color="auto"/>
              <w:bottom w:val="single" w:sz="4" w:space="0" w:color="auto"/>
              <w:right w:val="single" w:sz="4" w:space="0" w:color="auto"/>
            </w:tcBorders>
            <w:hideMark/>
          </w:tcPr>
          <w:p w14:paraId="77AFC933" w14:textId="77777777" w:rsidR="006F7FE1" w:rsidRPr="006F7FE1" w:rsidRDefault="006F7FE1" w:rsidP="006F7FE1">
            <w:pPr>
              <w:tabs>
                <w:tab w:val="left" w:pos="5245"/>
              </w:tabs>
              <w:spacing w:before="240" w:after="120"/>
              <w:jc w:val="both"/>
              <w:rPr>
                <w:rFonts w:ascii="Calibri" w:hAnsi="Calibri" w:cs="Calibri"/>
                <w:sz w:val="22"/>
                <w:szCs w:val="22"/>
                <w:lang w:eastAsia="en-US"/>
              </w:rPr>
            </w:pPr>
            <w:r w:rsidRPr="006F7FE1">
              <w:rPr>
                <w:rFonts w:ascii="Calibri" w:hAnsi="Calibri"/>
                <w:sz w:val="22"/>
                <w:szCs w:val="22"/>
                <w:lang w:eastAsia="en-US"/>
              </w:rPr>
              <w:t>V</w:t>
            </w:r>
          </w:p>
        </w:tc>
        <w:tc>
          <w:tcPr>
            <w:tcW w:w="8221" w:type="dxa"/>
            <w:tcBorders>
              <w:top w:val="single" w:sz="4" w:space="0" w:color="auto"/>
              <w:left w:val="single" w:sz="4" w:space="0" w:color="auto"/>
              <w:bottom w:val="single" w:sz="4" w:space="0" w:color="auto"/>
              <w:right w:val="single" w:sz="4" w:space="0" w:color="auto"/>
            </w:tcBorders>
            <w:hideMark/>
          </w:tcPr>
          <w:p w14:paraId="2DC6B306" w14:textId="77777777" w:rsidR="006F7FE1" w:rsidRPr="006F7FE1" w:rsidRDefault="006F7FE1" w:rsidP="006F7FE1">
            <w:pPr>
              <w:tabs>
                <w:tab w:val="left" w:pos="34"/>
                <w:tab w:val="left" w:pos="5245"/>
              </w:tabs>
              <w:spacing w:before="240" w:after="120"/>
              <w:ind w:left="34"/>
              <w:jc w:val="both"/>
              <w:rPr>
                <w:rFonts w:ascii="Calibri" w:hAnsi="Calibri"/>
                <w:sz w:val="22"/>
                <w:szCs w:val="22"/>
                <w:lang w:eastAsia="en-US"/>
              </w:rPr>
            </w:pPr>
            <w:r w:rsidRPr="006F7FE1">
              <w:rPr>
                <w:rFonts w:ascii="Calibri" w:hAnsi="Calibri"/>
                <w:sz w:val="22"/>
                <w:szCs w:val="22"/>
                <w:lang w:eastAsia="en-US"/>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6F7FE1" w:rsidRPr="006F7FE1" w14:paraId="43E3BF53" w14:textId="77777777" w:rsidTr="006F7FE1">
        <w:tc>
          <w:tcPr>
            <w:tcW w:w="284" w:type="dxa"/>
            <w:tcBorders>
              <w:top w:val="single" w:sz="4" w:space="0" w:color="auto"/>
              <w:left w:val="single" w:sz="4" w:space="0" w:color="auto"/>
              <w:bottom w:val="single" w:sz="4" w:space="0" w:color="auto"/>
              <w:right w:val="single" w:sz="4" w:space="0" w:color="auto"/>
            </w:tcBorders>
            <w:hideMark/>
          </w:tcPr>
          <w:p w14:paraId="25C20A03" w14:textId="77777777" w:rsidR="006F7FE1" w:rsidRPr="006F7FE1" w:rsidRDefault="006F7FE1" w:rsidP="006F7FE1">
            <w:pPr>
              <w:tabs>
                <w:tab w:val="left" w:pos="5245"/>
              </w:tabs>
              <w:spacing w:before="240" w:after="120"/>
              <w:jc w:val="both"/>
              <w:rPr>
                <w:rFonts w:ascii="Calibri" w:hAnsi="Calibri"/>
                <w:sz w:val="22"/>
                <w:szCs w:val="22"/>
                <w:lang w:eastAsia="en-US"/>
              </w:rPr>
            </w:pPr>
            <w:r w:rsidRPr="006F7FE1">
              <w:rPr>
                <w:rFonts w:ascii="Calibri" w:hAnsi="Calibri"/>
                <w:sz w:val="22"/>
                <w:szCs w:val="22"/>
                <w:lang w:eastAsia="en-US"/>
              </w:rPr>
              <w:t>U</w:t>
            </w:r>
          </w:p>
        </w:tc>
        <w:tc>
          <w:tcPr>
            <w:tcW w:w="8221" w:type="dxa"/>
            <w:tcBorders>
              <w:top w:val="single" w:sz="4" w:space="0" w:color="auto"/>
              <w:left w:val="single" w:sz="4" w:space="0" w:color="auto"/>
              <w:bottom w:val="single" w:sz="4" w:space="0" w:color="auto"/>
              <w:right w:val="single" w:sz="4" w:space="0" w:color="auto"/>
            </w:tcBorders>
            <w:hideMark/>
          </w:tcPr>
          <w:p w14:paraId="2006E74A" w14:textId="77777777" w:rsidR="006F7FE1" w:rsidRPr="006F7FE1" w:rsidRDefault="006F7FE1" w:rsidP="006F7FE1">
            <w:pPr>
              <w:tabs>
                <w:tab w:val="left" w:pos="851"/>
                <w:tab w:val="left" w:pos="5245"/>
              </w:tabs>
              <w:spacing w:before="240" w:after="120"/>
              <w:jc w:val="both"/>
              <w:rPr>
                <w:rFonts w:ascii="Calibri" w:hAnsi="Calibri"/>
                <w:sz w:val="22"/>
                <w:szCs w:val="22"/>
                <w:lang w:eastAsia="en-US"/>
              </w:rPr>
            </w:pPr>
            <w:r w:rsidRPr="006F7FE1">
              <w:rPr>
                <w:rFonts w:ascii="Calibri" w:hAnsi="Calibri"/>
                <w:sz w:val="22"/>
                <w:szCs w:val="22"/>
                <w:lang w:eastAsia="en-US"/>
              </w:rPr>
              <w:t>Projekt plní/splnil stanovené cíle v rozsahu stanoveném ve smlouvě („uspěl podle zadání“) a byly získány kvalitní výsledky ve výzkumu a vývoji na národní úrovni.</w:t>
            </w:r>
          </w:p>
        </w:tc>
      </w:tr>
      <w:tr w:rsidR="006F7FE1" w:rsidRPr="006F7FE1" w14:paraId="10C9515E" w14:textId="77777777" w:rsidTr="006F7FE1">
        <w:tc>
          <w:tcPr>
            <w:tcW w:w="284" w:type="dxa"/>
            <w:tcBorders>
              <w:top w:val="single" w:sz="4" w:space="0" w:color="auto"/>
              <w:left w:val="single" w:sz="4" w:space="0" w:color="auto"/>
              <w:bottom w:val="single" w:sz="4" w:space="0" w:color="auto"/>
              <w:right w:val="single" w:sz="4" w:space="0" w:color="auto"/>
            </w:tcBorders>
            <w:hideMark/>
          </w:tcPr>
          <w:p w14:paraId="132FAAE5" w14:textId="77777777" w:rsidR="006F7FE1" w:rsidRPr="006F7FE1" w:rsidRDefault="006F7FE1" w:rsidP="006F7FE1">
            <w:pPr>
              <w:tabs>
                <w:tab w:val="left" w:pos="5245"/>
              </w:tabs>
              <w:spacing w:before="240" w:after="120"/>
              <w:jc w:val="both"/>
              <w:rPr>
                <w:rFonts w:ascii="Calibri" w:hAnsi="Calibri"/>
                <w:sz w:val="22"/>
                <w:szCs w:val="22"/>
                <w:lang w:eastAsia="en-US"/>
              </w:rPr>
            </w:pPr>
            <w:r w:rsidRPr="006F7FE1">
              <w:rPr>
                <w:rFonts w:ascii="Calibri" w:hAnsi="Calibri"/>
                <w:sz w:val="22"/>
                <w:szCs w:val="22"/>
                <w:lang w:eastAsia="en-US"/>
              </w:rPr>
              <w:t>O</w:t>
            </w:r>
          </w:p>
        </w:tc>
        <w:tc>
          <w:tcPr>
            <w:tcW w:w="8221" w:type="dxa"/>
            <w:tcBorders>
              <w:top w:val="single" w:sz="4" w:space="0" w:color="auto"/>
              <w:left w:val="single" w:sz="4" w:space="0" w:color="auto"/>
              <w:bottom w:val="single" w:sz="4" w:space="0" w:color="auto"/>
              <w:right w:val="single" w:sz="4" w:space="0" w:color="auto"/>
            </w:tcBorders>
            <w:hideMark/>
          </w:tcPr>
          <w:p w14:paraId="26BBE191" w14:textId="77777777" w:rsidR="006F7FE1" w:rsidRPr="006F7FE1" w:rsidRDefault="006F7FE1" w:rsidP="006F7FE1">
            <w:pPr>
              <w:tabs>
                <w:tab w:val="left" w:pos="709"/>
                <w:tab w:val="left" w:pos="5245"/>
              </w:tabs>
              <w:spacing w:before="240" w:after="120"/>
              <w:jc w:val="both"/>
              <w:rPr>
                <w:rFonts w:ascii="Calibri" w:hAnsi="Calibri"/>
                <w:sz w:val="22"/>
                <w:szCs w:val="22"/>
                <w:lang w:eastAsia="en-US"/>
              </w:rPr>
            </w:pPr>
            <w:r w:rsidRPr="006F7FE1">
              <w:rPr>
                <w:rFonts w:ascii="Calibri" w:hAnsi="Calibri"/>
                <w:sz w:val="22"/>
                <w:szCs w:val="22"/>
                <w:lang w:eastAsia="en-US"/>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6F7FE1" w:rsidRPr="006F7FE1" w14:paraId="4AFE52C6" w14:textId="77777777" w:rsidTr="006F7FE1">
        <w:tc>
          <w:tcPr>
            <w:tcW w:w="284" w:type="dxa"/>
            <w:tcBorders>
              <w:top w:val="single" w:sz="4" w:space="0" w:color="auto"/>
              <w:left w:val="single" w:sz="4" w:space="0" w:color="auto"/>
              <w:bottom w:val="single" w:sz="4" w:space="0" w:color="auto"/>
              <w:right w:val="single" w:sz="4" w:space="0" w:color="auto"/>
            </w:tcBorders>
            <w:hideMark/>
          </w:tcPr>
          <w:p w14:paraId="164346E3" w14:textId="77777777" w:rsidR="006F7FE1" w:rsidRPr="006F7FE1" w:rsidRDefault="006F7FE1" w:rsidP="006F7FE1">
            <w:pPr>
              <w:tabs>
                <w:tab w:val="left" w:pos="5245"/>
              </w:tabs>
              <w:spacing w:before="240" w:after="120"/>
              <w:jc w:val="both"/>
              <w:rPr>
                <w:rFonts w:ascii="Calibri" w:hAnsi="Calibri"/>
                <w:sz w:val="22"/>
                <w:szCs w:val="22"/>
                <w:lang w:eastAsia="en-US"/>
              </w:rPr>
            </w:pPr>
            <w:r w:rsidRPr="006F7FE1">
              <w:rPr>
                <w:rFonts w:ascii="Calibri" w:hAnsi="Calibri"/>
                <w:sz w:val="22"/>
                <w:szCs w:val="22"/>
                <w:lang w:eastAsia="en-US"/>
              </w:rPr>
              <w:t>S</w:t>
            </w:r>
          </w:p>
        </w:tc>
        <w:tc>
          <w:tcPr>
            <w:tcW w:w="8221" w:type="dxa"/>
            <w:tcBorders>
              <w:top w:val="single" w:sz="4" w:space="0" w:color="auto"/>
              <w:left w:val="single" w:sz="4" w:space="0" w:color="auto"/>
              <w:bottom w:val="single" w:sz="4" w:space="0" w:color="auto"/>
              <w:right w:val="single" w:sz="4" w:space="0" w:color="auto"/>
            </w:tcBorders>
            <w:hideMark/>
          </w:tcPr>
          <w:p w14:paraId="2E032DBC" w14:textId="77777777" w:rsidR="006F7FE1" w:rsidRPr="006F7FE1" w:rsidRDefault="006F7FE1" w:rsidP="006F7FE1">
            <w:pPr>
              <w:tabs>
                <w:tab w:val="left" w:pos="0"/>
                <w:tab w:val="left" w:pos="5245"/>
              </w:tabs>
              <w:spacing w:before="240" w:after="120"/>
              <w:ind w:left="34"/>
              <w:jc w:val="both"/>
              <w:rPr>
                <w:rFonts w:ascii="Calibri" w:hAnsi="Calibri"/>
                <w:sz w:val="22"/>
                <w:szCs w:val="22"/>
                <w:lang w:eastAsia="en-US"/>
              </w:rPr>
            </w:pPr>
            <w:r w:rsidRPr="006F7FE1">
              <w:rPr>
                <w:rFonts w:ascii="Calibri" w:hAnsi="Calibri"/>
                <w:sz w:val="22"/>
                <w:szCs w:val="22"/>
                <w:lang w:eastAsia="en-US"/>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19BA48BA" w14:textId="77777777" w:rsidR="006F7FE1" w:rsidRPr="006F7FE1" w:rsidRDefault="006F7FE1" w:rsidP="00397472">
      <w:pPr>
        <w:numPr>
          <w:ilvl w:val="0"/>
          <w:numId w:val="23"/>
        </w:numPr>
        <w:tabs>
          <w:tab w:val="num" w:pos="567"/>
          <w:tab w:val="left" w:pos="851"/>
          <w:tab w:val="left" w:pos="5245"/>
        </w:tabs>
        <w:spacing w:before="240" w:after="120"/>
        <w:ind w:left="567" w:hanging="567"/>
        <w:jc w:val="both"/>
        <w:rPr>
          <w:rFonts w:ascii="Calibri" w:hAnsi="Calibri" w:cs="Calibri"/>
          <w:sz w:val="22"/>
          <w:szCs w:val="22"/>
        </w:rPr>
      </w:pPr>
      <w:r w:rsidRPr="006F7FE1">
        <w:rPr>
          <w:rFonts w:ascii="Calibri" w:hAnsi="Calibri" w:cs="Calibr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A84D666" w14:textId="77777777" w:rsidR="006F7FE1" w:rsidRPr="006F7FE1" w:rsidRDefault="006F7FE1" w:rsidP="00397472">
      <w:pPr>
        <w:numPr>
          <w:ilvl w:val="0"/>
          <w:numId w:val="23"/>
        </w:numPr>
        <w:tabs>
          <w:tab w:val="num" w:pos="567"/>
          <w:tab w:val="left" w:pos="5245"/>
        </w:tabs>
        <w:spacing w:before="240" w:after="120"/>
        <w:ind w:left="567" w:hanging="567"/>
        <w:jc w:val="both"/>
        <w:rPr>
          <w:rFonts w:ascii="Calibri" w:hAnsi="Calibri" w:cs="Calibri"/>
          <w:sz w:val="22"/>
          <w:szCs w:val="22"/>
        </w:rPr>
      </w:pPr>
      <w:r w:rsidRPr="006F7FE1">
        <w:rPr>
          <w:rFonts w:ascii="Calibri" w:hAnsi="Calibri" w:cs="Calibri"/>
          <w:sz w:val="22"/>
          <w:szCs w:val="22"/>
        </w:rPr>
        <w:t>Pro účely kontroly Projektu v průběhu a na konci jeho řešení má příjemce povinnost předložit poskytovateli ke schválení následující dokumenty:</w:t>
      </w:r>
    </w:p>
    <w:p w14:paraId="7521BDD3" w14:textId="77777777" w:rsidR="006F7FE1" w:rsidRPr="006F7FE1" w:rsidRDefault="006F7FE1" w:rsidP="00397472">
      <w:pPr>
        <w:numPr>
          <w:ilvl w:val="1"/>
          <w:numId w:val="24"/>
        </w:numPr>
        <w:tabs>
          <w:tab w:val="num" w:pos="851"/>
        </w:tabs>
        <w:ind w:left="851" w:hanging="284"/>
        <w:jc w:val="both"/>
        <w:rPr>
          <w:rFonts w:ascii="Calibri" w:hAnsi="Calibri" w:cs="Calibri"/>
          <w:sz w:val="22"/>
          <w:szCs w:val="22"/>
        </w:rPr>
      </w:pPr>
      <w:r w:rsidRPr="006F7FE1">
        <w:rPr>
          <w:rFonts w:ascii="Calibri" w:hAnsi="Calibri" w:cs="Calibri"/>
          <w:sz w:val="22"/>
          <w:szCs w:val="22"/>
        </w:rPr>
        <w:t>průběžnou zprávu o řešení Projektu, je-li podle ustanovení odst. 3) této přílohy vyžadována. Průběžná zpráva musí obsahovat</w:t>
      </w:r>
    </w:p>
    <w:p w14:paraId="2A7C3F64" w14:textId="77777777" w:rsidR="006F7FE1" w:rsidRPr="006F7FE1" w:rsidRDefault="006F7FE1" w:rsidP="006F7FE1">
      <w:pPr>
        <w:tabs>
          <w:tab w:val="num" w:pos="851"/>
        </w:tabs>
        <w:ind w:left="567"/>
        <w:jc w:val="both"/>
        <w:rPr>
          <w:rFonts w:ascii="Calibri" w:hAnsi="Calibri" w:cs="Calibri"/>
          <w:sz w:val="22"/>
          <w:szCs w:val="22"/>
        </w:rPr>
      </w:pPr>
    </w:p>
    <w:p w14:paraId="7B989CFE" w14:textId="77777777" w:rsidR="006F7FE1" w:rsidRPr="006F7FE1" w:rsidRDefault="006F7FE1" w:rsidP="00397472">
      <w:pPr>
        <w:numPr>
          <w:ilvl w:val="0"/>
          <w:numId w:val="25"/>
        </w:numPr>
        <w:tabs>
          <w:tab w:val="num" w:pos="851"/>
        </w:tabs>
        <w:jc w:val="both"/>
        <w:rPr>
          <w:rFonts w:ascii="Calibri" w:hAnsi="Calibri" w:cs="Calibri"/>
          <w:sz w:val="22"/>
          <w:szCs w:val="22"/>
        </w:rPr>
      </w:pPr>
      <w:r w:rsidRPr="006F7FE1">
        <w:rPr>
          <w:rFonts w:ascii="Calibri" w:hAnsi="Calibri" w:cs="Calibri"/>
          <w:sz w:val="22"/>
          <w:szCs w:val="22"/>
        </w:rPr>
        <w:t xml:space="preserve">informace o postupu prací na Projektu, </w:t>
      </w:r>
    </w:p>
    <w:p w14:paraId="28CBA8EC" w14:textId="77777777" w:rsidR="006F7FE1" w:rsidRPr="006F7FE1" w:rsidRDefault="006F7FE1" w:rsidP="00397472">
      <w:pPr>
        <w:numPr>
          <w:ilvl w:val="0"/>
          <w:numId w:val="25"/>
        </w:numPr>
        <w:tabs>
          <w:tab w:val="num" w:pos="851"/>
        </w:tabs>
        <w:jc w:val="both"/>
        <w:rPr>
          <w:rFonts w:ascii="Calibri" w:hAnsi="Calibri" w:cs="Calibri"/>
          <w:sz w:val="22"/>
          <w:szCs w:val="22"/>
        </w:rPr>
      </w:pPr>
      <w:r w:rsidRPr="006F7FE1">
        <w:rPr>
          <w:rFonts w:ascii="Calibri" w:hAnsi="Calibri" w:cs="Calibri"/>
          <w:sz w:val="22"/>
          <w:szCs w:val="22"/>
        </w:rPr>
        <w:t xml:space="preserve">zhodnocení dosažených dílčích cílů Projektu, </w:t>
      </w:r>
    </w:p>
    <w:p w14:paraId="281C27E6" w14:textId="77777777" w:rsidR="006F7FE1" w:rsidRPr="006F7FE1" w:rsidRDefault="006F7FE1" w:rsidP="00397472">
      <w:pPr>
        <w:numPr>
          <w:ilvl w:val="0"/>
          <w:numId w:val="25"/>
        </w:numPr>
        <w:tabs>
          <w:tab w:val="num" w:pos="851"/>
        </w:tabs>
        <w:jc w:val="both"/>
        <w:rPr>
          <w:rFonts w:ascii="Calibri" w:hAnsi="Calibri" w:cs="Calibri"/>
          <w:sz w:val="22"/>
          <w:szCs w:val="22"/>
        </w:rPr>
      </w:pPr>
      <w:r w:rsidRPr="006F7FE1">
        <w:rPr>
          <w:rFonts w:ascii="Calibri" w:hAnsi="Calibri" w:cs="Calibri"/>
          <w:sz w:val="22"/>
          <w:szCs w:val="22"/>
        </w:rPr>
        <w:t xml:space="preserve">porovnání skutečně provedených prací na Projektu s plánovaným harmonogramem, </w:t>
      </w:r>
    </w:p>
    <w:p w14:paraId="5B3364F1" w14:textId="77777777" w:rsidR="006F7FE1" w:rsidRPr="006F7FE1" w:rsidRDefault="006F7FE1" w:rsidP="00397472">
      <w:pPr>
        <w:numPr>
          <w:ilvl w:val="0"/>
          <w:numId w:val="25"/>
        </w:numPr>
        <w:tabs>
          <w:tab w:val="num" w:pos="851"/>
        </w:tabs>
        <w:jc w:val="both"/>
        <w:rPr>
          <w:rFonts w:ascii="Calibri" w:hAnsi="Calibri" w:cs="Calibri"/>
          <w:sz w:val="22"/>
          <w:szCs w:val="22"/>
        </w:rPr>
      </w:pPr>
      <w:r w:rsidRPr="006F7FE1">
        <w:rPr>
          <w:rFonts w:ascii="Calibri" w:hAnsi="Calibri" w:cs="Calibri"/>
          <w:sz w:val="22"/>
          <w:szCs w:val="22"/>
        </w:rPr>
        <w:t xml:space="preserve">přehled a zdůvodnění případných změn, které během řešení Projektu nastaly oproti původním plánům v harmonogramu a rozpočtu, včetně uvedení stanoviska poskytovatele, </w:t>
      </w:r>
    </w:p>
    <w:p w14:paraId="5DB448D7" w14:textId="77777777" w:rsidR="006F7FE1" w:rsidRPr="006F7FE1" w:rsidRDefault="006F7FE1" w:rsidP="00397472">
      <w:pPr>
        <w:numPr>
          <w:ilvl w:val="0"/>
          <w:numId w:val="25"/>
        </w:numPr>
        <w:tabs>
          <w:tab w:val="num" w:pos="851"/>
        </w:tabs>
        <w:jc w:val="both"/>
        <w:rPr>
          <w:rFonts w:ascii="Calibri" w:hAnsi="Calibri" w:cs="Calibri"/>
          <w:sz w:val="22"/>
          <w:szCs w:val="22"/>
        </w:rPr>
      </w:pPr>
      <w:r w:rsidRPr="006F7FE1">
        <w:rPr>
          <w:rFonts w:ascii="Calibri" w:hAnsi="Calibri" w:cs="Calibri"/>
          <w:sz w:val="22"/>
          <w:szCs w:val="22"/>
        </w:rPr>
        <w:t xml:space="preserve">porovnání výše skutečně vynaložených uznaných nákladů a výše skutečně čerpané podpory s plánovaným rozpočtem, </w:t>
      </w:r>
    </w:p>
    <w:p w14:paraId="685B5165" w14:textId="77777777" w:rsidR="006F7FE1" w:rsidRPr="006F7FE1" w:rsidRDefault="006F7FE1" w:rsidP="00397472">
      <w:pPr>
        <w:numPr>
          <w:ilvl w:val="0"/>
          <w:numId w:val="25"/>
        </w:numPr>
        <w:tabs>
          <w:tab w:val="num" w:pos="851"/>
        </w:tabs>
        <w:jc w:val="both"/>
        <w:rPr>
          <w:rFonts w:ascii="Calibri" w:hAnsi="Calibri" w:cs="Calibri"/>
          <w:sz w:val="22"/>
          <w:szCs w:val="22"/>
        </w:rPr>
      </w:pPr>
      <w:r w:rsidRPr="006F7FE1">
        <w:rPr>
          <w:rFonts w:ascii="Calibri" w:hAnsi="Calibri" w:cs="Calibri"/>
          <w:sz w:val="22"/>
          <w:szCs w:val="22"/>
        </w:rPr>
        <w:t xml:space="preserve">porovnání skutečných výstupů Projektu s daty zveřejněnými příjemcem, </w:t>
      </w:r>
    </w:p>
    <w:p w14:paraId="124E821C" w14:textId="77777777" w:rsidR="006F7FE1" w:rsidRPr="006F7FE1" w:rsidRDefault="006F7FE1" w:rsidP="00397472">
      <w:pPr>
        <w:numPr>
          <w:ilvl w:val="0"/>
          <w:numId w:val="25"/>
        </w:numPr>
        <w:tabs>
          <w:tab w:val="num" w:pos="851"/>
        </w:tabs>
        <w:jc w:val="both"/>
        <w:rPr>
          <w:rFonts w:ascii="Calibri" w:hAnsi="Calibri" w:cs="Calibri"/>
          <w:sz w:val="22"/>
          <w:szCs w:val="22"/>
        </w:rPr>
      </w:pPr>
      <w:r w:rsidRPr="006F7FE1">
        <w:rPr>
          <w:rFonts w:ascii="Calibri" w:hAnsi="Calibri" w:cs="Calibri"/>
          <w:sz w:val="22"/>
          <w:szCs w:val="22"/>
        </w:rPr>
        <w:t xml:space="preserve">roční vyúčtování uznaných nákladů Projektu, včetně souhrnného a položkového výpisu nákladů z účetní evidence, za monitorovací období. </w:t>
      </w:r>
    </w:p>
    <w:p w14:paraId="68E22DA8" w14:textId="77777777" w:rsidR="006F7FE1" w:rsidRPr="006F7FE1" w:rsidRDefault="006F7FE1" w:rsidP="006F7FE1">
      <w:pPr>
        <w:tabs>
          <w:tab w:val="num" w:pos="851"/>
        </w:tabs>
        <w:ind w:left="617"/>
        <w:jc w:val="both"/>
        <w:rPr>
          <w:rFonts w:ascii="Calibri" w:hAnsi="Calibri" w:cs="Calibri"/>
          <w:sz w:val="22"/>
          <w:szCs w:val="22"/>
        </w:rPr>
      </w:pPr>
    </w:p>
    <w:p w14:paraId="47FE7CCB" w14:textId="77777777" w:rsidR="006F7FE1" w:rsidRPr="006F7FE1" w:rsidRDefault="006F7FE1" w:rsidP="006F7FE1">
      <w:pPr>
        <w:tabs>
          <w:tab w:val="num" w:pos="851"/>
        </w:tabs>
        <w:ind w:left="617"/>
        <w:jc w:val="both"/>
        <w:rPr>
          <w:rFonts w:ascii="Calibri" w:hAnsi="Calibri" w:cs="Calibri"/>
          <w:sz w:val="22"/>
          <w:szCs w:val="22"/>
        </w:rPr>
      </w:pPr>
      <w:r w:rsidRPr="006F7FE1">
        <w:rPr>
          <w:rFonts w:ascii="Calibri" w:hAnsi="Calibri" w:cs="Calibri"/>
          <w:sz w:val="22"/>
          <w:szCs w:val="22"/>
        </w:rPr>
        <w:t xml:space="preserve">V rámci průběžného hodnocení je rovněž posuzováno plnění informační povinnosti příjemce a předávání informací do IS </w:t>
      </w:r>
      <w:proofErr w:type="spellStart"/>
      <w:r w:rsidRPr="006F7FE1">
        <w:rPr>
          <w:rFonts w:ascii="Calibri" w:hAnsi="Calibri" w:cs="Calibri"/>
          <w:sz w:val="22"/>
          <w:szCs w:val="22"/>
        </w:rPr>
        <w:t>VaVaI</w:t>
      </w:r>
      <w:proofErr w:type="spellEnd"/>
      <w:r w:rsidRPr="006F7FE1">
        <w:rPr>
          <w:rFonts w:ascii="Calibri" w:hAnsi="Calibri" w:cs="Calibri"/>
          <w:sz w:val="22"/>
          <w:szCs w:val="22"/>
        </w:rPr>
        <w:t>. Povinnou přílohou průběžné zprávy jsou dva oponentní posudky dvou nezávislých oponentů a zápis z oponentního řízení. Průběžné oponentní řízení se provádí podle pokynů poskytovatele</w:t>
      </w:r>
      <w:r w:rsidRPr="006F7FE1">
        <w:rPr>
          <w:rFonts w:ascii="Calibri" w:hAnsi="Calibri"/>
          <w:sz w:val="22"/>
          <w:szCs w:val="22"/>
          <w:vertAlign w:val="superscript"/>
        </w:rPr>
        <w:footnoteReference w:id="5"/>
      </w:r>
      <w:r w:rsidRPr="006F7FE1">
        <w:rPr>
          <w:rFonts w:ascii="Calibri" w:hAnsi="Calibri" w:cs="Calibri"/>
          <w:sz w:val="22"/>
          <w:szCs w:val="22"/>
        </w:rPr>
        <w:t>;</w:t>
      </w:r>
    </w:p>
    <w:p w14:paraId="09064DC4" w14:textId="77777777" w:rsidR="006F7FE1" w:rsidRDefault="006F7FE1" w:rsidP="006F7FE1">
      <w:pPr>
        <w:tabs>
          <w:tab w:val="num" w:pos="851"/>
        </w:tabs>
        <w:ind w:left="851" w:hanging="284"/>
        <w:jc w:val="both"/>
        <w:rPr>
          <w:rFonts w:ascii="Calibri" w:hAnsi="Calibri" w:cs="Calibri"/>
          <w:sz w:val="22"/>
          <w:szCs w:val="22"/>
        </w:rPr>
      </w:pPr>
    </w:p>
    <w:p w14:paraId="2B3B0476" w14:textId="77777777" w:rsidR="006C138C" w:rsidRPr="006F7FE1" w:rsidRDefault="006C138C" w:rsidP="006F7FE1">
      <w:pPr>
        <w:tabs>
          <w:tab w:val="num" w:pos="851"/>
        </w:tabs>
        <w:ind w:left="851" w:hanging="284"/>
        <w:jc w:val="both"/>
        <w:rPr>
          <w:rFonts w:ascii="Calibri" w:hAnsi="Calibri" w:cs="Calibri"/>
          <w:sz w:val="22"/>
          <w:szCs w:val="22"/>
        </w:rPr>
      </w:pPr>
    </w:p>
    <w:p w14:paraId="51E21FC2" w14:textId="6A451235" w:rsidR="006F7FE1" w:rsidRPr="006F7FE1" w:rsidRDefault="006F7FE1" w:rsidP="006F7FE1">
      <w:pPr>
        <w:ind w:left="180"/>
        <w:jc w:val="both"/>
        <w:rPr>
          <w:rFonts w:ascii="Calibri" w:hAnsi="Calibri" w:cs="Calibri"/>
          <w:sz w:val="22"/>
          <w:szCs w:val="22"/>
        </w:rPr>
      </w:pPr>
      <w:r>
        <w:rPr>
          <w:rFonts w:ascii="Calibri" w:hAnsi="Calibri" w:cs="Calibri"/>
          <w:sz w:val="22"/>
          <w:szCs w:val="22"/>
        </w:rPr>
        <w:t xml:space="preserve">        b) </w:t>
      </w:r>
      <w:r w:rsidRPr="006F7FE1">
        <w:rPr>
          <w:rFonts w:ascii="Calibri" w:hAnsi="Calibri" w:cs="Calibri"/>
          <w:sz w:val="22"/>
          <w:szCs w:val="22"/>
        </w:rPr>
        <w:t>závěrečnou zprávu o řešení Projektu, která obsahuje</w:t>
      </w:r>
    </w:p>
    <w:p w14:paraId="6AE94139" w14:textId="77777777" w:rsidR="006F7FE1" w:rsidRPr="006F7FE1" w:rsidRDefault="006F7FE1" w:rsidP="006F7FE1">
      <w:pPr>
        <w:tabs>
          <w:tab w:val="num" w:pos="851"/>
        </w:tabs>
        <w:ind w:left="567"/>
        <w:jc w:val="both"/>
        <w:rPr>
          <w:rFonts w:ascii="Calibri" w:hAnsi="Calibri" w:cs="Calibri"/>
          <w:sz w:val="22"/>
          <w:szCs w:val="22"/>
        </w:rPr>
      </w:pPr>
    </w:p>
    <w:p w14:paraId="11780931" w14:textId="77777777" w:rsidR="006F7FE1" w:rsidRPr="006F7FE1" w:rsidRDefault="006F7FE1" w:rsidP="00397472">
      <w:pPr>
        <w:numPr>
          <w:ilvl w:val="0"/>
          <w:numId w:val="26"/>
        </w:numPr>
        <w:ind w:left="1429"/>
        <w:jc w:val="both"/>
        <w:rPr>
          <w:rFonts w:ascii="Calibri" w:hAnsi="Calibri" w:cs="Calibri"/>
          <w:sz w:val="22"/>
          <w:szCs w:val="22"/>
        </w:rPr>
      </w:pPr>
      <w:r w:rsidRPr="006F7FE1">
        <w:rPr>
          <w:rFonts w:ascii="Calibri" w:hAnsi="Calibri" w:cs="Calibri"/>
          <w:sz w:val="22"/>
          <w:szCs w:val="22"/>
        </w:rPr>
        <w:t>veškeré informace o průběhu řešení Projektu v posledním kalendářním roce a za celé období řešení Projektu (tj. ode dne oznámeného zahájení Projektu do dne jeho ukončení),</w:t>
      </w:r>
    </w:p>
    <w:p w14:paraId="45055C6A" w14:textId="77777777" w:rsidR="006F7FE1" w:rsidRPr="006F7FE1" w:rsidRDefault="006F7FE1" w:rsidP="00397472">
      <w:pPr>
        <w:numPr>
          <w:ilvl w:val="0"/>
          <w:numId w:val="26"/>
        </w:numPr>
        <w:ind w:left="1429"/>
        <w:jc w:val="both"/>
        <w:rPr>
          <w:rFonts w:ascii="Calibri" w:hAnsi="Calibri" w:cs="Calibri"/>
          <w:sz w:val="22"/>
          <w:szCs w:val="22"/>
        </w:rPr>
      </w:pPr>
      <w:r w:rsidRPr="006F7FE1">
        <w:rPr>
          <w:rFonts w:ascii="Calibri" w:hAnsi="Calibri" w:cs="Calibri"/>
          <w:sz w:val="22"/>
          <w:szCs w:val="22"/>
        </w:rPr>
        <w:t>souhrnné zhodnocení a přehled dosažených výsledků a výstupů s ohledem na všechny stanovené cíle,</w:t>
      </w:r>
    </w:p>
    <w:p w14:paraId="79B73083" w14:textId="77777777" w:rsidR="006F7FE1" w:rsidRPr="006F7FE1" w:rsidRDefault="006F7FE1" w:rsidP="00397472">
      <w:pPr>
        <w:numPr>
          <w:ilvl w:val="0"/>
          <w:numId w:val="26"/>
        </w:numPr>
        <w:ind w:left="1429"/>
        <w:jc w:val="both"/>
        <w:rPr>
          <w:rFonts w:ascii="Calibri" w:hAnsi="Calibri" w:cs="Calibri"/>
          <w:sz w:val="22"/>
          <w:szCs w:val="22"/>
        </w:rPr>
      </w:pPr>
      <w:r w:rsidRPr="006F7FE1">
        <w:rPr>
          <w:rFonts w:ascii="Calibri" w:hAnsi="Calibri" w:cs="Calibri"/>
          <w:sz w:val="22"/>
          <w:szCs w:val="22"/>
        </w:rPr>
        <w:t xml:space="preserve">plnění předepsaných indikátorů, </w:t>
      </w:r>
    </w:p>
    <w:p w14:paraId="03CD01E9" w14:textId="77777777" w:rsidR="006F7FE1" w:rsidRPr="006F7FE1" w:rsidRDefault="006F7FE1" w:rsidP="00397472">
      <w:pPr>
        <w:numPr>
          <w:ilvl w:val="0"/>
          <w:numId w:val="26"/>
        </w:numPr>
        <w:ind w:left="1429"/>
        <w:jc w:val="both"/>
        <w:rPr>
          <w:rFonts w:ascii="Calibri" w:hAnsi="Calibri" w:cs="Calibri"/>
          <w:sz w:val="22"/>
          <w:szCs w:val="22"/>
        </w:rPr>
      </w:pPr>
      <w:r w:rsidRPr="006F7FE1">
        <w:rPr>
          <w:rFonts w:ascii="Calibri" w:hAnsi="Calibri" w:cs="Calibri"/>
          <w:sz w:val="22"/>
          <w:szCs w:val="22"/>
        </w:rPr>
        <w:t xml:space="preserve">vyúčtování celkových uznaných nákladů Projektu a přehled vynaložených nákladů včetně specifikace jejich položek a souhrnného a položkového výpisu z účetní evidence, </w:t>
      </w:r>
    </w:p>
    <w:p w14:paraId="6ACF05E8" w14:textId="77777777" w:rsidR="006F7FE1" w:rsidRPr="006F7FE1" w:rsidRDefault="006F7FE1" w:rsidP="00397472">
      <w:pPr>
        <w:numPr>
          <w:ilvl w:val="0"/>
          <w:numId w:val="26"/>
        </w:numPr>
        <w:ind w:left="1429"/>
        <w:jc w:val="both"/>
        <w:rPr>
          <w:rFonts w:ascii="Calibri" w:hAnsi="Calibri" w:cs="Calibri"/>
          <w:sz w:val="22"/>
          <w:szCs w:val="22"/>
        </w:rPr>
      </w:pPr>
      <w:r w:rsidRPr="006F7FE1">
        <w:rPr>
          <w:rFonts w:ascii="Calibri" w:hAnsi="Calibri" w:cs="Calibri"/>
          <w:sz w:val="22"/>
          <w:szCs w:val="22"/>
        </w:rPr>
        <w:t xml:space="preserve">výpis o čerpání přidělené podpory Projektu, </w:t>
      </w:r>
    </w:p>
    <w:p w14:paraId="23229350" w14:textId="77777777" w:rsidR="006F7FE1" w:rsidRPr="006F7FE1" w:rsidRDefault="006F7FE1" w:rsidP="00397472">
      <w:pPr>
        <w:numPr>
          <w:ilvl w:val="0"/>
          <w:numId w:val="26"/>
        </w:numPr>
        <w:ind w:left="1429"/>
        <w:jc w:val="both"/>
        <w:rPr>
          <w:rFonts w:ascii="Calibri" w:hAnsi="Calibri" w:cs="Calibri"/>
          <w:sz w:val="22"/>
          <w:szCs w:val="22"/>
        </w:rPr>
      </w:pPr>
      <w:r w:rsidRPr="006F7FE1">
        <w:rPr>
          <w:rFonts w:ascii="Calibri" w:hAnsi="Calibri" w:cs="Calibri"/>
          <w:sz w:val="22"/>
          <w:szCs w:val="22"/>
        </w:rPr>
        <w:t>přehled a zdůvodnění případných změn, které během řešení Projektu nastaly oproti původním plánům v harmonogramu a rozpočtu, včetně uvedení stanoviska poskytovatele.</w:t>
      </w:r>
    </w:p>
    <w:p w14:paraId="007A2BA0" w14:textId="77777777" w:rsidR="006F7FE1" w:rsidRPr="006F7FE1" w:rsidRDefault="006F7FE1" w:rsidP="006C138C">
      <w:pPr>
        <w:ind w:left="709"/>
        <w:jc w:val="both"/>
        <w:rPr>
          <w:rFonts w:ascii="Calibri" w:hAnsi="Calibri" w:cs="Calibri"/>
          <w:sz w:val="22"/>
          <w:szCs w:val="22"/>
        </w:rPr>
      </w:pPr>
    </w:p>
    <w:p w14:paraId="69E83825" w14:textId="77777777" w:rsidR="006F7FE1" w:rsidRPr="006F7FE1" w:rsidRDefault="006F7FE1" w:rsidP="006C138C">
      <w:pPr>
        <w:ind w:left="709"/>
        <w:jc w:val="both"/>
        <w:rPr>
          <w:rFonts w:ascii="Calibri" w:hAnsi="Calibri" w:cs="Calibri"/>
          <w:sz w:val="22"/>
          <w:szCs w:val="22"/>
        </w:rPr>
      </w:pPr>
      <w:r w:rsidRPr="006F7FE1">
        <w:rPr>
          <w:rFonts w:ascii="Calibri" w:hAnsi="Calibri" w:cs="Calibri"/>
          <w:sz w:val="22"/>
          <w:szCs w:val="22"/>
        </w:rPr>
        <w:t>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6F7FE1">
        <w:rPr>
          <w:rFonts w:ascii="Calibri" w:hAnsi="Calibri" w:cs="Calibri"/>
          <w:sz w:val="22"/>
          <w:szCs w:val="22"/>
          <w:vertAlign w:val="superscript"/>
        </w:rPr>
        <w:t>1</w:t>
      </w:r>
      <w:r w:rsidRPr="006F7FE1">
        <w:rPr>
          <w:rFonts w:ascii="Calibri" w:hAnsi="Calibri" w:cs="Calibri"/>
          <w:sz w:val="22"/>
          <w:szCs w:val="22"/>
        </w:rPr>
        <w:t>;</w:t>
      </w:r>
    </w:p>
    <w:p w14:paraId="0CBEC4EE" w14:textId="77777777" w:rsidR="006F7FE1" w:rsidRPr="006F7FE1" w:rsidRDefault="006F7FE1" w:rsidP="006F7FE1">
      <w:pPr>
        <w:ind w:left="720"/>
        <w:rPr>
          <w:rFonts w:ascii="Calibri" w:hAnsi="Calibri" w:cs="Calibri"/>
          <w:sz w:val="22"/>
          <w:szCs w:val="22"/>
        </w:rPr>
      </w:pPr>
    </w:p>
    <w:p w14:paraId="0D95831B" w14:textId="6C94215D" w:rsidR="006F7FE1" w:rsidRPr="006F7FE1" w:rsidRDefault="006C138C" w:rsidP="006F7FE1">
      <w:pPr>
        <w:ind w:left="180"/>
        <w:rPr>
          <w:rFonts w:ascii="Calibri" w:hAnsi="Calibri" w:cs="Calibri"/>
          <w:sz w:val="22"/>
          <w:szCs w:val="22"/>
        </w:rPr>
      </w:pPr>
      <w:r>
        <w:rPr>
          <w:rFonts w:ascii="Calibri" w:hAnsi="Calibri" w:cs="Calibri"/>
          <w:sz w:val="22"/>
          <w:szCs w:val="22"/>
        </w:rPr>
        <w:t xml:space="preserve">        </w:t>
      </w:r>
      <w:r w:rsidR="006F7FE1">
        <w:rPr>
          <w:rFonts w:ascii="Calibri" w:hAnsi="Calibri" w:cs="Calibri"/>
          <w:sz w:val="22"/>
          <w:szCs w:val="22"/>
        </w:rPr>
        <w:t xml:space="preserve">c) </w:t>
      </w:r>
      <w:r w:rsidR="006F7FE1" w:rsidRPr="006F7FE1">
        <w:rPr>
          <w:rFonts w:ascii="Calibri" w:hAnsi="Calibri" w:cs="Calibri"/>
          <w:sz w:val="22"/>
          <w:szCs w:val="22"/>
        </w:rPr>
        <w:t>dodatečné zprávy, tj. jakékoliv další zprávy vyžádané poskytovatelem za účelem kontroly.</w:t>
      </w:r>
    </w:p>
    <w:p w14:paraId="349C6BF6" w14:textId="77777777" w:rsidR="006F7FE1" w:rsidRPr="006F7FE1" w:rsidRDefault="006F7FE1" w:rsidP="00397472">
      <w:pPr>
        <w:numPr>
          <w:ilvl w:val="0"/>
          <w:numId w:val="23"/>
        </w:numPr>
        <w:tabs>
          <w:tab w:val="left" w:pos="567"/>
        </w:tabs>
        <w:spacing w:before="240" w:after="120"/>
        <w:ind w:left="567" w:hanging="567"/>
        <w:jc w:val="both"/>
        <w:rPr>
          <w:rFonts w:ascii="Calibri" w:hAnsi="Calibri" w:cs="Calibri"/>
          <w:sz w:val="22"/>
          <w:szCs w:val="22"/>
        </w:rPr>
      </w:pPr>
      <w:r w:rsidRPr="006F7FE1">
        <w:rPr>
          <w:rFonts w:ascii="Calibri" w:hAnsi="Calibri" w:cs="Calibr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6FE68D23" w14:textId="77777777" w:rsidR="006F7FE1" w:rsidRPr="006F7FE1" w:rsidRDefault="006F7FE1" w:rsidP="00397472">
      <w:pPr>
        <w:numPr>
          <w:ilvl w:val="0"/>
          <w:numId w:val="23"/>
        </w:numPr>
        <w:spacing w:before="240" w:after="120"/>
        <w:ind w:left="567" w:hanging="567"/>
        <w:jc w:val="both"/>
        <w:rPr>
          <w:rFonts w:ascii="Calibri" w:hAnsi="Calibri" w:cs="Calibri"/>
          <w:sz w:val="22"/>
          <w:szCs w:val="22"/>
        </w:rPr>
      </w:pPr>
      <w:r w:rsidRPr="006F7FE1">
        <w:rPr>
          <w:rFonts w:ascii="Calibri" w:hAnsi="Calibri" w:cs="Calibr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6F7FE1">
        <w:rPr>
          <w:rFonts w:ascii="Calibri" w:hAnsi="Calibri" w:cs="Calibri"/>
          <w:b/>
          <w:sz w:val="22"/>
          <w:szCs w:val="22"/>
        </w:rPr>
        <w:t>30. ledna</w:t>
      </w:r>
      <w:r w:rsidRPr="006F7FE1">
        <w:rPr>
          <w:rFonts w:ascii="Calibri" w:hAnsi="Calibri" w:cs="Calibri"/>
          <w:sz w:val="22"/>
          <w:szCs w:val="22"/>
        </w:rPr>
        <w:t xml:space="preserve"> následujícího kalendářního roku. Poskytovatel si může vyžádat mimořádné předložení průběžné zprávy o řešení Projektu i mimo výše uvedené termíny.</w:t>
      </w:r>
    </w:p>
    <w:p w14:paraId="7AC17092" w14:textId="77777777" w:rsidR="006F7FE1" w:rsidRPr="006F7FE1" w:rsidRDefault="006F7FE1" w:rsidP="00397472">
      <w:pPr>
        <w:numPr>
          <w:ilvl w:val="0"/>
          <w:numId w:val="23"/>
        </w:numPr>
        <w:spacing w:before="240" w:after="120"/>
        <w:ind w:left="567" w:hanging="567"/>
        <w:jc w:val="both"/>
        <w:rPr>
          <w:rFonts w:ascii="Calibri" w:hAnsi="Calibri" w:cs="Calibri"/>
          <w:sz w:val="22"/>
          <w:szCs w:val="22"/>
        </w:rPr>
      </w:pPr>
      <w:r w:rsidRPr="006F7FE1">
        <w:rPr>
          <w:rFonts w:ascii="Calibri" w:hAnsi="Calibri" w:cs="Calibri"/>
          <w:sz w:val="22"/>
          <w:szCs w:val="22"/>
        </w:rPr>
        <w:t xml:space="preserve">Příjemce předkládá závěrečnou zprávu podle odst. 6 písm. b) této přílohy poskytovateli nejdéle do </w:t>
      </w:r>
      <w:r w:rsidRPr="006F7FE1">
        <w:rPr>
          <w:rFonts w:ascii="Calibri" w:hAnsi="Calibri" w:cs="Calibri"/>
          <w:b/>
          <w:sz w:val="22"/>
          <w:szCs w:val="22"/>
        </w:rPr>
        <w:t>30 kalendářních dnů</w:t>
      </w:r>
      <w:r w:rsidRPr="006F7FE1">
        <w:rPr>
          <w:rFonts w:ascii="Calibri" w:hAnsi="Calibri" w:cs="Calibri"/>
          <w:sz w:val="22"/>
          <w:szCs w:val="22"/>
        </w:rPr>
        <w:t xml:space="preserve"> po ukončení Projektu podle článku 3 odst. 3 smlouvy. </w:t>
      </w:r>
    </w:p>
    <w:p w14:paraId="6A0890CA" w14:textId="77777777" w:rsidR="006F7FE1" w:rsidRPr="006F7FE1" w:rsidRDefault="006F7FE1" w:rsidP="00397472">
      <w:pPr>
        <w:numPr>
          <w:ilvl w:val="0"/>
          <w:numId w:val="23"/>
        </w:numPr>
        <w:tabs>
          <w:tab w:val="left" w:pos="567"/>
        </w:tabs>
        <w:spacing w:before="240" w:after="120"/>
        <w:ind w:left="567" w:hanging="567"/>
        <w:jc w:val="both"/>
        <w:rPr>
          <w:rFonts w:ascii="Calibri" w:hAnsi="Calibri" w:cs="Calibri"/>
          <w:sz w:val="22"/>
          <w:szCs w:val="22"/>
        </w:rPr>
      </w:pPr>
      <w:r w:rsidRPr="006F7FE1">
        <w:rPr>
          <w:rFonts w:ascii="Calibri" w:hAnsi="Calibri" w:cs="Calibr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65A78A0B" w14:textId="77777777" w:rsidR="006F7FE1" w:rsidRPr="006F7FE1" w:rsidRDefault="006F7FE1" w:rsidP="00397472">
      <w:pPr>
        <w:numPr>
          <w:ilvl w:val="0"/>
          <w:numId w:val="23"/>
        </w:numPr>
        <w:tabs>
          <w:tab w:val="left" w:pos="567"/>
        </w:tabs>
        <w:spacing w:before="240" w:after="120"/>
        <w:ind w:left="567" w:hanging="567"/>
        <w:jc w:val="both"/>
        <w:rPr>
          <w:rFonts w:ascii="Calibri" w:hAnsi="Calibri" w:cs="Calibri"/>
          <w:sz w:val="22"/>
          <w:szCs w:val="22"/>
        </w:rPr>
      </w:pPr>
      <w:r w:rsidRPr="006F7FE1">
        <w:rPr>
          <w:rFonts w:ascii="Calibri" w:hAnsi="Calibri" w:cs="Calibr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6767C114" w14:textId="77777777" w:rsidR="006F7FE1" w:rsidRPr="006F7FE1" w:rsidRDefault="006F7FE1" w:rsidP="00397472">
      <w:pPr>
        <w:numPr>
          <w:ilvl w:val="0"/>
          <w:numId w:val="23"/>
        </w:numPr>
        <w:tabs>
          <w:tab w:val="left" w:pos="567"/>
        </w:tabs>
        <w:spacing w:before="240" w:after="120"/>
        <w:ind w:left="567" w:hanging="567"/>
        <w:jc w:val="both"/>
        <w:rPr>
          <w:rFonts w:ascii="Calibri" w:hAnsi="Calibri" w:cs="Calibri"/>
          <w:sz w:val="22"/>
          <w:szCs w:val="22"/>
        </w:rPr>
      </w:pPr>
      <w:r w:rsidRPr="006F7FE1">
        <w:rPr>
          <w:rFonts w:ascii="Calibri" w:hAnsi="Calibri" w:cs="Calibr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12670A7D" w14:textId="77777777" w:rsidR="006F7FE1" w:rsidRPr="006F7FE1" w:rsidRDefault="006F7FE1" w:rsidP="00397472">
      <w:pPr>
        <w:numPr>
          <w:ilvl w:val="0"/>
          <w:numId w:val="23"/>
        </w:numPr>
        <w:tabs>
          <w:tab w:val="left" w:pos="567"/>
        </w:tabs>
        <w:spacing w:before="240" w:after="120"/>
        <w:ind w:left="567" w:hanging="567"/>
        <w:jc w:val="both"/>
        <w:rPr>
          <w:rFonts w:ascii="Calibri" w:hAnsi="Calibri" w:cs="Calibri"/>
          <w:b/>
          <w:sz w:val="22"/>
          <w:szCs w:val="22"/>
        </w:rPr>
      </w:pPr>
      <w:r w:rsidRPr="006F7FE1">
        <w:rPr>
          <w:rFonts w:ascii="Calibri" w:hAnsi="Calibri" w:cs="Calibr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6F7FE1">
        <w:rPr>
          <w:rFonts w:ascii="Calibri" w:hAnsi="Calibri" w:cs="Calibri"/>
          <w:b/>
          <w:sz w:val="22"/>
          <w:szCs w:val="22"/>
        </w:rPr>
        <w:t>7 kalendářních dnů</w:t>
      </w:r>
      <w:r w:rsidRPr="006F7FE1">
        <w:rPr>
          <w:rFonts w:ascii="Calibri" w:hAnsi="Calibri" w:cs="Calibri"/>
          <w:sz w:val="22"/>
          <w:szCs w:val="22"/>
        </w:rPr>
        <w:t xml:space="preserve"> ode dne jeho konání.</w:t>
      </w:r>
    </w:p>
    <w:p w14:paraId="74135167" w14:textId="77777777" w:rsidR="006F7FE1" w:rsidRDefault="006F7FE1" w:rsidP="00E51E80">
      <w:pPr>
        <w:jc w:val="center"/>
      </w:pPr>
    </w:p>
    <w:p w14:paraId="7F528F4E" w14:textId="77777777" w:rsidR="006F7FE1" w:rsidRDefault="006F7FE1" w:rsidP="00E51E80">
      <w:pPr>
        <w:jc w:val="center"/>
      </w:pPr>
    </w:p>
    <w:p w14:paraId="387C6404" w14:textId="77777777" w:rsidR="006F7FE1" w:rsidRDefault="006F7FE1" w:rsidP="00E51E80">
      <w:pPr>
        <w:jc w:val="center"/>
      </w:pPr>
    </w:p>
    <w:p w14:paraId="787DCE2E" w14:textId="77777777" w:rsidR="006C138C" w:rsidRDefault="006C138C" w:rsidP="00E51E80">
      <w:pPr>
        <w:jc w:val="center"/>
      </w:pPr>
    </w:p>
    <w:p w14:paraId="102A76B2" w14:textId="77777777" w:rsidR="006C138C" w:rsidRDefault="006C138C" w:rsidP="00E51E80">
      <w:pPr>
        <w:jc w:val="center"/>
      </w:pPr>
    </w:p>
    <w:p w14:paraId="66764CD7" w14:textId="77777777" w:rsidR="006C138C" w:rsidRDefault="006C138C" w:rsidP="00E51E80">
      <w:pPr>
        <w:jc w:val="center"/>
      </w:pPr>
    </w:p>
    <w:p w14:paraId="2C891B3F" w14:textId="77777777" w:rsidR="006C138C" w:rsidRDefault="006C138C" w:rsidP="00E51E80">
      <w:pPr>
        <w:jc w:val="center"/>
      </w:pPr>
    </w:p>
    <w:p w14:paraId="130A11D4" w14:textId="77777777" w:rsidR="006C138C" w:rsidRDefault="006C138C" w:rsidP="00E51E80">
      <w:pPr>
        <w:jc w:val="center"/>
      </w:pPr>
    </w:p>
    <w:p w14:paraId="25A277E7" w14:textId="77777777" w:rsidR="006C138C" w:rsidRDefault="006C138C" w:rsidP="00E51E80">
      <w:pPr>
        <w:jc w:val="center"/>
      </w:pPr>
    </w:p>
    <w:p w14:paraId="4C014ABB" w14:textId="77777777" w:rsidR="006C138C" w:rsidRDefault="006C138C" w:rsidP="00E51E80">
      <w:pPr>
        <w:jc w:val="center"/>
      </w:pPr>
    </w:p>
    <w:p w14:paraId="5F330C94" w14:textId="77777777" w:rsidR="006C138C" w:rsidRDefault="006C138C" w:rsidP="00E51E80">
      <w:pPr>
        <w:jc w:val="center"/>
      </w:pPr>
    </w:p>
    <w:p w14:paraId="0C622849" w14:textId="77777777" w:rsidR="006C138C" w:rsidRDefault="006C138C" w:rsidP="00E51E80">
      <w:pPr>
        <w:jc w:val="center"/>
      </w:pPr>
    </w:p>
    <w:p w14:paraId="7FD66D4F" w14:textId="77777777" w:rsidR="006C138C" w:rsidRDefault="006C138C" w:rsidP="00E51E80">
      <w:pPr>
        <w:jc w:val="center"/>
      </w:pPr>
    </w:p>
    <w:p w14:paraId="2615487D" w14:textId="77777777" w:rsidR="006C138C" w:rsidRDefault="006C138C" w:rsidP="00E51E80">
      <w:pPr>
        <w:jc w:val="center"/>
      </w:pPr>
    </w:p>
    <w:p w14:paraId="77ED500D" w14:textId="77777777" w:rsidR="006C138C" w:rsidRDefault="006C138C" w:rsidP="00E51E80">
      <w:pPr>
        <w:jc w:val="center"/>
      </w:pPr>
    </w:p>
    <w:p w14:paraId="3507EE9B" w14:textId="77777777" w:rsidR="006C138C" w:rsidRDefault="006C138C" w:rsidP="00E51E80">
      <w:pPr>
        <w:jc w:val="center"/>
      </w:pPr>
    </w:p>
    <w:p w14:paraId="6235440D" w14:textId="77777777" w:rsidR="006C138C" w:rsidRDefault="006C138C" w:rsidP="00E51E80">
      <w:pPr>
        <w:jc w:val="center"/>
      </w:pPr>
    </w:p>
    <w:p w14:paraId="51741092" w14:textId="77777777" w:rsidR="006C138C" w:rsidRDefault="006C138C" w:rsidP="00E51E80">
      <w:pPr>
        <w:jc w:val="center"/>
      </w:pPr>
    </w:p>
    <w:p w14:paraId="35EDA228" w14:textId="77777777" w:rsidR="006C138C" w:rsidRDefault="006C138C" w:rsidP="00E51E80">
      <w:pPr>
        <w:jc w:val="center"/>
      </w:pPr>
    </w:p>
    <w:p w14:paraId="61998A8C" w14:textId="77777777" w:rsidR="006C138C" w:rsidRDefault="006C138C" w:rsidP="00E51E80">
      <w:pPr>
        <w:jc w:val="center"/>
      </w:pPr>
    </w:p>
    <w:p w14:paraId="6FBD72A9" w14:textId="77777777" w:rsidR="006C138C" w:rsidRDefault="006C138C" w:rsidP="00E51E80">
      <w:pPr>
        <w:jc w:val="center"/>
      </w:pPr>
    </w:p>
    <w:p w14:paraId="4D61BE50" w14:textId="77777777" w:rsidR="006C138C" w:rsidRDefault="006C138C" w:rsidP="00E51E80">
      <w:pPr>
        <w:jc w:val="center"/>
      </w:pPr>
    </w:p>
    <w:p w14:paraId="52789F02" w14:textId="77777777" w:rsidR="006C138C" w:rsidRDefault="006C138C" w:rsidP="00E51E80">
      <w:pPr>
        <w:jc w:val="center"/>
      </w:pPr>
    </w:p>
    <w:p w14:paraId="531240EC" w14:textId="77777777" w:rsidR="006C138C" w:rsidRDefault="006C138C" w:rsidP="00E51E80">
      <w:pPr>
        <w:jc w:val="center"/>
      </w:pPr>
    </w:p>
    <w:p w14:paraId="1864BD0F" w14:textId="77777777" w:rsidR="006C138C" w:rsidRDefault="006C138C" w:rsidP="00E51E80">
      <w:pPr>
        <w:jc w:val="center"/>
      </w:pPr>
    </w:p>
    <w:p w14:paraId="30682D91" w14:textId="77777777" w:rsidR="006C138C" w:rsidRDefault="006C138C" w:rsidP="00E51E80">
      <w:pPr>
        <w:jc w:val="center"/>
      </w:pPr>
    </w:p>
    <w:p w14:paraId="12A1E12F" w14:textId="77777777" w:rsidR="006C138C" w:rsidRDefault="006C138C" w:rsidP="00E51E80">
      <w:pPr>
        <w:jc w:val="center"/>
      </w:pPr>
    </w:p>
    <w:p w14:paraId="6684362E" w14:textId="77777777" w:rsidR="006C138C" w:rsidRDefault="006C138C" w:rsidP="00E51E80">
      <w:pPr>
        <w:jc w:val="center"/>
      </w:pPr>
    </w:p>
    <w:p w14:paraId="4716B1E4" w14:textId="77777777" w:rsidR="006C138C" w:rsidRDefault="006C138C" w:rsidP="00E51E80">
      <w:pPr>
        <w:jc w:val="center"/>
      </w:pPr>
    </w:p>
    <w:p w14:paraId="1411F8A9" w14:textId="77777777" w:rsidR="006C138C" w:rsidRDefault="006C138C" w:rsidP="00E51E80">
      <w:pPr>
        <w:jc w:val="center"/>
      </w:pPr>
    </w:p>
    <w:p w14:paraId="2DCDC363" w14:textId="77777777" w:rsidR="006C138C" w:rsidRDefault="006C138C" w:rsidP="00E51E80">
      <w:pPr>
        <w:jc w:val="center"/>
      </w:pPr>
    </w:p>
    <w:p w14:paraId="6CADDF06" w14:textId="77777777" w:rsidR="006C138C" w:rsidRDefault="006C138C" w:rsidP="00E51E80">
      <w:pPr>
        <w:jc w:val="center"/>
      </w:pPr>
    </w:p>
    <w:p w14:paraId="0F1A8CE4" w14:textId="77777777" w:rsidR="006C138C" w:rsidRDefault="006C138C" w:rsidP="00E51E80">
      <w:pPr>
        <w:jc w:val="center"/>
      </w:pPr>
    </w:p>
    <w:p w14:paraId="5A5267FB" w14:textId="77777777" w:rsidR="006C138C" w:rsidRDefault="006C138C" w:rsidP="00E51E80">
      <w:pPr>
        <w:jc w:val="center"/>
      </w:pPr>
    </w:p>
    <w:p w14:paraId="13C7F1FC" w14:textId="77777777" w:rsidR="006C138C" w:rsidRDefault="006C138C" w:rsidP="00E51E80">
      <w:pPr>
        <w:jc w:val="center"/>
      </w:pPr>
    </w:p>
    <w:p w14:paraId="6E830583" w14:textId="77777777" w:rsidR="006C138C" w:rsidRDefault="006C138C" w:rsidP="00E51E80">
      <w:pPr>
        <w:jc w:val="center"/>
      </w:pPr>
    </w:p>
    <w:p w14:paraId="06E9399A" w14:textId="77777777" w:rsidR="006C138C" w:rsidRDefault="006C138C" w:rsidP="00E51E80">
      <w:pPr>
        <w:jc w:val="center"/>
      </w:pPr>
    </w:p>
    <w:p w14:paraId="6B0C9F11" w14:textId="77777777" w:rsidR="006C138C" w:rsidRDefault="006C138C" w:rsidP="00E51E80">
      <w:pPr>
        <w:jc w:val="center"/>
      </w:pPr>
    </w:p>
    <w:p w14:paraId="3AEC8F68" w14:textId="77777777" w:rsidR="006C138C" w:rsidRDefault="006C138C" w:rsidP="00E51E80">
      <w:pPr>
        <w:jc w:val="center"/>
      </w:pPr>
    </w:p>
    <w:p w14:paraId="462B6BFA" w14:textId="77777777" w:rsidR="006C138C" w:rsidRDefault="006C138C" w:rsidP="00E51E80">
      <w:pPr>
        <w:jc w:val="center"/>
      </w:pPr>
    </w:p>
    <w:p w14:paraId="71BBFD09" w14:textId="77777777" w:rsidR="006C138C" w:rsidRDefault="006C138C" w:rsidP="00E51E80">
      <w:pPr>
        <w:jc w:val="center"/>
      </w:pPr>
    </w:p>
    <w:p w14:paraId="6744AC6D" w14:textId="77777777" w:rsidR="006C138C" w:rsidRDefault="006C138C" w:rsidP="00E51E80">
      <w:pPr>
        <w:jc w:val="center"/>
      </w:pPr>
    </w:p>
    <w:p w14:paraId="6A41A3B0" w14:textId="77777777" w:rsidR="006C138C" w:rsidRDefault="006C138C" w:rsidP="00E51E80">
      <w:pPr>
        <w:jc w:val="center"/>
      </w:pPr>
    </w:p>
    <w:p w14:paraId="4D1918EF" w14:textId="77777777" w:rsidR="006C138C" w:rsidRDefault="006C138C" w:rsidP="00E51E80">
      <w:pPr>
        <w:jc w:val="center"/>
      </w:pPr>
    </w:p>
    <w:p w14:paraId="2F9541BD" w14:textId="77777777" w:rsidR="006C138C" w:rsidRDefault="006C138C" w:rsidP="00E51E80">
      <w:pPr>
        <w:jc w:val="center"/>
      </w:pPr>
    </w:p>
    <w:p w14:paraId="1DFE70E3" w14:textId="77777777" w:rsidR="006C138C" w:rsidRDefault="006C138C" w:rsidP="00E51E80">
      <w:pPr>
        <w:jc w:val="center"/>
      </w:pPr>
    </w:p>
    <w:p w14:paraId="617E4690" w14:textId="77777777" w:rsidR="006C138C" w:rsidRDefault="006C138C" w:rsidP="00E51E80">
      <w:pPr>
        <w:jc w:val="center"/>
      </w:pPr>
    </w:p>
    <w:p w14:paraId="16872A21" w14:textId="77777777" w:rsidR="006C138C" w:rsidRDefault="006C138C" w:rsidP="00E51E80">
      <w:pPr>
        <w:jc w:val="center"/>
      </w:pPr>
    </w:p>
    <w:p w14:paraId="630FE4E5" w14:textId="77777777" w:rsidR="006C138C" w:rsidRDefault="006C138C" w:rsidP="00E51E80">
      <w:pPr>
        <w:jc w:val="center"/>
      </w:pPr>
    </w:p>
    <w:p w14:paraId="1DDBBF7D" w14:textId="77777777" w:rsidR="006C138C" w:rsidRDefault="006C138C" w:rsidP="00E51E80">
      <w:pPr>
        <w:jc w:val="center"/>
      </w:pPr>
    </w:p>
    <w:p w14:paraId="28B2F469" w14:textId="77777777" w:rsidR="006C138C" w:rsidRDefault="006C138C" w:rsidP="00E51E80">
      <w:pPr>
        <w:jc w:val="center"/>
      </w:pPr>
    </w:p>
    <w:p w14:paraId="312D0C4B" w14:textId="77777777" w:rsidR="006C138C" w:rsidRPr="006C138C" w:rsidRDefault="006C138C" w:rsidP="006C138C">
      <w:pPr>
        <w:jc w:val="center"/>
        <w:rPr>
          <w:rFonts w:ascii="Calibri" w:eastAsia="Calibri" w:hAnsi="Calibri"/>
          <w:b/>
          <w:sz w:val="22"/>
          <w:szCs w:val="22"/>
          <w:lang w:eastAsia="en-US"/>
        </w:rPr>
      </w:pPr>
      <w:r w:rsidRPr="006C138C">
        <w:rPr>
          <w:rFonts w:ascii="Calibri" w:eastAsia="Calibri" w:hAnsi="Calibri"/>
          <w:b/>
          <w:sz w:val="22"/>
          <w:szCs w:val="22"/>
          <w:lang w:eastAsia="en-US"/>
        </w:rPr>
        <w:t>Příloha IV. ke smlouvě o poskytnutí účelové podpory</w:t>
      </w:r>
    </w:p>
    <w:p w14:paraId="283D776F" w14:textId="77777777" w:rsidR="006C138C" w:rsidRPr="006C138C" w:rsidRDefault="006C138C" w:rsidP="006C138C">
      <w:pPr>
        <w:jc w:val="center"/>
        <w:rPr>
          <w:rFonts w:ascii="Calibri" w:hAnsi="Calibri" w:cs="Calibri"/>
          <w:b/>
          <w:sz w:val="22"/>
          <w:szCs w:val="22"/>
        </w:rPr>
      </w:pPr>
      <w:r w:rsidRPr="006C138C">
        <w:rPr>
          <w:rFonts w:ascii="Calibri" w:hAnsi="Calibri" w:cs="Calibri"/>
          <w:b/>
          <w:sz w:val="22"/>
          <w:szCs w:val="22"/>
        </w:rPr>
        <w:t xml:space="preserve">Tabulka snížených odvodů za porušení rozpočtové kázně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822"/>
        <w:gridCol w:w="3150"/>
      </w:tblGrid>
      <w:tr w:rsidR="006C138C" w:rsidRPr="006C138C" w14:paraId="31FDE910" w14:textId="77777777" w:rsidTr="006F73F5">
        <w:trPr>
          <w:trHeight w:val="584"/>
        </w:trPr>
        <w:tc>
          <w:tcPr>
            <w:tcW w:w="1090" w:type="dxa"/>
            <w:shd w:val="clear" w:color="auto" w:fill="D9D9D9"/>
            <w:vAlign w:val="center"/>
          </w:tcPr>
          <w:p w14:paraId="591B9D29" w14:textId="77777777" w:rsidR="006C138C" w:rsidRPr="006C138C" w:rsidRDefault="006C138C" w:rsidP="006C138C">
            <w:pPr>
              <w:spacing w:after="160" w:line="259" w:lineRule="auto"/>
              <w:rPr>
                <w:rFonts w:ascii="Calibri" w:eastAsia="Calibri" w:hAnsi="Calibri" w:cs="Calibri"/>
                <w:b/>
                <w:sz w:val="22"/>
                <w:szCs w:val="22"/>
                <w:lang w:eastAsia="en-US"/>
              </w:rPr>
            </w:pPr>
            <w:r w:rsidRPr="006C138C">
              <w:rPr>
                <w:rFonts w:ascii="Calibri" w:eastAsia="Calibri" w:hAnsi="Calibri" w:cs="Calibri"/>
                <w:b/>
                <w:sz w:val="22"/>
                <w:szCs w:val="22"/>
                <w:lang w:eastAsia="en-US"/>
              </w:rPr>
              <w:t>Pořadové číslo</w:t>
            </w:r>
          </w:p>
        </w:tc>
        <w:tc>
          <w:tcPr>
            <w:tcW w:w="4965" w:type="dxa"/>
            <w:shd w:val="clear" w:color="auto" w:fill="D9D9D9"/>
            <w:vAlign w:val="center"/>
          </w:tcPr>
          <w:p w14:paraId="136924CF"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Typ porušení rozpočtové kázně</w:t>
            </w:r>
          </w:p>
        </w:tc>
        <w:tc>
          <w:tcPr>
            <w:tcW w:w="3233" w:type="dxa"/>
            <w:shd w:val="clear" w:color="auto" w:fill="D9D9D9"/>
            <w:vAlign w:val="center"/>
          </w:tcPr>
          <w:p w14:paraId="43B5D6CA"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Sankce</w:t>
            </w:r>
          </w:p>
        </w:tc>
      </w:tr>
      <w:tr w:rsidR="006C138C" w:rsidRPr="006C138C" w14:paraId="3C76AE5A" w14:textId="77777777" w:rsidTr="006F73F5">
        <w:tc>
          <w:tcPr>
            <w:tcW w:w="9288" w:type="dxa"/>
            <w:gridSpan w:val="3"/>
            <w:shd w:val="clear" w:color="auto" w:fill="D9D9D9"/>
          </w:tcPr>
          <w:p w14:paraId="74E2D0F1" w14:textId="77777777" w:rsidR="006C138C" w:rsidRPr="006C138C" w:rsidRDefault="006C138C" w:rsidP="006C138C">
            <w:pPr>
              <w:ind w:left="765"/>
              <w:contextualSpacing/>
              <w:jc w:val="center"/>
              <w:rPr>
                <w:rFonts w:ascii="Calibri" w:hAnsi="Calibri" w:cs="Calibri"/>
                <w:b/>
              </w:rPr>
            </w:pPr>
            <w:r w:rsidRPr="006C138C">
              <w:rPr>
                <w:rFonts w:ascii="Calibri" w:hAnsi="Calibri" w:cs="Calibri"/>
                <w:b/>
              </w:rPr>
              <w:t>I. Porušení rozpočtové kázně v souvislosti s povinnostmi vyplývajícími ze ZVZ</w:t>
            </w:r>
            <w:r w:rsidRPr="006C138C">
              <w:rPr>
                <w:rFonts w:ascii="Calibri" w:hAnsi="Calibri" w:cs="Calibri"/>
                <w:b/>
                <w:vertAlign w:val="superscript"/>
              </w:rPr>
              <w:footnoteReference w:id="6"/>
            </w:r>
          </w:p>
        </w:tc>
      </w:tr>
      <w:tr w:rsidR="006C138C" w:rsidRPr="006C138C" w14:paraId="23820D84" w14:textId="77777777" w:rsidTr="006F73F5">
        <w:tc>
          <w:tcPr>
            <w:tcW w:w="1090" w:type="dxa"/>
            <w:shd w:val="clear" w:color="auto" w:fill="D9D9D9"/>
            <w:vAlign w:val="center"/>
          </w:tcPr>
          <w:p w14:paraId="300B95D4"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w:t>
            </w:r>
          </w:p>
        </w:tc>
        <w:tc>
          <w:tcPr>
            <w:tcW w:w="4965" w:type="dxa"/>
            <w:shd w:val="clear" w:color="auto" w:fill="auto"/>
          </w:tcPr>
          <w:p w14:paraId="477FA568" w14:textId="77777777" w:rsidR="006C138C" w:rsidRPr="006C138C" w:rsidRDefault="006C138C" w:rsidP="006C138C">
            <w:pPr>
              <w:ind w:left="328"/>
              <w:contextualSpacing/>
              <w:rPr>
                <w:rFonts w:ascii="Calibri" w:hAnsi="Calibri" w:cs="Calibri"/>
                <w:sz w:val="22"/>
                <w:szCs w:val="22"/>
              </w:rPr>
            </w:pPr>
          </w:p>
          <w:p w14:paraId="06F953E3" w14:textId="77777777" w:rsidR="006C138C" w:rsidRPr="006C138C" w:rsidRDefault="006C138C" w:rsidP="00397472">
            <w:pPr>
              <w:numPr>
                <w:ilvl w:val="0"/>
                <w:numId w:val="28"/>
              </w:numPr>
              <w:spacing w:after="160" w:line="259" w:lineRule="auto"/>
              <w:ind w:left="328" w:hanging="142"/>
              <w:contextualSpacing/>
              <w:rPr>
                <w:rFonts w:ascii="Calibri" w:hAnsi="Calibri" w:cs="Calibri"/>
                <w:sz w:val="22"/>
                <w:szCs w:val="22"/>
              </w:rPr>
            </w:pPr>
            <w:r w:rsidRPr="006C138C">
              <w:rPr>
                <w:rFonts w:ascii="Calibri" w:hAnsi="Calibri" w:cs="Calibri"/>
                <w:sz w:val="22"/>
                <w:szCs w:val="22"/>
              </w:rPr>
              <w:t>Neprovedení zadávacího řízení na výběr dodavatele/zhotovitele</w:t>
            </w:r>
          </w:p>
          <w:p w14:paraId="2613DB6C" w14:textId="77777777" w:rsidR="006C138C" w:rsidRPr="006C138C" w:rsidRDefault="006C138C" w:rsidP="006C138C">
            <w:pPr>
              <w:ind w:left="328"/>
              <w:contextualSpacing/>
              <w:rPr>
                <w:rFonts w:ascii="Calibri" w:hAnsi="Calibri" w:cs="Calibri"/>
                <w:sz w:val="22"/>
                <w:szCs w:val="22"/>
              </w:rPr>
            </w:pPr>
          </w:p>
          <w:p w14:paraId="62D57B4D" w14:textId="77777777" w:rsidR="006C138C" w:rsidRPr="006C138C" w:rsidRDefault="006C138C" w:rsidP="00397472">
            <w:pPr>
              <w:numPr>
                <w:ilvl w:val="0"/>
                <w:numId w:val="28"/>
              </w:numPr>
              <w:spacing w:after="160" w:line="259" w:lineRule="auto"/>
              <w:ind w:left="328" w:hanging="142"/>
              <w:contextualSpacing/>
              <w:rPr>
                <w:rFonts w:ascii="Calibri" w:hAnsi="Calibri" w:cs="Calibri"/>
                <w:sz w:val="22"/>
                <w:szCs w:val="22"/>
              </w:rPr>
            </w:pPr>
            <w:r w:rsidRPr="006C138C">
              <w:rPr>
                <w:rFonts w:ascii="Calibri" w:hAnsi="Calibri" w:cs="Calibri"/>
                <w:sz w:val="22"/>
                <w:szCs w:val="22"/>
              </w:rPr>
              <w:t xml:space="preserve">Neuveřejnění oznámení o zahájení zadávacího </w:t>
            </w:r>
            <w:proofErr w:type="gramStart"/>
            <w:r w:rsidRPr="006C138C">
              <w:rPr>
                <w:rFonts w:ascii="Calibri" w:hAnsi="Calibri" w:cs="Calibri"/>
                <w:sz w:val="22"/>
                <w:szCs w:val="22"/>
              </w:rPr>
              <w:t>řízení</w:t>
            </w:r>
            <w:proofErr w:type="gramEnd"/>
            <w:r w:rsidRPr="006C138C">
              <w:rPr>
                <w:rFonts w:ascii="Calibri" w:hAnsi="Calibri" w:cs="Calibri"/>
                <w:sz w:val="22"/>
                <w:szCs w:val="22"/>
              </w:rPr>
              <w:t xml:space="preserve"> pokud je oznámení o zahájení požadováno zákonem</w:t>
            </w:r>
          </w:p>
        </w:tc>
        <w:tc>
          <w:tcPr>
            <w:tcW w:w="3233" w:type="dxa"/>
            <w:shd w:val="clear" w:color="auto" w:fill="auto"/>
          </w:tcPr>
          <w:p w14:paraId="32E8143D" w14:textId="77777777" w:rsidR="006C138C" w:rsidRPr="006C138C" w:rsidRDefault="006C138C" w:rsidP="006C138C">
            <w:pPr>
              <w:spacing w:line="259" w:lineRule="auto"/>
              <w:rPr>
                <w:rFonts w:ascii="Calibri" w:eastAsia="Calibri" w:hAnsi="Calibri" w:cs="Calibri"/>
                <w:b/>
                <w:sz w:val="22"/>
                <w:szCs w:val="22"/>
                <w:lang w:eastAsia="en-US"/>
              </w:rPr>
            </w:pPr>
          </w:p>
          <w:p w14:paraId="0C5D24C8"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b/>
                <w:sz w:val="22"/>
                <w:szCs w:val="22"/>
                <w:lang w:eastAsia="en-US"/>
              </w:rPr>
              <w:t>100 %</w:t>
            </w:r>
            <w:r w:rsidRPr="006C138C">
              <w:rPr>
                <w:rFonts w:ascii="Calibri" w:eastAsia="Calibri" w:hAnsi="Calibri" w:cs="Calibri"/>
                <w:sz w:val="22"/>
                <w:szCs w:val="22"/>
                <w:lang w:eastAsia="en-US"/>
              </w:rPr>
              <w:t xml:space="preserve"> </w:t>
            </w:r>
          </w:p>
          <w:p w14:paraId="6C58BE1B"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w:t>
            </w:r>
          </w:p>
        </w:tc>
      </w:tr>
      <w:tr w:rsidR="006C138C" w:rsidRPr="006C138C" w14:paraId="25A5DB42" w14:textId="77777777" w:rsidTr="006F73F5">
        <w:tc>
          <w:tcPr>
            <w:tcW w:w="1090" w:type="dxa"/>
            <w:shd w:val="clear" w:color="auto" w:fill="D9D9D9"/>
            <w:vAlign w:val="center"/>
          </w:tcPr>
          <w:p w14:paraId="4F4D5698"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2.</w:t>
            </w:r>
          </w:p>
        </w:tc>
        <w:tc>
          <w:tcPr>
            <w:tcW w:w="4965" w:type="dxa"/>
            <w:shd w:val="clear" w:color="auto" w:fill="auto"/>
          </w:tcPr>
          <w:p w14:paraId="64FFF6A9" w14:textId="77777777" w:rsidR="006C138C" w:rsidRPr="006C138C" w:rsidRDefault="006C138C" w:rsidP="006C138C">
            <w:pPr>
              <w:spacing w:line="259" w:lineRule="auto"/>
              <w:ind w:left="328"/>
              <w:rPr>
                <w:rFonts w:ascii="Calibri" w:eastAsia="Calibri" w:hAnsi="Calibri" w:cs="Calibri"/>
                <w:sz w:val="22"/>
                <w:szCs w:val="22"/>
                <w:lang w:eastAsia="en-US"/>
              </w:rPr>
            </w:pPr>
          </w:p>
          <w:p w14:paraId="4AA68B62" w14:textId="77777777" w:rsidR="006C138C" w:rsidRPr="006C138C" w:rsidRDefault="006C138C" w:rsidP="006C138C">
            <w:pPr>
              <w:spacing w:after="160" w:line="259" w:lineRule="auto"/>
              <w:ind w:left="328"/>
              <w:rPr>
                <w:rFonts w:ascii="Calibri" w:eastAsia="Calibri" w:hAnsi="Calibri" w:cs="Calibri"/>
                <w:sz w:val="22"/>
                <w:szCs w:val="22"/>
                <w:lang w:eastAsia="en-US"/>
              </w:rPr>
            </w:pPr>
            <w:r w:rsidRPr="006C138C">
              <w:rPr>
                <w:rFonts w:ascii="Calibri" w:eastAsia="Calibri" w:hAnsi="Calibri" w:cs="Calibri"/>
                <w:sz w:val="22"/>
                <w:szCs w:val="22"/>
                <w:lang w:eastAsia="en-US"/>
              </w:rPr>
              <w:t>Rozdělení předmětu veřejné zakázky s důsledkem snížení předpokládané hodnoty pod finanční limity stanovené v ZVZ</w:t>
            </w:r>
          </w:p>
          <w:p w14:paraId="723E0E35"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 xml:space="preserve"> </w:t>
            </w:r>
          </w:p>
        </w:tc>
        <w:tc>
          <w:tcPr>
            <w:tcW w:w="3233" w:type="dxa"/>
            <w:shd w:val="clear" w:color="auto" w:fill="auto"/>
          </w:tcPr>
          <w:p w14:paraId="51B3FEC4" w14:textId="77777777" w:rsidR="006C138C" w:rsidRPr="006C138C" w:rsidRDefault="006C138C" w:rsidP="006C138C">
            <w:pPr>
              <w:spacing w:line="259" w:lineRule="auto"/>
              <w:rPr>
                <w:rFonts w:ascii="Calibri" w:eastAsia="Calibri" w:hAnsi="Calibri" w:cs="Calibri"/>
                <w:b/>
                <w:sz w:val="22"/>
                <w:szCs w:val="22"/>
                <w:lang w:eastAsia="en-US"/>
              </w:rPr>
            </w:pPr>
          </w:p>
          <w:p w14:paraId="01417442"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b/>
                <w:sz w:val="22"/>
                <w:szCs w:val="22"/>
                <w:lang w:eastAsia="en-US"/>
              </w:rPr>
              <w:t>100 %</w:t>
            </w:r>
            <w:r w:rsidRPr="006C138C">
              <w:rPr>
                <w:rFonts w:ascii="Calibri" w:eastAsia="Calibri" w:hAnsi="Calibri" w:cs="Calibri"/>
                <w:sz w:val="22"/>
                <w:szCs w:val="22"/>
                <w:lang w:eastAsia="en-US"/>
              </w:rPr>
              <w:t xml:space="preserve"> </w:t>
            </w:r>
          </w:p>
          <w:p w14:paraId="4715AD4A"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 v případě, že tento postup vede až k zadání veřejné zakázky bez jakéhokoli výběrového řízení</w:t>
            </w:r>
          </w:p>
        </w:tc>
      </w:tr>
      <w:tr w:rsidR="006C138C" w:rsidRPr="006C138C" w14:paraId="1F918C01" w14:textId="77777777" w:rsidTr="006F73F5">
        <w:tc>
          <w:tcPr>
            <w:tcW w:w="1090" w:type="dxa"/>
            <w:shd w:val="clear" w:color="auto" w:fill="D9D9D9"/>
            <w:vAlign w:val="center"/>
          </w:tcPr>
          <w:p w14:paraId="66D93D14"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3.</w:t>
            </w:r>
          </w:p>
        </w:tc>
        <w:tc>
          <w:tcPr>
            <w:tcW w:w="4965" w:type="dxa"/>
            <w:shd w:val="clear" w:color="auto" w:fill="auto"/>
          </w:tcPr>
          <w:p w14:paraId="37091AC2" w14:textId="77777777" w:rsidR="006C138C" w:rsidRPr="006C138C" w:rsidRDefault="006C138C" w:rsidP="006C138C">
            <w:pPr>
              <w:spacing w:line="259" w:lineRule="auto"/>
              <w:rPr>
                <w:rFonts w:ascii="Calibri" w:eastAsia="Calibri" w:hAnsi="Calibri" w:cs="Calibri"/>
                <w:sz w:val="16"/>
                <w:szCs w:val="16"/>
                <w:lang w:eastAsia="en-US"/>
              </w:rPr>
            </w:pPr>
          </w:p>
          <w:p w14:paraId="73544CEE" w14:textId="77777777" w:rsidR="006C138C" w:rsidRPr="006C138C" w:rsidRDefault="006C138C" w:rsidP="006C138C">
            <w:pPr>
              <w:spacing w:after="160" w:line="259" w:lineRule="auto"/>
              <w:ind w:left="328"/>
              <w:rPr>
                <w:rFonts w:ascii="Calibri" w:eastAsia="Calibri" w:hAnsi="Calibri" w:cs="Calibri"/>
                <w:sz w:val="22"/>
                <w:szCs w:val="22"/>
                <w:lang w:eastAsia="en-US"/>
              </w:rPr>
            </w:pPr>
            <w:r w:rsidRPr="006C138C">
              <w:rPr>
                <w:rFonts w:ascii="Calibri" w:eastAsia="Calibri" w:hAnsi="Calibri" w:cs="Calibri"/>
                <w:sz w:val="22"/>
                <w:szCs w:val="22"/>
                <w:lang w:eastAsia="en-US"/>
              </w:rPr>
              <w:t>Neuveřejnění oznámení o zakázce v souladu s příslušnými pravidly (např. zveřejnění v Úředním věstníku Evropské unie (OJEU), pokud to vyžadují směrnice)</w:t>
            </w:r>
          </w:p>
        </w:tc>
        <w:tc>
          <w:tcPr>
            <w:tcW w:w="3233" w:type="dxa"/>
            <w:shd w:val="clear" w:color="auto" w:fill="auto"/>
          </w:tcPr>
          <w:p w14:paraId="0418391B" w14:textId="77777777" w:rsidR="006C138C" w:rsidRPr="006C138C" w:rsidRDefault="006C138C" w:rsidP="006C138C">
            <w:pPr>
              <w:spacing w:line="259" w:lineRule="auto"/>
              <w:rPr>
                <w:rFonts w:ascii="Calibri" w:eastAsia="Calibri" w:hAnsi="Calibri" w:cs="Calibri"/>
                <w:b/>
                <w:sz w:val="22"/>
                <w:szCs w:val="22"/>
                <w:lang w:eastAsia="en-US"/>
              </w:rPr>
            </w:pPr>
          </w:p>
          <w:p w14:paraId="305370FD"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50 - 80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0C226BE3"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 podle závažnosti porušení pravidel</w:t>
            </w:r>
          </w:p>
        </w:tc>
      </w:tr>
      <w:tr w:rsidR="006C138C" w:rsidRPr="006C138C" w14:paraId="2AE00E67" w14:textId="77777777" w:rsidTr="006F73F5">
        <w:trPr>
          <w:trHeight w:val="327"/>
        </w:trPr>
        <w:tc>
          <w:tcPr>
            <w:tcW w:w="1090" w:type="dxa"/>
            <w:shd w:val="clear" w:color="auto" w:fill="D9D9D9"/>
            <w:vAlign w:val="center"/>
          </w:tcPr>
          <w:p w14:paraId="2DB4C01B" w14:textId="77777777" w:rsidR="006C138C" w:rsidRPr="006C138C" w:rsidRDefault="006C138C" w:rsidP="006C138C">
            <w:pPr>
              <w:spacing w:after="160" w:line="259" w:lineRule="auto"/>
              <w:jc w:val="center"/>
              <w:rPr>
                <w:rFonts w:ascii="Calibri" w:eastAsia="Calibri" w:hAnsi="Calibri" w:cs="Calibri"/>
                <w:b/>
                <w:sz w:val="22"/>
                <w:szCs w:val="22"/>
                <w:lang w:eastAsia="en-US"/>
              </w:rPr>
            </w:pPr>
          </w:p>
          <w:p w14:paraId="0A3A9910"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4.</w:t>
            </w:r>
          </w:p>
        </w:tc>
        <w:tc>
          <w:tcPr>
            <w:tcW w:w="4965" w:type="dxa"/>
            <w:shd w:val="clear" w:color="auto" w:fill="auto"/>
          </w:tcPr>
          <w:p w14:paraId="050EB8B5" w14:textId="77777777" w:rsidR="006C138C" w:rsidRPr="006C138C" w:rsidRDefault="006C138C" w:rsidP="006C138C">
            <w:pPr>
              <w:ind w:left="186"/>
              <w:contextualSpacing/>
              <w:rPr>
                <w:rFonts w:ascii="Calibri" w:hAnsi="Calibri" w:cs="Calibri"/>
                <w:sz w:val="22"/>
                <w:szCs w:val="22"/>
              </w:rPr>
            </w:pPr>
          </w:p>
          <w:p w14:paraId="20D0AC95" w14:textId="77777777" w:rsidR="006C138C" w:rsidRPr="006C138C" w:rsidRDefault="006C138C" w:rsidP="00397472">
            <w:pPr>
              <w:numPr>
                <w:ilvl w:val="0"/>
                <w:numId w:val="29"/>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Nedostatečné definování předmětu zakázky v oznámení/výzvě o zahájení zadávacího řízení, nebo v zadávací dokumentaci</w:t>
            </w:r>
          </w:p>
          <w:p w14:paraId="007985C8" w14:textId="77777777" w:rsidR="006C138C" w:rsidRPr="006C138C" w:rsidRDefault="006C138C" w:rsidP="006C138C">
            <w:pPr>
              <w:ind w:left="186"/>
              <w:contextualSpacing/>
              <w:rPr>
                <w:rFonts w:ascii="Calibri" w:hAnsi="Calibri" w:cs="Calibri"/>
                <w:sz w:val="22"/>
                <w:szCs w:val="22"/>
              </w:rPr>
            </w:pPr>
          </w:p>
          <w:p w14:paraId="510DFF3B" w14:textId="77777777" w:rsidR="006C138C" w:rsidRPr="006C138C" w:rsidRDefault="006C138C" w:rsidP="00397472">
            <w:pPr>
              <w:numPr>
                <w:ilvl w:val="0"/>
                <w:numId w:val="29"/>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 xml:space="preserve">Nastavení kvalifikačních předpokladů a/nebo hodnotících kritérií v rozporu se ZVZ </w:t>
            </w:r>
          </w:p>
          <w:p w14:paraId="21054F68"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(např. nastavení kvalifikačních předpokladů, jež nesouvisí s předmětem veřejné zakázky nebo nejsou přiměřené vzhledem k předmětu zakázky nebo stanovení diskriminačních technických podmínek)</w:t>
            </w:r>
          </w:p>
        </w:tc>
        <w:tc>
          <w:tcPr>
            <w:tcW w:w="3233" w:type="dxa"/>
            <w:shd w:val="clear" w:color="auto" w:fill="auto"/>
          </w:tcPr>
          <w:p w14:paraId="63C406F8" w14:textId="77777777" w:rsidR="006C138C" w:rsidRPr="006C138C" w:rsidRDefault="006C138C" w:rsidP="006C138C">
            <w:pPr>
              <w:spacing w:line="259" w:lineRule="auto"/>
              <w:rPr>
                <w:rFonts w:ascii="Calibri" w:eastAsia="Calibri" w:hAnsi="Calibri" w:cs="Calibri"/>
                <w:sz w:val="22"/>
                <w:szCs w:val="22"/>
                <w:lang w:eastAsia="en-US"/>
              </w:rPr>
            </w:pPr>
          </w:p>
          <w:p w14:paraId="724C4F27"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10 - 100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74857D0E"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w:t>
            </w:r>
          </w:p>
          <w:p w14:paraId="401B85E3" w14:textId="77777777" w:rsidR="006C138C" w:rsidRPr="006C138C" w:rsidRDefault="006C138C" w:rsidP="006C138C">
            <w:pPr>
              <w:spacing w:after="160" w:line="259" w:lineRule="auto"/>
              <w:rPr>
                <w:rFonts w:ascii="Calibri" w:eastAsia="Calibri" w:hAnsi="Calibri" w:cs="Calibri"/>
                <w:sz w:val="16"/>
                <w:szCs w:val="16"/>
                <w:lang w:eastAsia="en-US"/>
              </w:rPr>
            </w:pPr>
          </w:p>
          <w:p w14:paraId="7AEC1C6B" w14:textId="77777777" w:rsidR="006C138C" w:rsidRPr="006C138C" w:rsidRDefault="006C138C" w:rsidP="006C138C">
            <w:pPr>
              <w:spacing w:after="160" w:line="259" w:lineRule="auto"/>
              <w:rPr>
                <w:rFonts w:ascii="Calibri" w:eastAsia="Calibri" w:hAnsi="Calibri" w:cs="Calibri"/>
                <w:sz w:val="22"/>
                <w:szCs w:val="22"/>
                <w:lang w:eastAsia="en-US"/>
              </w:rPr>
            </w:pPr>
          </w:p>
          <w:p w14:paraId="4F0B3599" w14:textId="77777777" w:rsidR="006C138C" w:rsidRPr="006C138C" w:rsidRDefault="006C138C" w:rsidP="006C138C">
            <w:pPr>
              <w:spacing w:after="160" w:line="259" w:lineRule="auto"/>
              <w:rPr>
                <w:rFonts w:ascii="Calibri" w:eastAsia="Calibri" w:hAnsi="Calibri" w:cs="Calibri"/>
                <w:sz w:val="22"/>
                <w:szCs w:val="22"/>
                <w:lang w:eastAsia="en-US"/>
              </w:rPr>
            </w:pPr>
          </w:p>
          <w:p w14:paraId="7C140AD1" w14:textId="77777777" w:rsidR="006C138C" w:rsidRPr="006C138C" w:rsidRDefault="006C138C" w:rsidP="006C138C">
            <w:pPr>
              <w:spacing w:after="160" w:line="259" w:lineRule="auto"/>
              <w:rPr>
                <w:rFonts w:ascii="Calibri" w:eastAsia="Calibri" w:hAnsi="Calibri" w:cs="Calibri"/>
                <w:sz w:val="22"/>
                <w:szCs w:val="22"/>
                <w:lang w:eastAsia="en-US"/>
              </w:rPr>
            </w:pPr>
          </w:p>
          <w:p w14:paraId="27EFE4C5" w14:textId="77777777" w:rsidR="006C138C" w:rsidRPr="006C138C" w:rsidRDefault="006C138C" w:rsidP="006C138C">
            <w:pPr>
              <w:spacing w:after="160" w:line="259" w:lineRule="auto"/>
              <w:rPr>
                <w:rFonts w:ascii="Calibri" w:eastAsia="Calibri" w:hAnsi="Calibri" w:cs="Calibri"/>
                <w:sz w:val="22"/>
                <w:szCs w:val="22"/>
                <w:lang w:eastAsia="en-US"/>
              </w:rPr>
            </w:pPr>
          </w:p>
          <w:p w14:paraId="39282253" w14:textId="77777777" w:rsidR="006C138C" w:rsidRPr="006C138C" w:rsidRDefault="006C138C" w:rsidP="006C138C">
            <w:pPr>
              <w:spacing w:after="160" w:line="259" w:lineRule="auto"/>
              <w:rPr>
                <w:rFonts w:ascii="Calibri" w:eastAsia="Calibri" w:hAnsi="Calibri" w:cs="Calibri"/>
                <w:sz w:val="22"/>
                <w:szCs w:val="22"/>
                <w:lang w:eastAsia="en-US"/>
              </w:rPr>
            </w:pPr>
          </w:p>
          <w:p w14:paraId="53B98BF0" w14:textId="77777777" w:rsidR="006C138C" w:rsidRPr="006C138C" w:rsidRDefault="006C138C" w:rsidP="006C138C">
            <w:pPr>
              <w:spacing w:after="160" w:line="259" w:lineRule="auto"/>
              <w:rPr>
                <w:rFonts w:ascii="Calibri" w:eastAsia="Calibri" w:hAnsi="Calibri" w:cs="Calibri"/>
                <w:sz w:val="22"/>
                <w:szCs w:val="22"/>
                <w:lang w:eastAsia="en-US"/>
              </w:rPr>
            </w:pPr>
          </w:p>
          <w:p w14:paraId="103A6276" w14:textId="77777777" w:rsidR="006C138C" w:rsidRPr="006C138C" w:rsidRDefault="006C138C" w:rsidP="006C138C">
            <w:pPr>
              <w:spacing w:after="160" w:line="259" w:lineRule="auto"/>
              <w:rPr>
                <w:rFonts w:ascii="Calibri" w:eastAsia="Calibri" w:hAnsi="Calibri" w:cs="Calibri"/>
                <w:sz w:val="22"/>
                <w:szCs w:val="22"/>
                <w:lang w:eastAsia="en-US"/>
              </w:rPr>
            </w:pPr>
          </w:p>
        </w:tc>
      </w:tr>
      <w:tr w:rsidR="006C138C" w:rsidRPr="006C138C" w14:paraId="76C36490" w14:textId="77777777" w:rsidTr="006F73F5">
        <w:tc>
          <w:tcPr>
            <w:tcW w:w="1090" w:type="dxa"/>
            <w:shd w:val="clear" w:color="auto" w:fill="D9D9D9"/>
            <w:vAlign w:val="center"/>
          </w:tcPr>
          <w:p w14:paraId="70954E78"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5.</w:t>
            </w:r>
          </w:p>
        </w:tc>
        <w:tc>
          <w:tcPr>
            <w:tcW w:w="4965" w:type="dxa"/>
            <w:shd w:val="clear" w:color="auto" w:fill="auto"/>
          </w:tcPr>
          <w:p w14:paraId="2AF0559E" w14:textId="77777777" w:rsidR="006C138C" w:rsidRPr="006C138C" w:rsidRDefault="006C138C" w:rsidP="006C138C">
            <w:pPr>
              <w:ind w:left="186"/>
              <w:contextualSpacing/>
              <w:rPr>
                <w:rFonts w:ascii="Calibri" w:hAnsi="Calibri" w:cs="Calibri"/>
                <w:sz w:val="22"/>
                <w:szCs w:val="22"/>
              </w:rPr>
            </w:pPr>
          </w:p>
          <w:p w14:paraId="61116A55" w14:textId="77777777" w:rsidR="006C138C" w:rsidRPr="006C138C" w:rsidRDefault="006C138C" w:rsidP="00397472">
            <w:pPr>
              <w:numPr>
                <w:ilvl w:val="0"/>
                <w:numId w:val="30"/>
              </w:numPr>
              <w:spacing w:after="160" w:line="259" w:lineRule="auto"/>
              <w:ind w:left="186" w:hanging="186"/>
              <w:contextualSpacing/>
              <w:rPr>
                <w:rFonts w:ascii="Calibri" w:hAnsi="Calibri" w:cs="Calibri"/>
                <w:sz w:val="22"/>
                <w:szCs w:val="22"/>
              </w:rPr>
            </w:pPr>
            <w:r w:rsidRPr="006C138C">
              <w:rPr>
                <w:rFonts w:ascii="Calibri" w:hAnsi="Calibri" w:cs="Calibri"/>
                <w:sz w:val="22"/>
                <w:szCs w:val="22"/>
              </w:rPr>
              <w:t>Neposkytnutí zadávací dokumentace případným uchazečům/zájemcům v dostatečném časovém předstihu (před koncem lhůty pro podání nabídek)</w:t>
            </w:r>
          </w:p>
          <w:p w14:paraId="74293A35" w14:textId="77777777" w:rsidR="006C138C" w:rsidRPr="006C138C" w:rsidRDefault="006C138C" w:rsidP="006C138C">
            <w:pPr>
              <w:ind w:left="186"/>
              <w:contextualSpacing/>
              <w:rPr>
                <w:rFonts w:ascii="Calibri" w:hAnsi="Calibri" w:cs="Calibri"/>
                <w:sz w:val="22"/>
                <w:szCs w:val="22"/>
              </w:rPr>
            </w:pPr>
          </w:p>
          <w:p w14:paraId="6CAB02B4" w14:textId="77777777" w:rsidR="006C138C" w:rsidRPr="006C138C" w:rsidRDefault="006C138C" w:rsidP="00397472">
            <w:pPr>
              <w:numPr>
                <w:ilvl w:val="0"/>
                <w:numId w:val="30"/>
              </w:numPr>
              <w:spacing w:after="160" w:line="259" w:lineRule="auto"/>
              <w:ind w:left="186" w:hanging="186"/>
              <w:contextualSpacing/>
              <w:rPr>
                <w:rFonts w:ascii="Calibri" w:hAnsi="Calibri" w:cs="Calibri"/>
                <w:sz w:val="22"/>
                <w:szCs w:val="22"/>
              </w:rPr>
            </w:pPr>
            <w:r w:rsidRPr="006C138C">
              <w:rPr>
                <w:rFonts w:ascii="Calibri" w:hAnsi="Calibri" w:cs="Calibri"/>
                <w:sz w:val="22"/>
                <w:szCs w:val="22"/>
              </w:rPr>
              <w:t>Nedodržení lhůt pro podání nabídek nebo lhůt pro doručení žádosti o účast nebo nezveřejnění jejich prodloužení</w:t>
            </w:r>
          </w:p>
        </w:tc>
        <w:tc>
          <w:tcPr>
            <w:tcW w:w="3233" w:type="dxa"/>
            <w:shd w:val="clear" w:color="auto" w:fill="auto"/>
          </w:tcPr>
          <w:p w14:paraId="7793B28A" w14:textId="77777777" w:rsidR="006C138C" w:rsidRPr="006C138C" w:rsidRDefault="006C138C" w:rsidP="006C138C">
            <w:pPr>
              <w:spacing w:line="259" w:lineRule="auto"/>
              <w:rPr>
                <w:rFonts w:ascii="Calibri" w:eastAsia="Calibri" w:hAnsi="Calibri" w:cs="Calibri"/>
                <w:b/>
                <w:sz w:val="22"/>
                <w:szCs w:val="22"/>
                <w:lang w:eastAsia="en-US"/>
              </w:rPr>
            </w:pPr>
          </w:p>
          <w:p w14:paraId="783561C6"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80 - 90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32F4DCB2"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w:t>
            </w:r>
          </w:p>
        </w:tc>
      </w:tr>
      <w:tr w:rsidR="006C138C" w:rsidRPr="006C138C" w14:paraId="400B2067" w14:textId="77777777" w:rsidTr="006F73F5">
        <w:tc>
          <w:tcPr>
            <w:tcW w:w="1090" w:type="dxa"/>
            <w:shd w:val="clear" w:color="auto" w:fill="D9D9D9"/>
            <w:vAlign w:val="center"/>
          </w:tcPr>
          <w:p w14:paraId="40F5E897"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6.</w:t>
            </w:r>
          </w:p>
        </w:tc>
        <w:tc>
          <w:tcPr>
            <w:tcW w:w="4965" w:type="dxa"/>
            <w:shd w:val="clear" w:color="auto" w:fill="auto"/>
          </w:tcPr>
          <w:p w14:paraId="34E8C17F" w14:textId="77777777" w:rsidR="006C138C" w:rsidRPr="006C138C" w:rsidRDefault="006C138C" w:rsidP="006C138C">
            <w:pPr>
              <w:spacing w:line="259" w:lineRule="auto"/>
              <w:rPr>
                <w:rFonts w:ascii="Calibri" w:eastAsia="Calibri" w:hAnsi="Calibri" w:cs="Calibri"/>
                <w:sz w:val="22"/>
                <w:szCs w:val="22"/>
                <w:lang w:eastAsia="en-US"/>
              </w:rPr>
            </w:pPr>
          </w:p>
          <w:p w14:paraId="6053FA67" w14:textId="77777777" w:rsidR="006C138C" w:rsidRPr="006C138C" w:rsidRDefault="006C138C" w:rsidP="00397472">
            <w:pPr>
              <w:numPr>
                <w:ilvl w:val="0"/>
                <w:numId w:val="31"/>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Úprava kvalifikačních kritérií po otevření nabídek, mající za následek neoprávněné přijetí uchazečů</w:t>
            </w:r>
          </w:p>
          <w:p w14:paraId="10BA3662" w14:textId="77777777" w:rsidR="006C138C" w:rsidRPr="006C138C" w:rsidRDefault="006C138C" w:rsidP="006C138C">
            <w:pPr>
              <w:ind w:left="186"/>
              <w:contextualSpacing/>
              <w:rPr>
                <w:rFonts w:ascii="Calibri" w:hAnsi="Calibri" w:cs="Calibri"/>
                <w:sz w:val="22"/>
                <w:szCs w:val="22"/>
              </w:rPr>
            </w:pPr>
          </w:p>
          <w:p w14:paraId="52C515D5" w14:textId="77777777" w:rsidR="006C138C" w:rsidRPr="006C138C" w:rsidRDefault="006C138C" w:rsidP="00397472">
            <w:pPr>
              <w:numPr>
                <w:ilvl w:val="0"/>
                <w:numId w:val="31"/>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Nedostatek transparentnosti/nerovné zacházení během hodnocení nabídek nebo změna nabídky během hodnocení</w:t>
            </w:r>
          </w:p>
          <w:p w14:paraId="6DE36A1D" w14:textId="77777777" w:rsidR="006C138C" w:rsidRPr="006C138C" w:rsidRDefault="006C138C" w:rsidP="006C138C">
            <w:pPr>
              <w:ind w:left="720"/>
              <w:contextualSpacing/>
              <w:rPr>
                <w:rFonts w:ascii="Calibri" w:hAnsi="Calibri" w:cs="Calibri"/>
                <w:sz w:val="22"/>
                <w:szCs w:val="22"/>
              </w:rPr>
            </w:pPr>
          </w:p>
          <w:p w14:paraId="486ABD4A" w14:textId="77777777" w:rsidR="006C138C" w:rsidRPr="006C138C" w:rsidRDefault="006C138C" w:rsidP="00397472">
            <w:pPr>
              <w:numPr>
                <w:ilvl w:val="0"/>
                <w:numId w:val="31"/>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Nezákonné vyjednávání o nabídkách</w:t>
            </w:r>
          </w:p>
          <w:p w14:paraId="41ECA94F" w14:textId="77777777" w:rsidR="006C138C" w:rsidRPr="006C138C" w:rsidRDefault="006C138C" w:rsidP="006C138C">
            <w:pPr>
              <w:ind w:left="720"/>
              <w:contextualSpacing/>
              <w:rPr>
                <w:rFonts w:ascii="Calibri" w:hAnsi="Calibri" w:cs="Calibri"/>
                <w:sz w:val="22"/>
                <w:szCs w:val="22"/>
              </w:rPr>
            </w:pPr>
          </w:p>
          <w:p w14:paraId="2F2804FB" w14:textId="77777777" w:rsidR="006C138C" w:rsidRPr="006C138C" w:rsidRDefault="006C138C" w:rsidP="00397472">
            <w:pPr>
              <w:numPr>
                <w:ilvl w:val="0"/>
                <w:numId w:val="31"/>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2D53DD63" w14:textId="77777777" w:rsidR="006C138C" w:rsidRPr="006C138C" w:rsidRDefault="006C138C" w:rsidP="006C138C">
            <w:pPr>
              <w:ind w:left="186"/>
              <w:contextualSpacing/>
              <w:rPr>
                <w:rFonts w:ascii="Calibri" w:hAnsi="Calibri" w:cs="Calibri"/>
                <w:sz w:val="22"/>
                <w:szCs w:val="22"/>
              </w:rPr>
            </w:pPr>
          </w:p>
          <w:p w14:paraId="0560EE65" w14:textId="77777777" w:rsidR="006C138C" w:rsidRPr="006C138C" w:rsidRDefault="006C138C" w:rsidP="006C138C">
            <w:pPr>
              <w:ind w:left="186"/>
              <w:contextualSpacing/>
              <w:rPr>
                <w:rFonts w:ascii="Calibri" w:hAnsi="Calibri" w:cs="Calibri"/>
                <w:sz w:val="22"/>
                <w:szCs w:val="22"/>
              </w:rPr>
            </w:pPr>
          </w:p>
        </w:tc>
        <w:tc>
          <w:tcPr>
            <w:tcW w:w="3233" w:type="dxa"/>
            <w:shd w:val="clear" w:color="auto" w:fill="auto"/>
          </w:tcPr>
          <w:p w14:paraId="72A63A7B" w14:textId="77777777" w:rsidR="006C138C" w:rsidRPr="006C138C" w:rsidRDefault="006C138C" w:rsidP="006C138C">
            <w:pPr>
              <w:spacing w:line="259" w:lineRule="auto"/>
              <w:rPr>
                <w:rFonts w:ascii="Calibri" w:eastAsia="Calibri" w:hAnsi="Calibri" w:cs="Calibri"/>
                <w:b/>
                <w:sz w:val="22"/>
                <w:szCs w:val="22"/>
                <w:lang w:eastAsia="en-US"/>
              </w:rPr>
            </w:pPr>
          </w:p>
          <w:p w14:paraId="6E1E7DD0" w14:textId="77777777" w:rsidR="006C138C" w:rsidRPr="006C138C" w:rsidRDefault="006C138C" w:rsidP="006C138C">
            <w:pPr>
              <w:spacing w:after="160" w:line="259" w:lineRule="auto"/>
              <w:rPr>
                <w:rFonts w:ascii="Calibri" w:eastAsia="Calibri" w:hAnsi="Calibri" w:cs="Calibri"/>
                <w:b/>
                <w:sz w:val="22"/>
                <w:szCs w:val="22"/>
                <w:lang w:eastAsia="en-US"/>
              </w:rPr>
            </w:pPr>
            <w:r w:rsidRPr="006C138C">
              <w:rPr>
                <w:rFonts w:ascii="Calibri" w:eastAsia="Calibri" w:hAnsi="Calibri" w:cs="Calibri"/>
                <w:b/>
                <w:sz w:val="22"/>
                <w:szCs w:val="22"/>
                <w:lang w:eastAsia="en-US"/>
              </w:rPr>
              <w:t xml:space="preserve">100 % </w:t>
            </w:r>
          </w:p>
          <w:p w14:paraId="22CD7B97"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w:t>
            </w:r>
          </w:p>
        </w:tc>
      </w:tr>
      <w:tr w:rsidR="006C138C" w:rsidRPr="006C138C" w14:paraId="63C07994" w14:textId="77777777" w:rsidTr="006F73F5">
        <w:tc>
          <w:tcPr>
            <w:tcW w:w="1090" w:type="dxa"/>
            <w:shd w:val="clear" w:color="auto" w:fill="D9D9D9"/>
            <w:vAlign w:val="center"/>
          </w:tcPr>
          <w:p w14:paraId="05E6F360"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7.</w:t>
            </w:r>
          </w:p>
        </w:tc>
        <w:tc>
          <w:tcPr>
            <w:tcW w:w="4965" w:type="dxa"/>
            <w:shd w:val="clear" w:color="auto" w:fill="auto"/>
          </w:tcPr>
          <w:p w14:paraId="08136931" w14:textId="77777777" w:rsidR="006C138C" w:rsidRPr="006C138C" w:rsidRDefault="006C138C" w:rsidP="006C138C">
            <w:pPr>
              <w:spacing w:line="259" w:lineRule="auto"/>
              <w:ind w:left="186"/>
              <w:rPr>
                <w:rFonts w:ascii="Calibri" w:eastAsia="Calibri" w:hAnsi="Calibri" w:cs="Calibri"/>
                <w:sz w:val="22"/>
                <w:szCs w:val="22"/>
                <w:lang w:eastAsia="en-US"/>
              </w:rPr>
            </w:pPr>
          </w:p>
          <w:p w14:paraId="6BB742EE" w14:textId="77777777" w:rsidR="006C138C" w:rsidRPr="006C138C" w:rsidRDefault="006C138C" w:rsidP="00397472">
            <w:pPr>
              <w:numPr>
                <w:ilvl w:val="0"/>
                <w:numId w:val="31"/>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Uzavření smlouvy s dodavatelem/zhotovitelem, který se neúčastnil zadávacího řízení</w:t>
            </w:r>
          </w:p>
          <w:p w14:paraId="708FA543" w14:textId="77777777" w:rsidR="006C138C" w:rsidRPr="006C138C" w:rsidRDefault="006C138C" w:rsidP="006C138C">
            <w:pPr>
              <w:ind w:left="186"/>
              <w:contextualSpacing/>
              <w:rPr>
                <w:rFonts w:ascii="Calibri" w:hAnsi="Calibri" w:cs="Calibri"/>
                <w:sz w:val="22"/>
                <w:szCs w:val="22"/>
              </w:rPr>
            </w:pPr>
          </w:p>
          <w:p w14:paraId="51C3DE78" w14:textId="77777777" w:rsidR="006C138C" w:rsidRPr="006C138C" w:rsidRDefault="006C138C" w:rsidP="00397472">
            <w:pPr>
              <w:numPr>
                <w:ilvl w:val="0"/>
                <w:numId w:val="31"/>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 xml:space="preserve">Uzavření smlouvy s uchazečem, který měl být dle zákona obligatorně vyloučen ze zadávacího řízení </w:t>
            </w:r>
          </w:p>
          <w:p w14:paraId="623A876B" w14:textId="77777777" w:rsidR="006C138C" w:rsidRPr="006C138C" w:rsidRDefault="006C138C" w:rsidP="006C138C">
            <w:pPr>
              <w:spacing w:after="160" w:line="259" w:lineRule="auto"/>
              <w:rPr>
                <w:rFonts w:ascii="Calibri" w:eastAsia="Calibri" w:hAnsi="Calibri" w:cs="Calibri"/>
                <w:sz w:val="22"/>
                <w:szCs w:val="22"/>
                <w:lang w:eastAsia="en-US"/>
              </w:rPr>
            </w:pPr>
          </w:p>
          <w:p w14:paraId="7A6A0E4D" w14:textId="77777777" w:rsidR="006C138C" w:rsidRPr="006C138C" w:rsidRDefault="006C138C" w:rsidP="00397472">
            <w:pPr>
              <w:numPr>
                <w:ilvl w:val="0"/>
                <w:numId w:val="31"/>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51B39888" w14:textId="77777777" w:rsidR="006C138C" w:rsidRPr="006C138C" w:rsidRDefault="006C138C" w:rsidP="006C138C">
            <w:pPr>
              <w:ind w:left="720"/>
              <w:contextualSpacing/>
              <w:rPr>
                <w:rFonts w:ascii="Calibri" w:hAnsi="Calibri" w:cs="Calibri"/>
                <w:sz w:val="22"/>
                <w:szCs w:val="22"/>
              </w:rPr>
            </w:pPr>
          </w:p>
          <w:p w14:paraId="71EF7D48" w14:textId="77777777" w:rsidR="006C138C" w:rsidRPr="006C138C" w:rsidRDefault="006C138C" w:rsidP="006C138C">
            <w:pPr>
              <w:ind w:left="186"/>
              <w:contextualSpacing/>
              <w:rPr>
                <w:rFonts w:ascii="Calibri" w:hAnsi="Calibri" w:cs="Calibri"/>
                <w:sz w:val="22"/>
                <w:szCs w:val="22"/>
              </w:rPr>
            </w:pPr>
          </w:p>
        </w:tc>
        <w:tc>
          <w:tcPr>
            <w:tcW w:w="3233" w:type="dxa"/>
            <w:shd w:val="clear" w:color="auto" w:fill="auto"/>
          </w:tcPr>
          <w:p w14:paraId="0BA6383B" w14:textId="77777777" w:rsidR="006C138C" w:rsidRPr="006C138C" w:rsidRDefault="006C138C" w:rsidP="006C138C">
            <w:pPr>
              <w:spacing w:line="259" w:lineRule="auto"/>
              <w:rPr>
                <w:rFonts w:ascii="Calibri" w:eastAsia="Calibri" w:hAnsi="Calibri" w:cs="Calibri"/>
                <w:b/>
                <w:sz w:val="22"/>
                <w:szCs w:val="22"/>
                <w:lang w:eastAsia="en-US"/>
              </w:rPr>
            </w:pPr>
          </w:p>
          <w:p w14:paraId="02C7F9B1"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b/>
                <w:sz w:val="22"/>
                <w:szCs w:val="22"/>
                <w:lang w:eastAsia="en-US"/>
              </w:rPr>
              <w:t>100 %</w:t>
            </w:r>
            <w:r w:rsidRPr="006C138C">
              <w:rPr>
                <w:rFonts w:ascii="Calibri" w:eastAsia="Calibri" w:hAnsi="Calibri" w:cs="Calibri"/>
                <w:sz w:val="22"/>
                <w:szCs w:val="22"/>
                <w:lang w:eastAsia="en-US"/>
              </w:rPr>
              <w:t xml:space="preserve"> </w:t>
            </w:r>
          </w:p>
          <w:p w14:paraId="4CC2AF00" w14:textId="77777777" w:rsidR="006C138C" w:rsidRPr="006C138C" w:rsidRDefault="006C138C" w:rsidP="006C138C">
            <w:pPr>
              <w:spacing w:after="160" w:line="259" w:lineRule="auto"/>
              <w:rPr>
                <w:rFonts w:ascii="Calibri" w:eastAsia="Calibri" w:hAnsi="Calibri" w:cs="Calibri"/>
                <w:b/>
                <w:sz w:val="22"/>
                <w:szCs w:val="22"/>
                <w:lang w:eastAsia="en-US"/>
              </w:rPr>
            </w:pPr>
            <w:r w:rsidRPr="006C138C">
              <w:rPr>
                <w:rFonts w:ascii="Calibri" w:eastAsia="Calibri" w:hAnsi="Calibri" w:cs="Calibri"/>
                <w:sz w:val="22"/>
                <w:szCs w:val="22"/>
                <w:lang w:eastAsia="en-US"/>
              </w:rPr>
              <w:t>částky dotace, použité na financování předmětné zakázky</w:t>
            </w:r>
          </w:p>
        </w:tc>
      </w:tr>
      <w:tr w:rsidR="006C138C" w:rsidRPr="006C138C" w14:paraId="5C2BAB3A" w14:textId="77777777" w:rsidTr="006F73F5">
        <w:tc>
          <w:tcPr>
            <w:tcW w:w="1090" w:type="dxa"/>
            <w:shd w:val="clear" w:color="auto" w:fill="D9D9D9"/>
            <w:vAlign w:val="center"/>
          </w:tcPr>
          <w:p w14:paraId="6A0506CB"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8.</w:t>
            </w:r>
          </w:p>
        </w:tc>
        <w:tc>
          <w:tcPr>
            <w:tcW w:w="4965" w:type="dxa"/>
            <w:shd w:val="clear" w:color="auto" w:fill="auto"/>
          </w:tcPr>
          <w:p w14:paraId="5DE28664" w14:textId="77777777" w:rsidR="006C138C" w:rsidRPr="006C138C" w:rsidRDefault="006C138C" w:rsidP="006C138C">
            <w:pPr>
              <w:spacing w:line="259" w:lineRule="auto"/>
              <w:rPr>
                <w:rFonts w:ascii="Calibri" w:eastAsia="Calibri" w:hAnsi="Calibri" w:cs="Calibri"/>
                <w:sz w:val="22"/>
                <w:szCs w:val="22"/>
                <w:lang w:eastAsia="en-US"/>
              </w:rPr>
            </w:pPr>
          </w:p>
          <w:p w14:paraId="564A92B4" w14:textId="77777777" w:rsidR="006C138C" w:rsidRPr="006C138C" w:rsidRDefault="006C138C" w:rsidP="00397472">
            <w:pPr>
              <w:numPr>
                <w:ilvl w:val="0"/>
                <w:numId w:val="32"/>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Nezákonné použití jednacího řízení bez uveřejnění</w:t>
            </w:r>
          </w:p>
          <w:p w14:paraId="05EADE35" w14:textId="77777777" w:rsidR="006C138C" w:rsidRPr="006C138C" w:rsidRDefault="006C138C" w:rsidP="006C138C">
            <w:pPr>
              <w:ind w:left="186"/>
              <w:contextualSpacing/>
              <w:rPr>
                <w:rFonts w:ascii="Calibri" w:hAnsi="Calibri" w:cs="Calibri"/>
                <w:sz w:val="22"/>
                <w:szCs w:val="22"/>
              </w:rPr>
            </w:pPr>
            <w:r w:rsidRPr="006C138C">
              <w:rPr>
                <w:rFonts w:ascii="Calibri" w:hAnsi="Calibri" w:cs="Calibri"/>
                <w:sz w:val="22"/>
                <w:szCs w:val="22"/>
              </w:rPr>
              <w:t>nebo podstatná změna původních zadávacích podmínek v jednacím řízení s uveřejněním</w:t>
            </w:r>
          </w:p>
          <w:p w14:paraId="1E5B506D" w14:textId="77777777" w:rsidR="006C138C" w:rsidRDefault="006C138C" w:rsidP="006C138C">
            <w:pPr>
              <w:spacing w:after="160" w:line="259" w:lineRule="auto"/>
              <w:rPr>
                <w:rFonts w:ascii="Calibri" w:eastAsia="Calibri" w:hAnsi="Calibri" w:cs="Calibri"/>
                <w:sz w:val="22"/>
                <w:szCs w:val="22"/>
                <w:lang w:eastAsia="en-US"/>
              </w:rPr>
            </w:pPr>
          </w:p>
          <w:p w14:paraId="7DA4D441" w14:textId="77777777" w:rsidR="006C138C" w:rsidRPr="006C138C" w:rsidRDefault="006C138C" w:rsidP="006C138C">
            <w:pPr>
              <w:spacing w:line="259" w:lineRule="auto"/>
              <w:rPr>
                <w:rFonts w:ascii="Calibri" w:eastAsia="Calibri" w:hAnsi="Calibri" w:cs="Calibri"/>
                <w:sz w:val="22"/>
                <w:szCs w:val="22"/>
                <w:lang w:eastAsia="en-US"/>
              </w:rPr>
            </w:pPr>
          </w:p>
          <w:p w14:paraId="30292FC7" w14:textId="77777777" w:rsidR="006C138C" w:rsidRPr="006C138C" w:rsidRDefault="006C138C" w:rsidP="00397472">
            <w:pPr>
              <w:numPr>
                <w:ilvl w:val="0"/>
                <w:numId w:val="32"/>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 xml:space="preserve">Zadání dodatečných zakázek na služby/dodávky (pokud toto zadání představuje podstatnou změnu původních podmínek zakázky) bez soutěže, a </w:t>
            </w:r>
            <w:proofErr w:type="gramStart"/>
            <w:r w:rsidRPr="006C138C">
              <w:rPr>
                <w:rFonts w:ascii="Calibri" w:hAnsi="Calibri" w:cs="Calibri"/>
                <w:sz w:val="22"/>
                <w:szCs w:val="22"/>
              </w:rPr>
              <w:t>to</w:t>
            </w:r>
            <w:proofErr w:type="gramEnd"/>
            <w:r w:rsidRPr="006C138C">
              <w:rPr>
                <w:rFonts w:ascii="Calibri" w:hAnsi="Calibri" w:cs="Calibri"/>
                <w:sz w:val="22"/>
                <w:szCs w:val="22"/>
              </w:rPr>
              <w:t xml:space="preserve"> pokud neplatí jedna z následujících podmínek:</w:t>
            </w:r>
          </w:p>
          <w:p w14:paraId="371AB864" w14:textId="77777777" w:rsidR="006C138C" w:rsidRPr="006C138C" w:rsidRDefault="006C138C" w:rsidP="00397472">
            <w:pPr>
              <w:numPr>
                <w:ilvl w:val="0"/>
                <w:numId w:val="27"/>
              </w:num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mimořádná naléhavost způsobena nepředvídatelnými událostmi</w:t>
            </w:r>
          </w:p>
          <w:p w14:paraId="172098AA" w14:textId="77777777" w:rsidR="006C138C" w:rsidRPr="006C138C" w:rsidRDefault="006C138C" w:rsidP="00397472">
            <w:pPr>
              <w:numPr>
                <w:ilvl w:val="0"/>
                <w:numId w:val="27"/>
              </w:num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nepředvídatelná okolnost pro doplňkové služby, dodávky</w:t>
            </w:r>
          </w:p>
        </w:tc>
        <w:tc>
          <w:tcPr>
            <w:tcW w:w="3233" w:type="dxa"/>
            <w:shd w:val="clear" w:color="auto" w:fill="auto"/>
            <w:vAlign w:val="center"/>
          </w:tcPr>
          <w:p w14:paraId="59ECD82E" w14:textId="77777777" w:rsidR="006C138C" w:rsidRDefault="006C138C" w:rsidP="006C138C">
            <w:pPr>
              <w:spacing w:line="259" w:lineRule="auto"/>
              <w:rPr>
                <w:rFonts w:ascii="Calibri" w:eastAsia="Calibri" w:hAnsi="Calibri" w:cs="Calibri"/>
                <w:b/>
                <w:sz w:val="22"/>
                <w:szCs w:val="22"/>
                <w:lang w:eastAsia="en-US"/>
              </w:rPr>
            </w:pPr>
          </w:p>
          <w:p w14:paraId="47375504" w14:textId="76028673" w:rsidR="006C138C" w:rsidRPr="006C138C" w:rsidRDefault="006C138C" w:rsidP="006C138C">
            <w:pPr>
              <w:spacing w:line="259" w:lineRule="auto"/>
              <w:rPr>
                <w:rFonts w:ascii="Calibri" w:eastAsia="Calibri" w:hAnsi="Calibri" w:cs="Calibri"/>
                <w:sz w:val="22"/>
                <w:szCs w:val="22"/>
                <w:lang w:eastAsia="en-US"/>
              </w:rPr>
            </w:pPr>
            <w:r w:rsidRPr="006C138C">
              <w:rPr>
                <w:rFonts w:ascii="Calibri" w:eastAsia="Calibri" w:hAnsi="Calibri" w:cs="Calibri"/>
                <w:b/>
                <w:sz w:val="22"/>
                <w:szCs w:val="22"/>
                <w:lang w:eastAsia="en-US"/>
              </w:rPr>
              <w:t>100 %</w:t>
            </w:r>
            <w:r w:rsidRPr="006C138C">
              <w:rPr>
                <w:rFonts w:ascii="Calibri" w:eastAsia="Calibri" w:hAnsi="Calibri" w:cs="Calibri"/>
                <w:sz w:val="22"/>
                <w:szCs w:val="22"/>
                <w:lang w:eastAsia="en-US"/>
              </w:rPr>
              <w:t xml:space="preserve"> </w:t>
            </w:r>
          </w:p>
          <w:p w14:paraId="30C5503F"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w:t>
            </w:r>
          </w:p>
          <w:p w14:paraId="1CA459E7" w14:textId="77777777" w:rsidR="006C138C" w:rsidRPr="006C138C" w:rsidRDefault="006C138C" w:rsidP="006C138C">
            <w:pPr>
              <w:spacing w:after="160" w:line="259" w:lineRule="auto"/>
              <w:rPr>
                <w:rFonts w:ascii="Calibri" w:eastAsia="Calibri" w:hAnsi="Calibri" w:cs="Calibri"/>
                <w:sz w:val="22"/>
                <w:szCs w:val="22"/>
                <w:lang w:eastAsia="en-US"/>
              </w:rPr>
            </w:pPr>
          </w:p>
          <w:p w14:paraId="47F16DE8" w14:textId="77777777" w:rsidR="006C138C" w:rsidRDefault="006C138C" w:rsidP="006C138C">
            <w:pPr>
              <w:spacing w:line="259" w:lineRule="auto"/>
              <w:rPr>
                <w:rFonts w:ascii="Calibri" w:eastAsia="Calibri" w:hAnsi="Calibri" w:cs="Calibri"/>
                <w:b/>
                <w:sz w:val="22"/>
                <w:szCs w:val="22"/>
                <w:lang w:eastAsia="en-US"/>
              </w:rPr>
            </w:pPr>
          </w:p>
          <w:p w14:paraId="274ADF01" w14:textId="398F425B"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b/>
                <w:sz w:val="22"/>
                <w:szCs w:val="22"/>
                <w:lang w:eastAsia="en-US"/>
              </w:rPr>
              <w:t>100 %</w:t>
            </w:r>
            <w:r w:rsidRPr="006C138C">
              <w:rPr>
                <w:rFonts w:ascii="Calibri" w:eastAsia="Calibri" w:hAnsi="Calibri" w:cs="Calibri"/>
                <w:sz w:val="22"/>
                <w:szCs w:val="22"/>
                <w:lang w:eastAsia="en-US"/>
              </w:rPr>
              <w:t xml:space="preserve"> </w:t>
            </w:r>
          </w:p>
          <w:p w14:paraId="7E59F57D"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hodnoty dodatečných zakázek</w:t>
            </w:r>
          </w:p>
        </w:tc>
      </w:tr>
      <w:tr w:rsidR="006C138C" w:rsidRPr="006C138C" w14:paraId="46213CD7" w14:textId="77777777" w:rsidTr="006F73F5">
        <w:tc>
          <w:tcPr>
            <w:tcW w:w="1090" w:type="dxa"/>
            <w:shd w:val="clear" w:color="auto" w:fill="D9D9D9"/>
            <w:vAlign w:val="center"/>
          </w:tcPr>
          <w:p w14:paraId="1254C2CA"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9.</w:t>
            </w:r>
          </w:p>
        </w:tc>
        <w:tc>
          <w:tcPr>
            <w:tcW w:w="4965" w:type="dxa"/>
            <w:shd w:val="clear" w:color="auto" w:fill="auto"/>
          </w:tcPr>
          <w:p w14:paraId="58C17661" w14:textId="77777777" w:rsidR="006C138C" w:rsidRPr="006C138C" w:rsidRDefault="006C138C" w:rsidP="006C138C">
            <w:pPr>
              <w:spacing w:line="259" w:lineRule="auto"/>
              <w:rPr>
                <w:rFonts w:ascii="Calibri" w:eastAsia="Calibri" w:hAnsi="Calibri" w:cs="Calibri"/>
                <w:sz w:val="22"/>
                <w:szCs w:val="22"/>
                <w:lang w:eastAsia="en-US"/>
              </w:rPr>
            </w:pPr>
          </w:p>
          <w:p w14:paraId="10E74D85"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Nezveřejnění hodnotících a kvalifikačních kritérií veřejné zakázky v IS CEDR</w:t>
            </w:r>
            <w:r w:rsidRPr="006C138C">
              <w:rPr>
                <w:rFonts w:ascii="Calibri" w:eastAsia="Calibri" w:hAnsi="Calibri" w:cs="Calibri"/>
                <w:sz w:val="22"/>
                <w:szCs w:val="22"/>
                <w:vertAlign w:val="superscript"/>
                <w:lang w:eastAsia="en-US"/>
              </w:rPr>
              <w:footnoteReference w:id="7"/>
            </w:r>
            <w:r w:rsidRPr="006C138C">
              <w:rPr>
                <w:rFonts w:ascii="Calibri" w:eastAsia="Calibri" w:hAnsi="Calibri" w:cs="Calibri"/>
                <w:sz w:val="22"/>
                <w:szCs w:val="22"/>
                <w:lang w:eastAsia="en-US"/>
              </w:rPr>
              <w:t xml:space="preserve"> před plánovaným vyhlášením</w:t>
            </w:r>
          </w:p>
          <w:p w14:paraId="14959879" w14:textId="77777777" w:rsidR="006C138C" w:rsidRPr="006C138C" w:rsidRDefault="006C138C" w:rsidP="006C138C">
            <w:pPr>
              <w:spacing w:after="160" w:line="259" w:lineRule="auto"/>
              <w:rPr>
                <w:rFonts w:ascii="Calibri" w:eastAsia="Calibri" w:hAnsi="Calibri" w:cs="Calibri"/>
                <w:sz w:val="16"/>
                <w:szCs w:val="16"/>
                <w:lang w:eastAsia="en-US"/>
              </w:rPr>
            </w:pPr>
          </w:p>
          <w:p w14:paraId="4A07136D" w14:textId="77777777" w:rsidR="006C138C" w:rsidRPr="006C138C" w:rsidRDefault="006C138C" w:rsidP="006C138C">
            <w:pPr>
              <w:spacing w:after="160" w:line="259" w:lineRule="auto"/>
              <w:rPr>
                <w:rFonts w:ascii="Calibri" w:eastAsia="Calibri" w:hAnsi="Calibri" w:cs="Calibri"/>
                <w:sz w:val="22"/>
                <w:szCs w:val="22"/>
                <w:lang w:eastAsia="en-US"/>
              </w:rPr>
            </w:pPr>
          </w:p>
        </w:tc>
        <w:tc>
          <w:tcPr>
            <w:tcW w:w="3233" w:type="dxa"/>
            <w:shd w:val="clear" w:color="auto" w:fill="auto"/>
            <w:vAlign w:val="center"/>
          </w:tcPr>
          <w:p w14:paraId="0C8122A7" w14:textId="77777777" w:rsidR="006C138C" w:rsidRPr="006C138C" w:rsidRDefault="006C138C" w:rsidP="006C138C">
            <w:pPr>
              <w:spacing w:line="259" w:lineRule="auto"/>
              <w:rPr>
                <w:rFonts w:ascii="Calibri" w:eastAsia="Calibri" w:hAnsi="Calibri" w:cs="Calibri"/>
                <w:b/>
                <w:sz w:val="22"/>
                <w:szCs w:val="22"/>
                <w:lang w:eastAsia="en-US"/>
              </w:rPr>
            </w:pPr>
          </w:p>
          <w:p w14:paraId="511B2347"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0 - 60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192546FE"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 podle závažnosti porušení povinností</w:t>
            </w:r>
          </w:p>
        </w:tc>
      </w:tr>
      <w:tr w:rsidR="006C138C" w:rsidRPr="006C138C" w14:paraId="2C59E841" w14:textId="77777777" w:rsidTr="006F73F5">
        <w:tc>
          <w:tcPr>
            <w:tcW w:w="1090" w:type="dxa"/>
            <w:shd w:val="clear" w:color="auto" w:fill="D9D9D9"/>
            <w:vAlign w:val="center"/>
          </w:tcPr>
          <w:p w14:paraId="0427D149"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10.</w:t>
            </w:r>
          </w:p>
        </w:tc>
        <w:tc>
          <w:tcPr>
            <w:tcW w:w="4965" w:type="dxa"/>
            <w:shd w:val="clear" w:color="auto" w:fill="auto"/>
          </w:tcPr>
          <w:p w14:paraId="06949472" w14:textId="77777777" w:rsidR="006C138C" w:rsidRPr="006C138C" w:rsidRDefault="006C138C" w:rsidP="006C138C">
            <w:pPr>
              <w:spacing w:line="259" w:lineRule="auto"/>
              <w:rPr>
                <w:rFonts w:ascii="Calibri" w:eastAsia="Calibri" w:hAnsi="Calibri" w:cs="Calibri"/>
                <w:sz w:val="22"/>
                <w:szCs w:val="22"/>
                <w:lang w:eastAsia="en-US"/>
              </w:rPr>
            </w:pPr>
          </w:p>
          <w:p w14:paraId="0D0F925D"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Jiné závažné porušení pravidel pro zadávání veřejných zakázek, jestliže mělo či mohlo mít vliv na výběr na nejvhodnější nabídky</w:t>
            </w:r>
          </w:p>
          <w:p w14:paraId="296EAF10" w14:textId="77777777" w:rsidR="006C138C" w:rsidRPr="006C138C" w:rsidRDefault="006C138C" w:rsidP="006C138C">
            <w:pPr>
              <w:spacing w:after="160" w:line="259" w:lineRule="auto"/>
              <w:rPr>
                <w:rFonts w:ascii="Calibri" w:eastAsia="Calibri" w:hAnsi="Calibri" w:cs="Calibri"/>
                <w:sz w:val="22"/>
                <w:szCs w:val="22"/>
                <w:lang w:eastAsia="en-US"/>
              </w:rPr>
            </w:pPr>
          </w:p>
        </w:tc>
        <w:tc>
          <w:tcPr>
            <w:tcW w:w="3233" w:type="dxa"/>
            <w:shd w:val="clear" w:color="auto" w:fill="auto"/>
          </w:tcPr>
          <w:p w14:paraId="163EB1E9" w14:textId="77777777" w:rsidR="006C138C" w:rsidRPr="006C138C" w:rsidRDefault="006C138C" w:rsidP="006C138C">
            <w:pPr>
              <w:spacing w:line="259" w:lineRule="auto"/>
              <w:rPr>
                <w:rFonts w:ascii="Calibri" w:eastAsia="Calibri" w:hAnsi="Calibri" w:cs="Calibri"/>
                <w:b/>
                <w:sz w:val="22"/>
                <w:szCs w:val="22"/>
                <w:lang w:eastAsia="en-US"/>
              </w:rPr>
            </w:pPr>
          </w:p>
          <w:p w14:paraId="7E3BFADA"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60 - 100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5E137AC6"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 podle závažnosti porušení pravidel</w:t>
            </w:r>
          </w:p>
        </w:tc>
      </w:tr>
      <w:tr w:rsidR="006C138C" w:rsidRPr="006C138C" w14:paraId="70A3F70D" w14:textId="77777777" w:rsidTr="006F73F5">
        <w:tc>
          <w:tcPr>
            <w:tcW w:w="1090" w:type="dxa"/>
            <w:shd w:val="clear" w:color="auto" w:fill="D9D9D9"/>
            <w:vAlign w:val="center"/>
          </w:tcPr>
          <w:p w14:paraId="102FD5CA"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11.</w:t>
            </w:r>
          </w:p>
        </w:tc>
        <w:tc>
          <w:tcPr>
            <w:tcW w:w="4965" w:type="dxa"/>
            <w:shd w:val="clear" w:color="auto" w:fill="auto"/>
          </w:tcPr>
          <w:p w14:paraId="16296780" w14:textId="77777777" w:rsidR="006C138C" w:rsidRPr="006C138C" w:rsidRDefault="006C138C" w:rsidP="006C138C">
            <w:pPr>
              <w:spacing w:line="259" w:lineRule="auto"/>
              <w:rPr>
                <w:rFonts w:ascii="Calibri" w:eastAsia="Calibri" w:hAnsi="Calibri" w:cs="Calibri"/>
                <w:sz w:val="22"/>
                <w:szCs w:val="22"/>
                <w:lang w:eastAsia="en-US"/>
              </w:rPr>
            </w:pPr>
          </w:p>
          <w:p w14:paraId="4D74470E"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 xml:space="preserve">Ostatní méně závažná porušení výše výslovně neuvedených povinností vyplývajících ze ZVZ </w:t>
            </w:r>
          </w:p>
          <w:p w14:paraId="00D6CEB7" w14:textId="77777777" w:rsidR="006C138C" w:rsidRPr="006C138C" w:rsidRDefault="006C138C" w:rsidP="006C138C">
            <w:pPr>
              <w:spacing w:after="160" w:line="259" w:lineRule="auto"/>
              <w:rPr>
                <w:rFonts w:ascii="Calibri" w:eastAsia="Calibri" w:hAnsi="Calibri" w:cs="Calibri"/>
                <w:sz w:val="22"/>
                <w:szCs w:val="22"/>
                <w:lang w:eastAsia="en-US"/>
              </w:rPr>
            </w:pPr>
          </w:p>
        </w:tc>
        <w:tc>
          <w:tcPr>
            <w:tcW w:w="3233" w:type="dxa"/>
            <w:shd w:val="clear" w:color="auto" w:fill="auto"/>
          </w:tcPr>
          <w:p w14:paraId="4BC4E1CD" w14:textId="77777777" w:rsidR="006C138C" w:rsidRPr="006C138C" w:rsidRDefault="006C138C" w:rsidP="006C138C">
            <w:pPr>
              <w:spacing w:line="259" w:lineRule="auto"/>
              <w:rPr>
                <w:rFonts w:ascii="Calibri" w:eastAsia="Calibri" w:hAnsi="Calibri" w:cs="Calibri"/>
                <w:sz w:val="22"/>
                <w:szCs w:val="22"/>
                <w:lang w:eastAsia="en-US"/>
              </w:rPr>
            </w:pPr>
          </w:p>
          <w:p w14:paraId="5B174C77"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0 - 75</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27DD521D"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zakázky</w:t>
            </w:r>
          </w:p>
        </w:tc>
      </w:tr>
      <w:tr w:rsidR="006C138C" w:rsidRPr="006C138C" w14:paraId="6E013616" w14:textId="77777777" w:rsidTr="006F73F5">
        <w:tc>
          <w:tcPr>
            <w:tcW w:w="9288" w:type="dxa"/>
            <w:gridSpan w:val="3"/>
            <w:shd w:val="clear" w:color="auto" w:fill="D9D9D9"/>
          </w:tcPr>
          <w:p w14:paraId="5D49A9BA" w14:textId="77777777" w:rsidR="006C138C" w:rsidRPr="006C138C" w:rsidRDefault="006C138C" w:rsidP="006C138C">
            <w:pPr>
              <w:spacing w:after="160" w:line="259" w:lineRule="auto"/>
              <w:jc w:val="center"/>
              <w:rPr>
                <w:rFonts w:ascii="Calibri" w:eastAsia="Calibri" w:hAnsi="Calibri" w:cs="Calibri"/>
                <w:sz w:val="22"/>
                <w:szCs w:val="22"/>
                <w:lang w:eastAsia="en-US"/>
              </w:rPr>
            </w:pPr>
            <w:r w:rsidRPr="006C138C">
              <w:rPr>
                <w:rFonts w:ascii="Calibri" w:eastAsia="Calibri" w:hAnsi="Calibri" w:cs="Calibri"/>
                <w:b/>
                <w:sz w:val="22"/>
                <w:szCs w:val="22"/>
                <w:lang w:eastAsia="en-US"/>
              </w:rPr>
              <w:t>II. Porušení rozpočtové kázně v souvislosti s ostatními povinnostmi vyplývajícími ze smlouvy</w:t>
            </w:r>
          </w:p>
        </w:tc>
      </w:tr>
      <w:tr w:rsidR="006C138C" w:rsidRPr="006C138C" w14:paraId="0FE6172D" w14:textId="77777777" w:rsidTr="006F73F5">
        <w:tc>
          <w:tcPr>
            <w:tcW w:w="1090" w:type="dxa"/>
            <w:shd w:val="clear" w:color="auto" w:fill="D9D9D9"/>
            <w:vAlign w:val="center"/>
          </w:tcPr>
          <w:p w14:paraId="3F84CAF3"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12.</w:t>
            </w:r>
          </w:p>
        </w:tc>
        <w:tc>
          <w:tcPr>
            <w:tcW w:w="4965" w:type="dxa"/>
            <w:shd w:val="clear" w:color="auto" w:fill="auto"/>
          </w:tcPr>
          <w:p w14:paraId="646AA7EA" w14:textId="77777777" w:rsidR="006C138C" w:rsidRPr="006C138C" w:rsidRDefault="006C138C" w:rsidP="006C138C">
            <w:pPr>
              <w:spacing w:line="259" w:lineRule="auto"/>
              <w:ind w:right="-131"/>
              <w:rPr>
                <w:rFonts w:ascii="Calibri" w:eastAsia="Calibri" w:hAnsi="Calibri" w:cs="Calibri"/>
                <w:sz w:val="22"/>
                <w:szCs w:val="22"/>
                <w:lang w:eastAsia="en-US"/>
              </w:rPr>
            </w:pPr>
          </w:p>
          <w:p w14:paraId="6AB89B77" w14:textId="77777777" w:rsidR="006C138C" w:rsidRPr="006C138C" w:rsidRDefault="006C138C" w:rsidP="006C138C">
            <w:pPr>
              <w:spacing w:after="160" w:line="259" w:lineRule="auto"/>
              <w:ind w:left="186" w:right="-131"/>
              <w:rPr>
                <w:rFonts w:ascii="Calibri" w:eastAsia="Calibri" w:hAnsi="Calibri" w:cs="Calibri"/>
                <w:sz w:val="22"/>
                <w:szCs w:val="22"/>
                <w:lang w:eastAsia="en-US"/>
              </w:rPr>
            </w:pPr>
            <w:r w:rsidRPr="006C138C">
              <w:rPr>
                <w:rFonts w:ascii="Calibri" w:eastAsia="Calibri" w:hAnsi="Calibri" w:cs="Calibri"/>
                <w:sz w:val="22"/>
                <w:szCs w:val="22"/>
                <w:lang w:eastAsia="en-US"/>
              </w:rPr>
              <w:t>Nearchivování veškeré dokumentace spojené s implementací projektu minimálně po dobu deseti let od data posledního poskytnutí podpory nebo její části</w:t>
            </w:r>
          </w:p>
          <w:p w14:paraId="47310DCE" w14:textId="77777777" w:rsidR="006C138C" w:rsidRPr="006C138C" w:rsidRDefault="006C138C" w:rsidP="006C138C">
            <w:pPr>
              <w:spacing w:after="160" w:line="259" w:lineRule="auto"/>
              <w:ind w:right="-131"/>
              <w:rPr>
                <w:rFonts w:ascii="Calibri" w:eastAsia="Calibri" w:hAnsi="Calibri" w:cs="Calibri"/>
                <w:sz w:val="22"/>
                <w:szCs w:val="22"/>
                <w:lang w:eastAsia="en-US"/>
              </w:rPr>
            </w:pPr>
          </w:p>
          <w:p w14:paraId="3FEB6F0E" w14:textId="77777777" w:rsidR="006C138C" w:rsidRPr="006C138C" w:rsidRDefault="006C138C" w:rsidP="006C138C">
            <w:pPr>
              <w:spacing w:after="160" w:line="259" w:lineRule="auto"/>
              <w:ind w:right="-131"/>
              <w:rPr>
                <w:rFonts w:ascii="Calibri" w:eastAsia="Calibri" w:hAnsi="Calibri" w:cs="Calibri"/>
                <w:sz w:val="22"/>
                <w:szCs w:val="22"/>
                <w:lang w:eastAsia="en-US"/>
              </w:rPr>
            </w:pPr>
          </w:p>
          <w:p w14:paraId="4610300C" w14:textId="77777777" w:rsidR="006C138C" w:rsidRPr="006C138C" w:rsidRDefault="006C138C" w:rsidP="006C138C">
            <w:pPr>
              <w:spacing w:after="160" w:line="259" w:lineRule="auto"/>
              <w:ind w:right="-131"/>
              <w:rPr>
                <w:rFonts w:ascii="Calibri" w:eastAsia="Calibri" w:hAnsi="Calibri" w:cs="Calibri"/>
                <w:sz w:val="22"/>
                <w:szCs w:val="22"/>
                <w:lang w:eastAsia="en-US"/>
              </w:rPr>
            </w:pPr>
          </w:p>
          <w:p w14:paraId="76100C88" w14:textId="77777777" w:rsidR="006C138C" w:rsidRPr="006C138C" w:rsidRDefault="006C138C" w:rsidP="006C138C">
            <w:pPr>
              <w:spacing w:after="160" w:line="259" w:lineRule="auto"/>
              <w:ind w:right="-131"/>
              <w:rPr>
                <w:rFonts w:ascii="Calibri" w:eastAsia="Calibri" w:hAnsi="Calibri" w:cs="Calibri"/>
                <w:sz w:val="22"/>
                <w:szCs w:val="22"/>
                <w:lang w:eastAsia="en-US"/>
              </w:rPr>
            </w:pPr>
          </w:p>
          <w:p w14:paraId="60BDA4E1" w14:textId="77777777" w:rsidR="006C138C" w:rsidRPr="006C138C" w:rsidRDefault="006C138C" w:rsidP="006C138C">
            <w:pPr>
              <w:spacing w:after="160" w:line="259" w:lineRule="auto"/>
              <w:ind w:right="-131"/>
              <w:rPr>
                <w:rFonts w:ascii="Calibri" w:eastAsia="Calibri" w:hAnsi="Calibri" w:cs="Calibri"/>
                <w:sz w:val="22"/>
                <w:szCs w:val="22"/>
                <w:lang w:eastAsia="en-US"/>
              </w:rPr>
            </w:pPr>
          </w:p>
        </w:tc>
        <w:tc>
          <w:tcPr>
            <w:tcW w:w="3233" w:type="dxa"/>
            <w:shd w:val="clear" w:color="auto" w:fill="auto"/>
          </w:tcPr>
          <w:p w14:paraId="666B4618" w14:textId="77777777" w:rsidR="006C138C" w:rsidRPr="006C138C" w:rsidRDefault="006C138C" w:rsidP="006C138C">
            <w:pPr>
              <w:spacing w:line="259" w:lineRule="auto"/>
              <w:rPr>
                <w:rFonts w:ascii="Calibri" w:eastAsia="Calibri" w:hAnsi="Calibri" w:cs="Calibri"/>
                <w:sz w:val="22"/>
                <w:szCs w:val="22"/>
                <w:lang w:eastAsia="en-US"/>
              </w:rPr>
            </w:pPr>
          </w:p>
          <w:p w14:paraId="3C6CF850"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60 - 100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3B7ED6A0"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w:t>
            </w:r>
          </w:p>
          <w:p w14:paraId="0BFC8F7F" w14:textId="77777777" w:rsidR="006C138C" w:rsidRPr="006C138C" w:rsidRDefault="006C138C" w:rsidP="006C138C">
            <w:pPr>
              <w:spacing w:line="259" w:lineRule="auto"/>
              <w:rPr>
                <w:rFonts w:ascii="Calibri" w:eastAsia="Calibri" w:hAnsi="Calibri" w:cs="Calibri"/>
                <w:sz w:val="22"/>
                <w:szCs w:val="22"/>
                <w:lang w:eastAsia="en-US"/>
              </w:rPr>
            </w:pPr>
          </w:p>
          <w:p w14:paraId="7319A6AB"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0 - 50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59E3B6BB" w14:textId="5BC81742"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w:t>
            </w:r>
            <w:r>
              <w:rPr>
                <w:rFonts w:ascii="Calibri" w:eastAsia="Calibri" w:hAnsi="Calibri" w:cs="Calibri"/>
                <w:sz w:val="22"/>
                <w:szCs w:val="22"/>
                <w:lang w:eastAsia="en-US"/>
              </w:rPr>
              <w:t xml:space="preserve"> </w:t>
            </w:r>
            <w:r w:rsidRPr="006C138C">
              <w:rPr>
                <w:rFonts w:ascii="Calibri" w:eastAsia="Calibri" w:hAnsi="Calibri" w:cs="Calibri"/>
                <w:sz w:val="22"/>
                <w:szCs w:val="22"/>
                <w:lang w:eastAsia="en-US"/>
              </w:rPr>
              <w:t>v méně závažných případech</w:t>
            </w:r>
          </w:p>
        </w:tc>
      </w:tr>
      <w:tr w:rsidR="006C138C" w:rsidRPr="006C138C" w14:paraId="1FE01595" w14:textId="77777777" w:rsidTr="006F73F5">
        <w:tc>
          <w:tcPr>
            <w:tcW w:w="1090" w:type="dxa"/>
            <w:shd w:val="clear" w:color="auto" w:fill="D9D9D9"/>
            <w:vAlign w:val="center"/>
          </w:tcPr>
          <w:p w14:paraId="0913DAC4"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13.</w:t>
            </w:r>
          </w:p>
        </w:tc>
        <w:tc>
          <w:tcPr>
            <w:tcW w:w="4965" w:type="dxa"/>
            <w:shd w:val="clear" w:color="auto" w:fill="auto"/>
          </w:tcPr>
          <w:p w14:paraId="59BC3445" w14:textId="77777777" w:rsidR="006C138C" w:rsidRPr="006C138C" w:rsidRDefault="006C138C" w:rsidP="006C138C">
            <w:pPr>
              <w:spacing w:line="259" w:lineRule="auto"/>
              <w:rPr>
                <w:rFonts w:ascii="Calibri" w:eastAsia="Calibri" w:hAnsi="Calibri" w:cs="Calibri"/>
                <w:sz w:val="22"/>
                <w:szCs w:val="22"/>
                <w:lang w:eastAsia="en-US"/>
              </w:rPr>
            </w:pPr>
          </w:p>
          <w:p w14:paraId="242E1535"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Nevedení evidence práce jednotlivých zaměstnanců příjemce/dalšího účastníka projektu</w:t>
            </w:r>
          </w:p>
        </w:tc>
        <w:tc>
          <w:tcPr>
            <w:tcW w:w="3233" w:type="dxa"/>
            <w:shd w:val="clear" w:color="auto" w:fill="auto"/>
          </w:tcPr>
          <w:p w14:paraId="16F05970" w14:textId="77777777" w:rsidR="006C138C" w:rsidRPr="006C138C" w:rsidRDefault="006C138C" w:rsidP="006C138C">
            <w:pPr>
              <w:spacing w:line="259" w:lineRule="auto"/>
              <w:rPr>
                <w:rFonts w:ascii="Calibri" w:eastAsia="Calibri" w:hAnsi="Calibri" w:cs="Calibri"/>
                <w:sz w:val="22"/>
                <w:szCs w:val="22"/>
                <w:lang w:eastAsia="en-US"/>
              </w:rPr>
            </w:pPr>
          </w:p>
          <w:p w14:paraId="1DA3E698"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50 - 100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33D224F2"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 podle závažnosti porušení</w:t>
            </w:r>
          </w:p>
        </w:tc>
      </w:tr>
      <w:tr w:rsidR="006C138C" w:rsidRPr="006C138C" w14:paraId="79B7B22E" w14:textId="77777777" w:rsidTr="006F73F5">
        <w:tc>
          <w:tcPr>
            <w:tcW w:w="1090" w:type="dxa"/>
            <w:shd w:val="clear" w:color="auto" w:fill="D9D9D9"/>
            <w:vAlign w:val="center"/>
          </w:tcPr>
          <w:p w14:paraId="72A8BB69"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14.</w:t>
            </w:r>
          </w:p>
        </w:tc>
        <w:tc>
          <w:tcPr>
            <w:tcW w:w="4965" w:type="dxa"/>
            <w:shd w:val="clear" w:color="auto" w:fill="auto"/>
          </w:tcPr>
          <w:p w14:paraId="4E2A9385" w14:textId="77777777" w:rsidR="006C138C" w:rsidRPr="006C138C" w:rsidRDefault="006C138C" w:rsidP="006C138C">
            <w:pPr>
              <w:spacing w:line="259" w:lineRule="auto"/>
              <w:rPr>
                <w:rFonts w:ascii="Calibri" w:eastAsia="Calibri" w:hAnsi="Calibri" w:cs="Calibri"/>
                <w:sz w:val="22"/>
                <w:szCs w:val="22"/>
                <w:lang w:eastAsia="en-US"/>
              </w:rPr>
            </w:pPr>
          </w:p>
          <w:p w14:paraId="526A3034"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Neoznámení podstatné změny v projektu</w:t>
            </w:r>
          </w:p>
          <w:p w14:paraId="4EC82164" w14:textId="77777777" w:rsidR="006C138C" w:rsidRPr="006C138C" w:rsidRDefault="006C138C" w:rsidP="006C138C">
            <w:pPr>
              <w:spacing w:after="160" w:line="259" w:lineRule="auto"/>
              <w:rPr>
                <w:rFonts w:ascii="Calibri" w:eastAsia="Calibri" w:hAnsi="Calibri" w:cs="Calibri"/>
                <w:sz w:val="22"/>
                <w:szCs w:val="22"/>
                <w:lang w:eastAsia="en-US"/>
              </w:rPr>
            </w:pPr>
          </w:p>
          <w:p w14:paraId="6EB5E5BF" w14:textId="77777777" w:rsidR="006C138C" w:rsidRPr="006C138C" w:rsidRDefault="006C138C" w:rsidP="006C138C">
            <w:pPr>
              <w:spacing w:after="160" w:line="259" w:lineRule="auto"/>
              <w:rPr>
                <w:rFonts w:ascii="Calibri" w:eastAsia="Calibri" w:hAnsi="Calibri" w:cs="Calibri"/>
                <w:sz w:val="22"/>
                <w:szCs w:val="22"/>
                <w:lang w:eastAsia="en-US"/>
              </w:rPr>
            </w:pPr>
          </w:p>
          <w:p w14:paraId="533BCA38" w14:textId="77777777" w:rsidR="006C138C" w:rsidRPr="006C138C" w:rsidRDefault="006C138C" w:rsidP="006C138C">
            <w:pPr>
              <w:spacing w:line="259" w:lineRule="auto"/>
              <w:rPr>
                <w:rFonts w:ascii="Calibri" w:eastAsia="Calibri" w:hAnsi="Calibri" w:cs="Calibri"/>
                <w:sz w:val="22"/>
                <w:szCs w:val="22"/>
                <w:lang w:eastAsia="en-US"/>
              </w:rPr>
            </w:pPr>
          </w:p>
          <w:p w14:paraId="37C9ADAC"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Neoznámení nepodstatné změny v projektu</w:t>
            </w:r>
          </w:p>
        </w:tc>
        <w:tc>
          <w:tcPr>
            <w:tcW w:w="3233" w:type="dxa"/>
            <w:shd w:val="clear" w:color="auto" w:fill="auto"/>
          </w:tcPr>
          <w:p w14:paraId="4F186578" w14:textId="77777777" w:rsidR="006C138C" w:rsidRPr="006C138C" w:rsidRDefault="006C138C" w:rsidP="006C138C">
            <w:pPr>
              <w:spacing w:line="259" w:lineRule="auto"/>
              <w:rPr>
                <w:rFonts w:ascii="Calibri" w:eastAsia="Calibri" w:hAnsi="Calibri" w:cs="Calibri"/>
                <w:sz w:val="22"/>
                <w:szCs w:val="22"/>
                <w:lang w:eastAsia="en-US"/>
              </w:rPr>
            </w:pPr>
          </w:p>
          <w:p w14:paraId="75F97918"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b/>
                <w:sz w:val="22"/>
                <w:szCs w:val="22"/>
                <w:lang w:eastAsia="en-US"/>
              </w:rPr>
              <w:t>100 %</w:t>
            </w:r>
            <w:r w:rsidRPr="006C138C">
              <w:rPr>
                <w:rFonts w:ascii="Calibri" w:eastAsia="Calibri" w:hAnsi="Calibri" w:cs="Calibri"/>
                <w:sz w:val="22"/>
                <w:szCs w:val="22"/>
                <w:lang w:eastAsia="en-US"/>
              </w:rPr>
              <w:t xml:space="preserve"> </w:t>
            </w:r>
          </w:p>
          <w:p w14:paraId="7EA77903"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 použité na financování předmětné aktivity</w:t>
            </w:r>
          </w:p>
          <w:p w14:paraId="79DA6C7C" w14:textId="77777777" w:rsidR="006C138C" w:rsidRPr="006C138C" w:rsidRDefault="006C138C" w:rsidP="006C138C">
            <w:pPr>
              <w:spacing w:line="259" w:lineRule="auto"/>
              <w:rPr>
                <w:rFonts w:ascii="Calibri" w:eastAsia="Calibri" w:hAnsi="Calibri" w:cs="Calibri"/>
                <w:sz w:val="16"/>
                <w:szCs w:val="16"/>
                <w:lang w:eastAsia="en-US"/>
              </w:rPr>
            </w:pPr>
          </w:p>
          <w:p w14:paraId="4B80CFC0"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0 - 50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27AED896"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předmětné aktivity, v méně závažných případech</w:t>
            </w:r>
          </w:p>
        </w:tc>
      </w:tr>
      <w:tr w:rsidR="006C138C" w:rsidRPr="006C138C" w14:paraId="28067698" w14:textId="77777777" w:rsidTr="006F73F5">
        <w:tc>
          <w:tcPr>
            <w:tcW w:w="1090" w:type="dxa"/>
            <w:shd w:val="clear" w:color="auto" w:fill="D9D9D9"/>
            <w:vAlign w:val="center"/>
          </w:tcPr>
          <w:p w14:paraId="173B77B0"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15.</w:t>
            </w:r>
          </w:p>
        </w:tc>
        <w:tc>
          <w:tcPr>
            <w:tcW w:w="4965" w:type="dxa"/>
            <w:shd w:val="clear" w:color="auto" w:fill="auto"/>
          </w:tcPr>
          <w:p w14:paraId="5F6B60D8" w14:textId="77777777" w:rsidR="006C138C" w:rsidRPr="006C138C" w:rsidRDefault="006C138C" w:rsidP="006C138C">
            <w:pPr>
              <w:spacing w:line="259" w:lineRule="auto"/>
              <w:rPr>
                <w:rFonts w:ascii="Calibri" w:eastAsia="Calibri" w:hAnsi="Calibri" w:cs="Calibri"/>
                <w:sz w:val="22"/>
                <w:szCs w:val="22"/>
                <w:lang w:eastAsia="en-US"/>
              </w:rPr>
            </w:pPr>
          </w:p>
          <w:p w14:paraId="356F2A5E"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Nevytvoření podmínek k provedení kontroly vztahující se k realizaci projektu a/</w:t>
            </w:r>
            <w:proofErr w:type="gramStart"/>
            <w:r w:rsidRPr="006C138C">
              <w:rPr>
                <w:rFonts w:ascii="Calibri" w:eastAsia="Calibri" w:hAnsi="Calibri" w:cs="Calibri"/>
                <w:sz w:val="22"/>
                <w:szCs w:val="22"/>
                <w:lang w:eastAsia="en-US"/>
              </w:rPr>
              <w:t>nebo  neposkytnutí</w:t>
            </w:r>
            <w:proofErr w:type="gramEnd"/>
            <w:r w:rsidRPr="006C138C">
              <w:rPr>
                <w:rFonts w:ascii="Calibri" w:eastAsia="Calibri" w:hAnsi="Calibri" w:cs="Calibri"/>
                <w:sz w:val="22"/>
                <w:szCs w:val="22"/>
                <w:lang w:eastAsia="en-US"/>
              </w:rPr>
              <w:t xml:space="preserve"> součinnosti při prováděné kontrole</w:t>
            </w:r>
          </w:p>
          <w:p w14:paraId="04B92135" w14:textId="77777777" w:rsidR="006C138C" w:rsidRPr="006C138C" w:rsidRDefault="006C138C" w:rsidP="006C138C">
            <w:pPr>
              <w:spacing w:after="160" w:line="259" w:lineRule="auto"/>
              <w:rPr>
                <w:rFonts w:ascii="Calibri" w:eastAsia="Calibri" w:hAnsi="Calibri" w:cs="Calibri"/>
                <w:sz w:val="22"/>
                <w:szCs w:val="22"/>
                <w:lang w:eastAsia="en-US"/>
              </w:rPr>
            </w:pPr>
          </w:p>
        </w:tc>
        <w:tc>
          <w:tcPr>
            <w:tcW w:w="3233" w:type="dxa"/>
            <w:shd w:val="clear" w:color="auto" w:fill="auto"/>
          </w:tcPr>
          <w:p w14:paraId="4D3BA58D" w14:textId="77777777" w:rsidR="006C138C" w:rsidRPr="006C138C" w:rsidRDefault="006C138C" w:rsidP="006C138C">
            <w:pPr>
              <w:spacing w:line="259" w:lineRule="auto"/>
              <w:jc w:val="both"/>
              <w:rPr>
                <w:rFonts w:ascii="Calibri" w:eastAsia="Calibri" w:hAnsi="Calibri" w:cs="Calibri"/>
                <w:sz w:val="22"/>
                <w:szCs w:val="22"/>
                <w:lang w:eastAsia="en-US"/>
              </w:rPr>
            </w:pPr>
          </w:p>
          <w:p w14:paraId="044AEE04" w14:textId="77777777" w:rsidR="006C138C" w:rsidRPr="006C138C" w:rsidRDefault="006C138C" w:rsidP="006C138C">
            <w:pPr>
              <w:spacing w:after="160" w:line="259" w:lineRule="auto"/>
              <w:jc w:val="both"/>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80 - 90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4999B01F" w14:textId="77777777" w:rsidR="006C138C" w:rsidRPr="006C138C" w:rsidRDefault="006C138C" w:rsidP="006C138C">
            <w:pPr>
              <w:spacing w:after="160" w:line="259" w:lineRule="auto"/>
              <w:jc w:val="both"/>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w:t>
            </w:r>
          </w:p>
        </w:tc>
      </w:tr>
      <w:tr w:rsidR="006C138C" w:rsidRPr="006C138C" w14:paraId="70B3E3E9" w14:textId="77777777" w:rsidTr="006F73F5">
        <w:trPr>
          <w:trHeight w:val="3118"/>
        </w:trPr>
        <w:tc>
          <w:tcPr>
            <w:tcW w:w="1090" w:type="dxa"/>
            <w:shd w:val="clear" w:color="auto" w:fill="D9D9D9"/>
            <w:vAlign w:val="center"/>
          </w:tcPr>
          <w:p w14:paraId="1B007D30"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16.</w:t>
            </w:r>
          </w:p>
        </w:tc>
        <w:tc>
          <w:tcPr>
            <w:tcW w:w="4965" w:type="dxa"/>
            <w:shd w:val="clear" w:color="auto" w:fill="auto"/>
          </w:tcPr>
          <w:p w14:paraId="7CCF575A" w14:textId="77777777" w:rsidR="006C138C" w:rsidRPr="006C138C" w:rsidRDefault="006C138C" w:rsidP="006C138C">
            <w:pPr>
              <w:spacing w:line="259" w:lineRule="auto"/>
              <w:rPr>
                <w:rFonts w:ascii="Calibri" w:eastAsia="Calibri" w:hAnsi="Calibri" w:cs="Calibri"/>
                <w:sz w:val="22"/>
                <w:szCs w:val="22"/>
                <w:lang w:eastAsia="en-US"/>
              </w:rPr>
            </w:pPr>
          </w:p>
          <w:p w14:paraId="39570B63"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 xml:space="preserve">Předkládání nepravdivých a/nebo neúplných informací poskytovateli </w:t>
            </w:r>
          </w:p>
        </w:tc>
        <w:tc>
          <w:tcPr>
            <w:tcW w:w="3233" w:type="dxa"/>
            <w:shd w:val="clear" w:color="auto" w:fill="auto"/>
          </w:tcPr>
          <w:p w14:paraId="5B5C99D3" w14:textId="77777777" w:rsidR="006C138C" w:rsidRPr="006C138C" w:rsidRDefault="006C138C" w:rsidP="006C138C">
            <w:pPr>
              <w:spacing w:after="160" w:line="259" w:lineRule="auto"/>
              <w:jc w:val="both"/>
              <w:rPr>
                <w:rFonts w:ascii="Calibri" w:eastAsia="Calibri" w:hAnsi="Calibri" w:cs="Calibri"/>
                <w:b/>
                <w:sz w:val="2"/>
                <w:szCs w:val="22"/>
                <w:lang w:eastAsia="en-US"/>
              </w:rPr>
            </w:pPr>
          </w:p>
          <w:p w14:paraId="0A860AB9" w14:textId="77777777" w:rsidR="006C138C" w:rsidRPr="006C138C" w:rsidRDefault="006C138C" w:rsidP="006C138C">
            <w:pPr>
              <w:spacing w:after="160" w:line="259" w:lineRule="auto"/>
              <w:jc w:val="both"/>
              <w:rPr>
                <w:rFonts w:ascii="Calibri" w:eastAsia="Calibri" w:hAnsi="Calibri" w:cs="Calibri"/>
                <w:sz w:val="22"/>
                <w:szCs w:val="22"/>
                <w:lang w:eastAsia="en-US"/>
              </w:rPr>
            </w:pPr>
            <w:r w:rsidRPr="006C138C">
              <w:rPr>
                <w:rFonts w:ascii="Calibri" w:eastAsia="Calibri" w:hAnsi="Calibri" w:cs="Calibri"/>
                <w:b/>
                <w:sz w:val="22"/>
                <w:szCs w:val="22"/>
                <w:lang w:eastAsia="en-US"/>
              </w:rPr>
              <w:t>100 %</w:t>
            </w:r>
            <w:r w:rsidRPr="006C138C">
              <w:rPr>
                <w:rFonts w:ascii="Calibri" w:eastAsia="Calibri" w:hAnsi="Calibri" w:cs="Calibri"/>
                <w:sz w:val="22"/>
                <w:szCs w:val="22"/>
                <w:lang w:eastAsia="en-US"/>
              </w:rPr>
              <w:t xml:space="preserve"> </w:t>
            </w:r>
          </w:p>
          <w:p w14:paraId="5356113B"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konkrétní aktivity, v případě úmyslného jednání, vážně poškozujícího realizaci/udržitelnost projektu</w:t>
            </w:r>
            <w:r w:rsidRPr="006C138C" w:rsidDel="00FF6B95">
              <w:rPr>
                <w:rFonts w:ascii="Calibri" w:eastAsia="Calibri" w:hAnsi="Calibri" w:cs="Calibri"/>
                <w:sz w:val="22"/>
                <w:szCs w:val="22"/>
                <w:lang w:eastAsia="en-US"/>
              </w:rPr>
              <w:t xml:space="preserve"> </w:t>
            </w:r>
          </w:p>
          <w:p w14:paraId="27DFDCDA"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0 - 40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5228578F"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částky dotace, použité na financování konkrétní aktivity, v méně závažných případech</w:t>
            </w:r>
          </w:p>
        </w:tc>
      </w:tr>
      <w:tr w:rsidR="006C138C" w:rsidRPr="006C138C" w14:paraId="08FF82CF" w14:textId="77777777" w:rsidTr="006F73F5">
        <w:tc>
          <w:tcPr>
            <w:tcW w:w="1090" w:type="dxa"/>
            <w:shd w:val="clear" w:color="auto" w:fill="D9D9D9"/>
            <w:vAlign w:val="center"/>
          </w:tcPr>
          <w:p w14:paraId="403B4F1D"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17.</w:t>
            </w:r>
          </w:p>
        </w:tc>
        <w:tc>
          <w:tcPr>
            <w:tcW w:w="4965" w:type="dxa"/>
            <w:shd w:val="clear" w:color="auto" w:fill="auto"/>
          </w:tcPr>
          <w:p w14:paraId="3E56F3E9" w14:textId="77777777" w:rsidR="006C138C" w:rsidRPr="006C138C" w:rsidRDefault="006C138C" w:rsidP="006C138C">
            <w:pPr>
              <w:spacing w:line="259" w:lineRule="auto"/>
              <w:ind w:left="186"/>
              <w:rPr>
                <w:rFonts w:ascii="Calibri" w:eastAsia="Calibri" w:hAnsi="Calibri" w:cs="Calibri"/>
                <w:sz w:val="22"/>
                <w:szCs w:val="22"/>
                <w:lang w:eastAsia="en-US"/>
              </w:rPr>
            </w:pPr>
          </w:p>
          <w:p w14:paraId="28D80C76"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 xml:space="preserve">Nezacházení s majetkem spolufinancovaným z prostředků na financování projektu s péčí řádného hospodáře. Zejména nepojištění, nezabezpečení proti poškození, odcizení nebo ztrátě </w:t>
            </w:r>
          </w:p>
        </w:tc>
        <w:tc>
          <w:tcPr>
            <w:tcW w:w="3233" w:type="dxa"/>
            <w:shd w:val="clear" w:color="auto" w:fill="auto"/>
          </w:tcPr>
          <w:p w14:paraId="0362C40B" w14:textId="77777777" w:rsidR="006C138C" w:rsidRPr="006C138C" w:rsidRDefault="006C138C" w:rsidP="006C138C">
            <w:pPr>
              <w:spacing w:line="259" w:lineRule="auto"/>
              <w:jc w:val="both"/>
              <w:rPr>
                <w:rFonts w:ascii="Calibri" w:eastAsia="Calibri" w:hAnsi="Calibri" w:cs="Calibri"/>
                <w:b/>
                <w:sz w:val="22"/>
                <w:szCs w:val="22"/>
                <w:lang w:eastAsia="en-US"/>
              </w:rPr>
            </w:pPr>
          </w:p>
          <w:p w14:paraId="7F077DCF" w14:textId="77777777" w:rsidR="006C138C" w:rsidRPr="006C138C" w:rsidRDefault="006C138C" w:rsidP="006C138C">
            <w:pPr>
              <w:spacing w:after="160" w:line="259" w:lineRule="auto"/>
              <w:jc w:val="both"/>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60 - 90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5D7267A8" w14:textId="77777777" w:rsidR="006C138C" w:rsidRPr="006C138C" w:rsidRDefault="006C138C" w:rsidP="006C138C">
            <w:pPr>
              <w:spacing w:after="160" w:line="259" w:lineRule="auto"/>
              <w:jc w:val="both"/>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w:t>
            </w:r>
          </w:p>
        </w:tc>
      </w:tr>
      <w:tr w:rsidR="006C138C" w:rsidRPr="006C138C" w14:paraId="1776D006" w14:textId="77777777" w:rsidTr="006F73F5">
        <w:trPr>
          <w:trHeight w:val="2512"/>
        </w:trPr>
        <w:tc>
          <w:tcPr>
            <w:tcW w:w="1090" w:type="dxa"/>
            <w:shd w:val="clear" w:color="auto" w:fill="D9D9D9"/>
            <w:vAlign w:val="center"/>
          </w:tcPr>
          <w:p w14:paraId="4D49EC75" w14:textId="40E53413"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18</w:t>
            </w:r>
            <w:r>
              <w:rPr>
                <w:rFonts w:ascii="Calibri" w:eastAsia="Calibri" w:hAnsi="Calibri" w:cs="Calibri"/>
                <w:b/>
                <w:sz w:val="22"/>
                <w:szCs w:val="22"/>
                <w:lang w:eastAsia="en-US"/>
              </w:rPr>
              <w:t>.</w:t>
            </w:r>
          </w:p>
        </w:tc>
        <w:tc>
          <w:tcPr>
            <w:tcW w:w="4965" w:type="dxa"/>
            <w:shd w:val="clear" w:color="auto" w:fill="auto"/>
          </w:tcPr>
          <w:p w14:paraId="28011341" w14:textId="77777777" w:rsidR="006C138C" w:rsidRPr="006C138C" w:rsidRDefault="006C138C" w:rsidP="006C138C">
            <w:pPr>
              <w:spacing w:line="259" w:lineRule="auto"/>
              <w:rPr>
                <w:rFonts w:ascii="Calibri" w:eastAsia="Calibri" w:hAnsi="Calibri" w:cs="Calibri"/>
                <w:sz w:val="22"/>
                <w:szCs w:val="22"/>
                <w:lang w:eastAsia="en-US"/>
              </w:rPr>
            </w:pPr>
          </w:p>
          <w:p w14:paraId="4C4C7AC8" w14:textId="77777777" w:rsidR="006C138C" w:rsidRPr="006C138C" w:rsidRDefault="006C138C" w:rsidP="00397472">
            <w:pPr>
              <w:numPr>
                <w:ilvl w:val="0"/>
                <w:numId w:val="32"/>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Neposkytnutí informací o kontrolách provedených jinými subjekty, podezřeních na nesrovnalosti zjištěných v průběhu realizace projektu</w:t>
            </w:r>
          </w:p>
          <w:p w14:paraId="2D0F2027" w14:textId="77777777" w:rsidR="006C138C" w:rsidRPr="006C138C" w:rsidRDefault="006C138C" w:rsidP="006C138C">
            <w:pPr>
              <w:ind w:left="186"/>
              <w:contextualSpacing/>
              <w:rPr>
                <w:rFonts w:ascii="Calibri" w:hAnsi="Calibri" w:cs="Calibri"/>
                <w:sz w:val="22"/>
                <w:szCs w:val="22"/>
              </w:rPr>
            </w:pPr>
          </w:p>
          <w:p w14:paraId="3851354F" w14:textId="77777777" w:rsidR="006C138C" w:rsidRPr="006C138C" w:rsidRDefault="006C138C" w:rsidP="00397472">
            <w:pPr>
              <w:numPr>
                <w:ilvl w:val="0"/>
                <w:numId w:val="32"/>
              </w:numPr>
              <w:spacing w:after="160" w:line="259" w:lineRule="auto"/>
              <w:ind w:left="186" w:hanging="142"/>
              <w:contextualSpacing/>
              <w:rPr>
                <w:rFonts w:ascii="Calibri" w:hAnsi="Calibri" w:cs="Calibri"/>
                <w:sz w:val="22"/>
                <w:szCs w:val="22"/>
              </w:rPr>
            </w:pPr>
            <w:r w:rsidRPr="006C138C">
              <w:rPr>
                <w:rFonts w:ascii="Calibri" w:hAnsi="Calibri" w:cs="Calibri"/>
                <w:sz w:val="22"/>
                <w:szCs w:val="22"/>
              </w:rPr>
              <w:t xml:space="preserve">Neposkytnutí informací o přijetí a splnění uložených opatření k nápravě </w:t>
            </w:r>
          </w:p>
        </w:tc>
        <w:tc>
          <w:tcPr>
            <w:tcW w:w="3233" w:type="dxa"/>
            <w:shd w:val="clear" w:color="auto" w:fill="auto"/>
          </w:tcPr>
          <w:p w14:paraId="1E76F9EF" w14:textId="77777777" w:rsidR="006C138C" w:rsidRPr="006C138C" w:rsidRDefault="006C138C" w:rsidP="006C138C">
            <w:pPr>
              <w:spacing w:after="160" w:line="259" w:lineRule="auto"/>
              <w:jc w:val="both"/>
              <w:rPr>
                <w:rFonts w:ascii="Calibri" w:eastAsia="Calibri" w:hAnsi="Calibri" w:cs="Calibri"/>
                <w:sz w:val="2"/>
                <w:szCs w:val="22"/>
                <w:lang w:eastAsia="en-US"/>
              </w:rPr>
            </w:pPr>
          </w:p>
          <w:p w14:paraId="555EFE52" w14:textId="77777777" w:rsidR="006C138C" w:rsidRPr="006C138C" w:rsidRDefault="006C138C" w:rsidP="006C138C">
            <w:pPr>
              <w:spacing w:after="160" w:line="259" w:lineRule="auto"/>
              <w:jc w:val="both"/>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40 - 90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384F67FB" w14:textId="77777777" w:rsidR="006C138C" w:rsidRPr="006C138C" w:rsidRDefault="006C138C" w:rsidP="006C138C">
            <w:pPr>
              <w:spacing w:after="160" w:line="259" w:lineRule="auto"/>
              <w:jc w:val="both"/>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w:t>
            </w:r>
          </w:p>
          <w:p w14:paraId="5954DA01" w14:textId="77777777" w:rsidR="006C138C" w:rsidRPr="006C138C" w:rsidRDefault="006C138C" w:rsidP="006C138C">
            <w:pPr>
              <w:spacing w:after="160" w:line="259" w:lineRule="auto"/>
              <w:jc w:val="both"/>
              <w:rPr>
                <w:rFonts w:ascii="Calibri" w:eastAsia="Calibri" w:hAnsi="Calibri" w:cs="Calibri"/>
                <w:sz w:val="16"/>
                <w:szCs w:val="16"/>
                <w:lang w:eastAsia="en-US"/>
              </w:rPr>
            </w:pPr>
          </w:p>
          <w:p w14:paraId="59E60D09" w14:textId="77777777" w:rsidR="006C138C" w:rsidRDefault="006C138C" w:rsidP="006C138C">
            <w:pPr>
              <w:spacing w:line="259" w:lineRule="auto"/>
              <w:jc w:val="both"/>
              <w:rPr>
                <w:rFonts w:ascii="Calibri" w:eastAsia="Calibri" w:hAnsi="Calibri" w:cs="Calibri"/>
                <w:b/>
                <w:sz w:val="22"/>
                <w:szCs w:val="22"/>
                <w:lang w:eastAsia="en-US"/>
              </w:rPr>
            </w:pPr>
          </w:p>
          <w:p w14:paraId="273C3FB1" w14:textId="060A72E2" w:rsidR="006C138C" w:rsidRPr="006C138C" w:rsidRDefault="006C138C" w:rsidP="006C138C">
            <w:pPr>
              <w:spacing w:after="160" w:line="259" w:lineRule="auto"/>
              <w:jc w:val="both"/>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0 - 30</w:t>
            </w:r>
            <w:proofErr w:type="gramEnd"/>
            <w:r w:rsidRPr="006C138C">
              <w:rPr>
                <w:rFonts w:ascii="Calibri" w:eastAsia="Calibri" w:hAnsi="Calibri" w:cs="Calibri"/>
                <w:b/>
                <w:sz w:val="22"/>
                <w:szCs w:val="22"/>
                <w:lang w:eastAsia="en-US"/>
              </w:rPr>
              <w:t>%</w:t>
            </w:r>
            <w:r w:rsidRPr="006C138C">
              <w:rPr>
                <w:rFonts w:ascii="Calibri" w:eastAsia="Calibri" w:hAnsi="Calibri" w:cs="Calibri"/>
                <w:sz w:val="22"/>
                <w:szCs w:val="22"/>
                <w:lang w:eastAsia="en-US"/>
              </w:rPr>
              <w:t xml:space="preserve"> </w:t>
            </w:r>
          </w:p>
          <w:p w14:paraId="4D642F49" w14:textId="77777777" w:rsidR="006C138C" w:rsidRPr="006C138C" w:rsidRDefault="006C138C" w:rsidP="006C138C">
            <w:pPr>
              <w:spacing w:after="160" w:line="259" w:lineRule="auto"/>
              <w:jc w:val="both"/>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 v méně závažných případech</w:t>
            </w:r>
          </w:p>
        </w:tc>
      </w:tr>
      <w:tr w:rsidR="006C138C" w:rsidRPr="006C138C" w14:paraId="4BB6DDF9" w14:textId="77777777" w:rsidTr="006F73F5">
        <w:tc>
          <w:tcPr>
            <w:tcW w:w="1090" w:type="dxa"/>
            <w:shd w:val="clear" w:color="auto" w:fill="D9D9D9"/>
            <w:vAlign w:val="center"/>
          </w:tcPr>
          <w:p w14:paraId="44173B1D"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19.</w:t>
            </w:r>
          </w:p>
        </w:tc>
        <w:tc>
          <w:tcPr>
            <w:tcW w:w="4965" w:type="dxa"/>
            <w:shd w:val="clear" w:color="auto" w:fill="auto"/>
          </w:tcPr>
          <w:p w14:paraId="4A43A592" w14:textId="77777777" w:rsidR="006C138C" w:rsidRPr="006C138C" w:rsidRDefault="006C138C" w:rsidP="006C138C">
            <w:pPr>
              <w:spacing w:line="259" w:lineRule="auto"/>
              <w:rPr>
                <w:rFonts w:ascii="Calibri" w:eastAsia="Calibri" w:hAnsi="Calibri" w:cs="Calibri"/>
                <w:sz w:val="22"/>
                <w:szCs w:val="22"/>
                <w:lang w:eastAsia="en-US"/>
              </w:rPr>
            </w:pPr>
          </w:p>
          <w:p w14:paraId="2033AA4F" w14:textId="77777777" w:rsidR="006C138C" w:rsidRPr="006C138C" w:rsidRDefault="006C138C" w:rsidP="006C138C">
            <w:pPr>
              <w:spacing w:after="160" w:line="259" w:lineRule="auto"/>
              <w:ind w:left="186"/>
              <w:rPr>
                <w:rFonts w:ascii="Calibri" w:eastAsia="Calibri" w:hAnsi="Calibri" w:cs="Calibri"/>
                <w:sz w:val="22"/>
                <w:szCs w:val="22"/>
                <w:lang w:eastAsia="en-US"/>
              </w:rPr>
            </w:pPr>
            <w:r w:rsidRPr="006C138C">
              <w:rPr>
                <w:rFonts w:ascii="Calibri" w:eastAsia="Calibri" w:hAnsi="Calibri" w:cs="Calibri"/>
                <w:sz w:val="22"/>
                <w:szCs w:val="22"/>
                <w:lang w:eastAsia="en-US"/>
              </w:rPr>
              <w:t>Neplnění/porušení jiných ve smlouvě o poskytnutí podpory stanovených Podmínek</w:t>
            </w:r>
          </w:p>
        </w:tc>
        <w:tc>
          <w:tcPr>
            <w:tcW w:w="3233" w:type="dxa"/>
            <w:shd w:val="clear" w:color="auto" w:fill="auto"/>
          </w:tcPr>
          <w:p w14:paraId="79194B1F" w14:textId="77777777" w:rsidR="006C138C" w:rsidRPr="006C138C" w:rsidRDefault="006C138C" w:rsidP="006C138C">
            <w:pPr>
              <w:spacing w:after="160" w:line="259" w:lineRule="auto"/>
              <w:rPr>
                <w:rFonts w:ascii="Calibri" w:eastAsia="Calibri" w:hAnsi="Calibri" w:cs="Calibri"/>
                <w:b/>
                <w:sz w:val="2"/>
                <w:szCs w:val="22"/>
                <w:lang w:eastAsia="en-US"/>
              </w:rPr>
            </w:pPr>
          </w:p>
          <w:p w14:paraId="5A63EDD4"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30 - 100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46A7CABD"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 týkající se dané Podmínky</w:t>
            </w:r>
          </w:p>
          <w:p w14:paraId="2E197DA4"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0 - 20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22F5D346"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 týkající se dané Podmínky, v méně závažných případech</w:t>
            </w:r>
          </w:p>
        </w:tc>
      </w:tr>
      <w:tr w:rsidR="006C138C" w:rsidRPr="006C138C" w14:paraId="58863235" w14:textId="77777777" w:rsidTr="006F73F5">
        <w:tc>
          <w:tcPr>
            <w:tcW w:w="1090" w:type="dxa"/>
            <w:shd w:val="clear" w:color="auto" w:fill="D9D9D9"/>
            <w:vAlign w:val="center"/>
          </w:tcPr>
          <w:p w14:paraId="416E867A"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20.</w:t>
            </w:r>
          </w:p>
        </w:tc>
        <w:tc>
          <w:tcPr>
            <w:tcW w:w="4965" w:type="dxa"/>
            <w:shd w:val="clear" w:color="auto" w:fill="auto"/>
          </w:tcPr>
          <w:p w14:paraId="2205BC52" w14:textId="77777777" w:rsidR="006C138C" w:rsidRDefault="006C138C" w:rsidP="006C138C">
            <w:pPr>
              <w:spacing w:line="259" w:lineRule="auto"/>
              <w:rPr>
                <w:rFonts w:ascii="Calibri" w:eastAsia="Calibri" w:hAnsi="Calibri" w:cs="Calibri"/>
                <w:sz w:val="22"/>
                <w:szCs w:val="22"/>
                <w:lang w:eastAsia="en-US"/>
              </w:rPr>
            </w:pPr>
          </w:p>
          <w:p w14:paraId="4829DB2C" w14:textId="6EF40236"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Neplnění/porušení jiných ve smlouvě o poskytnutí podpory stanovených Dalších podmínek</w:t>
            </w:r>
          </w:p>
        </w:tc>
        <w:tc>
          <w:tcPr>
            <w:tcW w:w="3233" w:type="dxa"/>
            <w:shd w:val="clear" w:color="auto" w:fill="auto"/>
          </w:tcPr>
          <w:p w14:paraId="731D3EC1" w14:textId="77777777" w:rsidR="006C138C" w:rsidRDefault="006C138C" w:rsidP="006C138C">
            <w:pPr>
              <w:spacing w:line="259" w:lineRule="auto"/>
              <w:rPr>
                <w:rFonts w:ascii="Calibri" w:eastAsia="Calibri" w:hAnsi="Calibri" w:cs="Calibri"/>
                <w:b/>
                <w:sz w:val="22"/>
                <w:szCs w:val="22"/>
                <w:lang w:eastAsia="en-US"/>
              </w:rPr>
            </w:pPr>
          </w:p>
          <w:p w14:paraId="08CA138F" w14:textId="48C61B9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30 - 100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4B5D0FFE" w14:textId="77777777"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celkové částky dotace, týkající se dané Další podmínky</w:t>
            </w:r>
          </w:p>
          <w:p w14:paraId="4C3B6235" w14:textId="77777777"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0 - 20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1D336A6A" w14:textId="77777777" w:rsidR="006C138C" w:rsidRPr="006C138C" w:rsidRDefault="006C138C" w:rsidP="006C138C">
            <w:pPr>
              <w:spacing w:after="160" w:line="259" w:lineRule="auto"/>
              <w:rPr>
                <w:rFonts w:ascii="Calibri" w:eastAsia="Calibri" w:hAnsi="Calibri" w:cs="Calibri"/>
                <w:b/>
                <w:sz w:val="22"/>
                <w:szCs w:val="22"/>
                <w:lang w:eastAsia="en-US"/>
              </w:rPr>
            </w:pPr>
            <w:r w:rsidRPr="006C138C">
              <w:rPr>
                <w:rFonts w:ascii="Calibri" w:eastAsia="Calibri" w:hAnsi="Calibri" w:cs="Calibri"/>
                <w:sz w:val="22"/>
                <w:szCs w:val="22"/>
                <w:lang w:eastAsia="en-US"/>
              </w:rPr>
              <w:t>celkové částky dotace, týkající se dané Další podmínky, v méně závažných případech</w:t>
            </w:r>
          </w:p>
        </w:tc>
      </w:tr>
      <w:tr w:rsidR="006C138C" w:rsidRPr="006C138C" w14:paraId="103A724D" w14:textId="77777777" w:rsidTr="006F73F5">
        <w:trPr>
          <w:trHeight w:val="1433"/>
        </w:trPr>
        <w:tc>
          <w:tcPr>
            <w:tcW w:w="1090" w:type="dxa"/>
            <w:shd w:val="clear" w:color="auto" w:fill="D9D9D9"/>
            <w:vAlign w:val="center"/>
          </w:tcPr>
          <w:p w14:paraId="2F4102F5" w14:textId="77777777" w:rsidR="006C138C" w:rsidRPr="006C138C" w:rsidRDefault="006C138C" w:rsidP="006C138C">
            <w:pPr>
              <w:spacing w:after="160" w:line="259" w:lineRule="auto"/>
              <w:jc w:val="center"/>
              <w:rPr>
                <w:rFonts w:ascii="Calibri" w:eastAsia="Calibri" w:hAnsi="Calibri" w:cs="Calibri"/>
                <w:b/>
                <w:sz w:val="22"/>
                <w:szCs w:val="22"/>
                <w:lang w:eastAsia="en-US"/>
              </w:rPr>
            </w:pPr>
            <w:r w:rsidRPr="006C138C">
              <w:rPr>
                <w:rFonts w:ascii="Calibri" w:eastAsia="Calibri" w:hAnsi="Calibri" w:cs="Calibri"/>
                <w:b/>
                <w:sz w:val="22"/>
                <w:szCs w:val="22"/>
                <w:lang w:eastAsia="en-US"/>
              </w:rPr>
              <w:t>21.</w:t>
            </w:r>
          </w:p>
        </w:tc>
        <w:tc>
          <w:tcPr>
            <w:tcW w:w="4965" w:type="dxa"/>
            <w:shd w:val="clear" w:color="auto" w:fill="auto"/>
          </w:tcPr>
          <w:p w14:paraId="084F998A" w14:textId="77777777" w:rsidR="006C138C" w:rsidRDefault="006C138C" w:rsidP="006C138C">
            <w:pPr>
              <w:spacing w:line="259" w:lineRule="auto"/>
              <w:rPr>
                <w:rFonts w:ascii="Calibri" w:eastAsia="Calibri" w:hAnsi="Calibri" w:cs="Calibri"/>
                <w:sz w:val="22"/>
                <w:szCs w:val="22"/>
                <w:lang w:eastAsia="en-US"/>
              </w:rPr>
            </w:pPr>
          </w:p>
          <w:p w14:paraId="6C1B3377" w14:textId="349D0EDA" w:rsidR="006C138C" w:rsidRPr="006C138C" w:rsidRDefault="006C138C" w:rsidP="006C138C">
            <w:pPr>
              <w:spacing w:after="160" w:line="259" w:lineRule="auto"/>
              <w:rPr>
                <w:rFonts w:ascii="Calibri" w:eastAsia="Calibri" w:hAnsi="Calibri" w:cs="Calibri"/>
                <w:sz w:val="22"/>
                <w:szCs w:val="22"/>
                <w:lang w:eastAsia="en-US"/>
              </w:rPr>
            </w:pPr>
            <w:r w:rsidRPr="006C138C">
              <w:rPr>
                <w:rFonts w:ascii="Calibri" w:eastAsia="Calibri" w:hAnsi="Calibri" w:cs="Calibri"/>
                <w:sz w:val="22"/>
                <w:szCs w:val="22"/>
                <w:lang w:eastAsia="en-US"/>
              </w:rPr>
              <w:t>Neplnění/porušení jiných ve smlouvě o poskytnutí podpory stanovených Ostatních povinností</w:t>
            </w:r>
          </w:p>
        </w:tc>
        <w:tc>
          <w:tcPr>
            <w:tcW w:w="3233" w:type="dxa"/>
            <w:shd w:val="clear" w:color="auto" w:fill="auto"/>
          </w:tcPr>
          <w:p w14:paraId="3328FE2F" w14:textId="77777777" w:rsidR="006C138C" w:rsidRDefault="006C138C" w:rsidP="006C138C">
            <w:pPr>
              <w:spacing w:line="259" w:lineRule="auto"/>
              <w:rPr>
                <w:rFonts w:ascii="Calibri" w:eastAsia="Calibri" w:hAnsi="Calibri" w:cs="Calibri"/>
                <w:b/>
                <w:sz w:val="22"/>
                <w:szCs w:val="22"/>
                <w:lang w:eastAsia="en-US"/>
              </w:rPr>
            </w:pPr>
          </w:p>
          <w:p w14:paraId="6A923A7D" w14:textId="306BD076" w:rsidR="006C138C" w:rsidRPr="006C138C" w:rsidRDefault="006C138C" w:rsidP="006C138C">
            <w:pPr>
              <w:spacing w:after="160" w:line="259" w:lineRule="auto"/>
              <w:rPr>
                <w:rFonts w:ascii="Calibri" w:eastAsia="Calibri" w:hAnsi="Calibri" w:cs="Calibri"/>
                <w:sz w:val="22"/>
                <w:szCs w:val="22"/>
                <w:lang w:eastAsia="en-US"/>
              </w:rPr>
            </w:pPr>
            <w:proofErr w:type="gramStart"/>
            <w:r w:rsidRPr="006C138C">
              <w:rPr>
                <w:rFonts w:ascii="Calibri" w:eastAsia="Calibri" w:hAnsi="Calibri" w:cs="Calibri"/>
                <w:b/>
                <w:sz w:val="22"/>
                <w:szCs w:val="22"/>
                <w:lang w:eastAsia="en-US"/>
              </w:rPr>
              <w:t>0 - 70</w:t>
            </w:r>
            <w:proofErr w:type="gramEnd"/>
            <w:r w:rsidRPr="006C138C">
              <w:rPr>
                <w:rFonts w:ascii="Calibri" w:eastAsia="Calibri" w:hAnsi="Calibri" w:cs="Calibri"/>
                <w:b/>
                <w:sz w:val="22"/>
                <w:szCs w:val="22"/>
                <w:lang w:eastAsia="en-US"/>
              </w:rPr>
              <w:t xml:space="preserve"> %</w:t>
            </w:r>
            <w:r w:rsidRPr="006C138C">
              <w:rPr>
                <w:rFonts w:ascii="Calibri" w:eastAsia="Calibri" w:hAnsi="Calibri" w:cs="Calibri"/>
                <w:sz w:val="22"/>
                <w:szCs w:val="22"/>
                <w:lang w:eastAsia="en-US"/>
              </w:rPr>
              <w:t xml:space="preserve"> </w:t>
            </w:r>
          </w:p>
          <w:p w14:paraId="06DABABC" w14:textId="77777777" w:rsidR="006C138C" w:rsidRPr="006C138C" w:rsidRDefault="006C138C" w:rsidP="006C138C">
            <w:pPr>
              <w:spacing w:after="160" w:line="259" w:lineRule="auto"/>
              <w:rPr>
                <w:rFonts w:ascii="Calibri" w:eastAsia="Calibri" w:hAnsi="Calibri" w:cs="Calibri"/>
                <w:b/>
                <w:sz w:val="22"/>
                <w:szCs w:val="22"/>
                <w:lang w:eastAsia="en-US"/>
              </w:rPr>
            </w:pPr>
            <w:r w:rsidRPr="006C138C">
              <w:rPr>
                <w:rFonts w:ascii="Calibri" w:eastAsia="Calibri" w:hAnsi="Calibri" w:cs="Calibri"/>
                <w:sz w:val="22"/>
                <w:szCs w:val="22"/>
                <w:lang w:eastAsia="en-US"/>
              </w:rPr>
              <w:t>celkové částky dotace, týkající se dané Ostatní povinnosti</w:t>
            </w:r>
          </w:p>
        </w:tc>
      </w:tr>
    </w:tbl>
    <w:p w14:paraId="2D3FA9B3" w14:textId="77777777" w:rsidR="006C138C" w:rsidRPr="006C138C" w:rsidRDefault="006C138C" w:rsidP="006C138C">
      <w:pPr>
        <w:spacing w:after="160" w:line="259" w:lineRule="auto"/>
        <w:rPr>
          <w:rFonts w:ascii="Calibri" w:eastAsia="Calibri" w:hAnsi="Calibri" w:cs="Calibri"/>
          <w:b/>
          <w:sz w:val="22"/>
          <w:szCs w:val="22"/>
          <w:lang w:eastAsia="en-US"/>
        </w:rPr>
      </w:pPr>
    </w:p>
    <w:p w14:paraId="7E5DF491" w14:textId="77777777" w:rsidR="006C138C" w:rsidRPr="006C138C" w:rsidRDefault="006C138C" w:rsidP="006C138C">
      <w:pPr>
        <w:spacing w:after="160" w:line="259" w:lineRule="auto"/>
        <w:jc w:val="both"/>
        <w:rPr>
          <w:rFonts w:ascii="Calibri" w:eastAsia="Calibri" w:hAnsi="Calibri"/>
          <w:sz w:val="22"/>
          <w:szCs w:val="22"/>
          <w:lang w:eastAsia="en-US"/>
        </w:rPr>
      </w:pPr>
    </w:p>
    <w:p w14:paraId="757C55E2" w14:textId="77777777" w:rsidR="006C138C" w:rsidRPr="006C138C" w:rsidRDefault="006C138C" w:rsidP="006C138C">
      <w:pPr>
        <w:spacing w:after="160" w:line="259" w:lineRule="auto"/>
        <w:jc w:val="both"/>
        <w:rPr>
          <w:rFonts w:ascii="Calibri" w:eastAsia="Calibri" w:hAnsi="Calibri"/>
          <w:sz w:val="22"/>
          <w:szCs w:val="22"/>
          <w:lang w:eastAsia="en-US"/>
        </w:rPr>
      </w:pPr>
    </w:p>
    <w:p w14:paraId="317A27A7" w14:textId="77777777" w:rsidR="006C138C" w:rsidRDefault="006C138C" w:rsidP="00E51E80">
      <w:pPr>
        <w:jc w:val="center"/>
      </w:pPr>
    </w:p>
    <w:p w14:paraId="354CA921" w14:textId="77777777" w:rsidR="006C138C" w:rsidRDefault="006C138C" w:rsidP="00E51E80">
      <w:pPr>
        <w:jc w:val="center"/>
      </w:pPr>
    </w:p>
    <w:p w14:paraId="19823751" w14:textId="77777777" w:rsidR="006C138C" w:rsidRDefault="006C138C" w:rsidP="00E51E80">
      <w:pPr>
        <w:jc w:val="center"/>
      </w:pPr>
    </w:p>
    <w:p w14:paraId="57FF0380" w14:textId="77777777" w:rsidR="006C138C" w:rsidRDefault="006C138C" w:rsidP="00E51E80">
      <w:pPr>
        <w:jc w:val="center"/>
      </w:pPr>
    </w:p>
    <w:p w14:paraId="51379473" w14:textId="77777777" w:rsidR="006C138C" w:rsidRDefault="006C138C" w:rsidP="00E51E80">
      <w:pPr>
        <w:jc w:val="center"/>
      </w:pPr>
    </w:p>
    <w:p w14:paraId="241A5F74" w14:textId="77777777" w:rsidR="006C138C" w:rsidRDefault="006C138C" w:rsidP="00E51E80">
      <w:pPr>
        <w:jc w:val="center"/>
      </w:pPr>
    </w:p>
    <w:p w14:paraId="209159D8" w14:textId="77777777" w:rsidR="006C138C" w:rsidRPr="00E51E80" w:rsidRDefault="006C138C" w:rsidP="00E51E80">
      <w:pPr>
        <w:jc w:val="center"/>
      </w:pPr>
    </w:p>
    <w:sectPr w:rsidR="006C138C" w:rsidRPr="00E51E80" w:rsidSect="006F7FE1">
      <w:headerReference w:type="default" r:id="rId19"/>
      <w:footerReference w:type="default" r:id="rId20"/>
      <w:type w:val="continuous"/>
      <w:pgSz w:w="11907" w:h="16839" w:code="9"/>
      <w:pgMar w:top="1148" w:right="1417" w:bottom="765" w:left="1418" w:header="709"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D04FC" w14:textId="77777777" w:rsidR="00C2534A" w:rsidRDefault="00C2534A" w:rsidP="00DB1A59">
      <w:r>
        <w:separator/>
      </w:r>
    </w:p>
  </w:endnote>
  <w:endnote w:type="continuationSeparator" w:id="0">
    <w:p w14:paraId="6A64541E" w14:textId="77777777" w:rsidR="00C2534A" w:rsidRDefault="00C2534A"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4ADD" w14:textId="77777777" w:rsidR="00B97AEA" w:rsidRDefault="00B97A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D2E0" w14:textId="6C5DD4DB" w:rsidR="00C2534A" w:rsidRDefault="00C2534A">
    <w:pPr>
      <w:pStyle w:val="Zpat"/>
      <w:jc w:val="center"/>
    </w:pPr>
  </w:p>
  <w:p w14:paraId="2FBACBEB" w14:textId="77777777" w:rsidR="00C2534A" w:rsidRDefault="00C2534A"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2D84" w14:textId="77777777" w:rsidR="00C2534A" w:rsidRDefault="00C2534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DB72341" w14:textId="77777777" w:rsidR="00C2534A" w:rsidRPr="006211B6" w:rsidRDefault="00C2534A"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0FBA" w14:textId="77777777" w:rsidR="00C2534A" w:rsidRDefault="00C2534A">
    <w:pPr>
      <w:pStyle w:val="Zpat"/>
      <w:jc w:val="center"/>
    </w:pPr>
  </w:p>
  <w:p w14:paraId="24625625" w14:textId="77777777" w:rsidR="00C2534A" w:rsidRDefault="00C2534A"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27B1" w14:textId="77777777" w:rsidR="00C2534A" w:rsidRDefault="00C2534A">
    <w:pPr>
      <w:pStyle w:val="Zpat"/>
      <w:jc w:val="center"/>
    </w:pPr>
  </w:p>
  <w:p w14:paraId="6046A344" w14:textId="77777777" w:rsidR="00C2534A" w:rsidRDefault="00C2534A"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47E8" w14:textId="77777777" w:rsidR="00673F7C" w:rsidRDefault="00673F7C">
    <w:pPr>
      <w:pStyle w:val="Zpat"/>
      <w:jc w:val="center"/>
    </w:pPr>
  </w:p>
  <w:p w14:paraId="13F15D3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B671" w14:textId="77777777" w:rsidR="00C2534A" w:rsidRDefault="00C2534A" w:rsidP="00DB1A59">
      <w:r>
        <w:separator/>
      </w:r>
    </w:p>
  </w:footnote>
  <w:footnote w:type="continuationSeparator" w:id="0">
    <w:p w14:paraId="5A7771AB" w14:textId="77777777" w:rsidR="00C2534A" w:rsidRDefault="00C2534A" w:rsidP="00DB1A59">
      <w:r>
        <w:continuationSeparator/>
      </w:r>
    </w:p>
  </w:footnote>
  <w:footnote w:id="1">
    <w:p w14:paraId="602BB0F7" w14:textId="77777777" w:rsidR="00C2534A" w:rsidRPr="00EC642D" w:rsidRDefault="00C2534A"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730D657" w14:textId="77777777" w:rsidR="00C2534A" w:rsidRPr="004A0FBD" w:rsidRDefault="00C2534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79B7C94" w14:textId="77777777" w:rsidR="00C2534A" w:rsidRPr="00C15937" w:rsidRDefault="00C2534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30723B7" w14:textId="77777777" w:rsidR="00C2534A" w:rsidRPr="00454CB3" w:rsidRDefault="00C2534A"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160A184F" w14:textId="77777777" w:rsidR="006F7FE1" w:rsidRDefault="006F7FE1" w:rsidP="006F7FE1">
      <w:pPr>
        <w:tabs>
          <w:tab w:val="left" w:pos="0"/>
        </w:tabs>
        <w:spacing w:before="240" w:after="120"/>
        <w:ind w:left="567" w:hanging="567"/>
        <w:jc w:val="both"/>
        <w:rPr>
          <w:rFonts w:ascii="Calibri" w:hAnsi="Calibri" w:cs="Calibri"/>
          <w:sz w:val="18"/>
          <w:szCs w:val="18"/>
        </w:rPr>
      </w:pPr>
      <w:r>
        <w:rPr>
          <w:rStyle w:val="Znakapoznpodarou"/>
        </w:rPr>
        <w:footnoteRef/>
      </w:r>
      <w:r>
        <w:t>)</w:t>
      </w:r>
      <w:r>
        <w:tab/>
      </w:r>
      <w:r>
        <w:rPr>
          <w:rFonts w:ascii="Calibri" w:hAnsi="Calibri" w:cs="Calibr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Calibri" w:hAnsi="Calibri" w:cs="Calibri"/>
          <w:b/>
          <w:sz w:val="18"/>
          <w:szCs w:val="18"/>
        </w:rPr>
        <w:t>7 kalendářních dnů od jeho doručení</w:t>
      </w:r>
      <w:r>
        <w:rPr>
          <w:rFonts w:ascii="Calibri" w:hAnsi="Calibri" w:cs="Calibri"/>
          <w:sz w:val="18"/>
          <w:szCs w:val="18"/>
        </w:rPr>
        <w:t xml:space="preserve">. Pokud tak neučiní, má se za to, že s návrhem poskytovatele souhlasí. Případné námitky příjemce však poskytovatel není povinen akceptovat. </w:t>
      </w:r>
    </w:p>
    <w:p w14:paraId="1C533956" w14:textId="77777777" w:rsidR="006F7FE1" w:rsidRDefault="006F7FE1" w:rsidP="006F7FE1">
      <w:pPr>
        <w:pStyle w:val="Textpoznpodarou"/>
        <w:ind w:left="567" w:hanging="567"/>
        <w:jc w:val="both"/>
      </w:pPr>
    </w:p>
  </w:footnote>
  <w:footnote w:id="6">
    <w:p w14:paraId="3DF7BF01" w14:textId="77777777" w:rsidR="006C138C" w:rsidRDefault="006C138C" w:rsidP="006C138C">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64676599" w14:textId="77777777" w:rsidR="006C138C" w:rsidRDefault="006C138C" w:rsidP="006C138C">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35CA" w14:textId="77777777" w:rsidR="00B97AEA" w:rsidRDefault="00B97A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2B58" w14:textId="77777777" w:rsidR="00C2534A" w:rsidRPr="00670F69" w:rsidRDefault="00C2534A"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5394CD48" w14:textId="443854C5" w:rsidR="00C2534A" w:rsidRDefault="00C2534A"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2534A">
      <w:rPr>
        <w:rFonts w:asciiTheme="minorHAnsi" w:hAnsiTheme="minorHAnsi" w:cstheme="minorHAnsi"/>
        <w:i/>
        <w:sz w:val="22"/>
        <w:szCs w:val="22"/>
      </w:rPr>
      <w:t>MSMT-11210/2024-6</w:t>
    </w:r>
    <w:r>
      <w:rPr>
        <w:rFonts w:asciiTheme="minorHAnsi" w:hAnsiTheme="minorHAnsi" w:cstheme="minorHAnsi"/>
        <w:i/>
        <w:sz w:val="22"/>
        <w:szCs w:val="22"/>
      </w:rPr>
      <w:t xml:space="preserve">                                                                                                          </w:t>
    </w:r>
    <w:r w:rsidRPr="00C2534A">
      <w:rPr>
        <w:rFonts w:asciiTheme="minorHAnsi" w:hAnsiTheme="minorHAnsi" w:cstheme="minorHAnsi"/>
        <w:i/>
        <w:sz w:val="22"/>
        <w:szCs w:val="22"/>
      </w:rPr>
      <w:t>LUAIZ24104</w:t>
    </w:r>
  </w:p>
  <w:p w14:paraId="24244E83" w14:textId="77777777" w:rsidR="00E51E80" w:rsidRDefault="00E51E80" w:rsidP="00DB10F7">
    <w:pPr>
      <w:pStyle w:val="Zhlav"/>
      <w:rPr>
        <w:rFonts w:asciiTheme="minorHAnsi" w:hAnsiTheme="minorHAnsi" w:cstheme="minorHAnsi"/>
        <w:i/>
        <w:sz w:val="22"/>
        <w:szCs w:val="22"/>
      </w:rPr>
    </w:pPr>
  </w:p>
  <w:p w14:paraId="0E942B89" w14:textId="77777777" w:rsidR="00C2534A" w:rsidRPr="00670F69" w:rsidRDefault="00C2534A"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C4ED" w14:textId="77777777" w:rsidR="00C2534A" w:rsidRPr="00670F69" w:rsidRDefault="00C2534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7A0DAB1C" w14:textId="77777777" w:rsidR="00C2534A" w:rsidRPr="00670F69" w:rsidRDefault="00C2534A">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9216" w14:textId="77777777" w:rsidR="00C2534A" w:rsidRPr="00670F69" w:rsidRDefault="00C2534A" w:rsidP="00567207">
    <w:pPr>
      <w:pStyle w:val="Zhlav"/>
      <w:rPr>
        <w:rFonts w:asciiTheme="minorHAnsi" w:hAnsiTheme="minorHAnsi" w:cstheme="minorHAnsi"/>
        <w:i/>
        <w:sz w:val="22"/>
        <w:szCs w:val="22"/>
      </w:rPr>
    </w:pPr>
    <w:bookmarkStart w:id="0" w:name="_Hlk175824340"/>
    <w:bookmarkStart w:id="1" w:name="_Hlk175824341"/>
    <w:bookmarkStart w:id="2" w:name="_Hlk175824363"/>
    <w:bookmarkStart w:id="3" w:name="_Hlk175824364"/>
    <w:bookmarkStart w:id="4" w:name="_Hlk175824365"/>
    <w:bookmarkStart w:id="5" w:name="_Hlk175824366"/>
    <w:bookmarkStart w:id="6" w:name="_Hlk175824367"/>
    <w:bookmarkStart w:id="7" w:name="_Hlk175824368"/>
    <w:bookmarkStart w:id="8" w:name="_Hlk175824369"/>
    <w:bookmarkStart w:id="9" w:name="_Hlk175824370"/>
    <w:bookmarkStart w:id="10" w:name="_Hlk175824371"/>
    <w:bookmarkStart w:id="11" w:name="_Hlk175824372"/>
    <w:bookmarkStart w:id="12" w:name="_Hlk175824373"/>
    <w:bookmarkStart w:id="13" w:name="_Hlk175824374"/>
    <w:bookmarkStart w:id="14" w:name="_Hlk175824375"/>
    <w:bookmarkStart w:id="15" w:name="_Hlk175824376"/>
    <w:bookmarkStart w:id="16" w:name="_Hlk175824377"/>
    <w:bookmarkStart w:id="17" w:name="_Hlk175824378"/>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7B3F50F2" w14:textId="2D6985A2" w:rsidR="00C2534A" w:rsidRPr="008A26F8" w:rsidRDefault="00C2534A" w:rsidP="008A26F8">
    <w:pPr>
      <w:pStyle w:val="Zhlav"/>
    </w:pPr>
    <w:r w:rsidRPr="00C2534A">
      <w:rPr>
        <w:rFonts w:asciiTheme="minorHAnsi" w:hAnsiTheme="minorHAnsi" w:cstheme="minorHAnsi"/>
        <w:i/>
        <w:sz w:val="22"/>
        <w:szCs w:val="22"/>
      </w:rPr>
      <w:t xml:space="preserve">Č. j.  MSMT-11210/2024-6                                                                                                         </w:t>
    </w:r>
    <w:r>
      <w:rPr>
        <w:rFonts w:asciiTheme="minorHAnsi" w:hAnsiTheme="minorHAnsi" w:cstheme="minorHAnsi"/>
        <w:i/>
        <w:sz w:val="22"/>
        <w:szCs w:val="22"/>
      </w:rPr>
      <w:t xml:space="preserve"> </w:t>
    </w:r>
    <w:r w:rsidRPr="00C2534A">
      <w:rPr>
        <w:rFonts w:asciiTheme="minorHAnsi" w:hAnsiTheme="minorHAnsi" w:cstheme="minorHAnsi"/>
        <w:i/>
        <w:sz w:val="22"/>
        <w:szCs w:val="22"/>
      </w:rPr>
      <w:t>LUAIZ24104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556B" w14:textId="77777777" w:rsidR="00C2534A" w:rsidRPr="008A26F8" w:rsidRDefault="00C2534A"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A953" w14:textId="77777777" w:rsidR="006F7FE1" w:rsidRPr="006F7FE1" w:rsidRDefault="006F7FE1" w:rsidP="006F7FE1">
    <w:pPr>
      <w:tabs>
        <w:tab w:val="center" w:pos="4536"/>
        <w:tab w:val="right" w:pos="9072"/>
      </w:tabs>
      <w:rPr>
        <w:rFonts w:asciiTheme="minorHAnsi" w:hAnsiTheme="minorHAnsi" w:cstheme="minorHAnsi"/>
        <w:i/>
        <w:sz w:val="22"/>
        <w:szCs w:val="22"/>
      </w:rPr>
    </w:pPr>
    <w:r w:rsidRPr="006F7FE1">
      <w:rPr>
        <w:rFonts w:asciiTheme="minorHAnsi" w:hAnsiTheme="minorHAnsi" w:cstheme="minorHAnsi"/>
        <w:i/>
        <w:sz w:val="22"/>
        <w:szCs w:val="22"/>
      </w:rPr>
      <w:t xml:space="preserve">Ministerstvo školství, mládeže a tělovýchovy                                                                </w:t>
    </w:r>
    <w:r w:rsidRPr="006F7FE1">
      <w:rPr>
        <w:rFonts w:asciiTheme="minorHAnsi" w:hAnsiTheme="minorHAnsi" w:cstheme="minorHAnsi"/>
        <w:i/>
        <w:sz w:val="22"/>
        <w:szCs w:val="22"/>
      </w:rPr>
      <w:tab/>
      <w:t xml:space="preserve">     Identifikační kód</w:t>
    </w:r>
  </w:p>
  <w:p w14:paraId="3A5E90EF" w14:textId="253EDE2D" w:rsidR="00673F7C" w:rsidRDefault="006F7FE1" w:rsidP="006F7FE1">
    <w:pPr>
      <w:tabs>
        <w:tab w:val="center" w:pos="4536"/>
        <w:tab w:val="right" w:pos="9072"/>
      </w:tabs>
      <w:rPr>
        <w:rFonts w:asciiTheme="minorHAnsi" w:hAnsiTheme="minorHAnsi" w:cstheme="minorHAnsi"/>
        <w:i/>
        <w:sz w:val="22"/>
        <w:szCs w:val="22"/>
      </w:rPr>
    </w:pPr>
    <w:r w:rsidRPr="006F7FE1">
      <w:rPr>
        <w:rFonts w:asciiTheme="minorHAnsi" w:hAnsiTheme="minorHAnsi" w:cstheme="minorHAnsi"/>
        <w:i/>
        <w:sz w:val="22"/>
        <w:szCs w:val="22"/>
      </w:rPr>
      <w:t xml:space="preserve">Č. j.  MSMT-11210/2024-6           </w:t>
    </w:r>
    <w:r>
      <w:rPr>
        <w:rFonts w:asciiTheme="minorHAnsi" w:hAnsiTheme="minorHAnsi" w:cstheme="minorHAnsi"/>
        <w:i/>
        <w:sz w:val="22"/>
        <w:szCs w:val="22"/>
      </w:rPr>
      <w:t xml:space="preserve">  </w:t>
    </w:r>
    <w:r w:rsidRPr="006F7FE1">
      <w:rPr>
        <w:rFonts w:asciiTheme="minorHAnsi" w:hAnsiTheme="minorHAnsi" w:cstheme="minorHAnsi"/>
        <w:i/>
        <w:sz w:val="22"/>
        <w:szCs w:val="22"/>
      </w:rPr>
      <w:t xml:space="preserve">                                                                                             LUAIZ24104</w:t>
    </w:r>
  </w:p>
  <w:p w14:paraId="1A760FE0" w14:textId="77777777" w:rsidR="006F7FE1" w:rsidRPr="006F7FE1" w:rsidRDefault="006F7FE1" w:rsidP="006F7FE1">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6404575C"/>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1607886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43015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2445553">
    <w:abstractNumId w:val="5"/>
  </w:num>
  <w:num w:numId="26" w16cid:durableId="401871518">
    <w:abstractNumId w:val="17"/>
  </w:num>
  <w:num w:numId="27" w16cid:durableId="576406330">
    <w:abstractNumId w:val="25"/>
  </w:num>
  <w:num w:numId="28" w16cid:durableId="1207987185">
    <w:abstractNumId w:val="4"/>
  </w:num>
  <w:num w:numId="29" w16cid:durableId="519242528">
    <w:abstractNumId w:val="15"/>
  </w:num>
  <w:num w:numId="30" w16cid:durableId="1259172609">
    <w:abstractNumId w:val="20"/>
  </w:num>
  <w:num w:numId="31" w16cid:durableId="1321810120">
    <w:abstractNumId w:val="11"/>
  </w:num>
  <w:num w:numId="32" w16cid:durableId="2818883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850"/>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0E9F"/>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57EEF"/>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99F"/>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6D9"/>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1DF"/>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97472"/>
    <w:rsid w:val="003A169B"/>
    <w:rsid w:val="003A1992"/>
    <w:rsid w:val="003A1D83"/>
    <w:rsid w:val="003A26D8"/>
    <w:rsid w:val="003A2983"/>
    <w:rsid w:val="003A30B1"/>
    <w:rsid w:val="003A3D95"/>
    <w:rsid w:val="003A65F3"/>
    <w:rsid w:val="003A67D7"/>
    <w:rsid w:val="003A67FE"/>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077"/>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138C"/>
    <w:rsid w:val="006C27E3"/>
    <w:rsid w:val="006C3DF0"/>
    <w:rsid w:val="006C5B28"/>
    <w:rsid w:val="006C5C41"/>
    <w:rsid w:val="006C6123"/>
    <w:rsid w:val="006C6EF2"/>
    <w:rsid w:val="006D15C2"/>
    <w:rsid w:val="006D1836"/>
    <w:rsid w:val="006D256A"/>
    <w:rsid w:val="006D313A"/>
    <w:rsid w:val="006D4921"/>
    <w:rsid w:val="006D54A0"/>
    <w:rsid w:val="006D5FF4"/>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6F7FE1"/>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61FD"/>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0FE"/>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1C6B"/>
    <w:rsid w:val="00B932D2"/>
    <w:rsid w:val="00B9486C"/>
    <w:rsid w:val="00B9694A"/>
    <w:rsid w:val="00B96F5E"/>
    <w:rsid w:val="00B96FBC"/>
    <w:rsid w:val="00B97831"/>
    <w:rsid w:val="00B978DA"/>
    <w:rsid w:val="00B97AE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534A"/>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631"/>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280D"/>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E80"/>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5F4D"/>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7A"/>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6E50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FE1"/>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606225779">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32</TotalTime>
  <Pages>22</Pages>
  <Words>6351</Words>
  <Characters>38145</Characters>
  <Application>Microsoft Office Word</Application>
  <DocSecurity>0</DocSecurity>
  <Lines>317</Lines>
  <Paragraphs>88</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44408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Dvořáková Jarmila</cp:lastModifiedBy>
  <cp:revision>7</cp:revision>
  <cp:lastPrinted>2019-01-02T12:00:00Z</cp:lastPrinted>
  <dcterms:created xsi:type="dcterms:W3CDTF">2024-07-15T09:22:00Z</dcterms:created>
  <dcterms:modified xsi:type="dcterms:W3CDTF">2024-08-29T12:01:00Z</dcterms:modified>
</cp:coreProperties>
</file>