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016" w:rsidRPr="004503AE" w:rsidRDefault="00B940BE">
      <w:pPr>
        <w:pStyle w:val="Nadpis2"/>
        <w:jc w:val="center"/>
        <w:rPr>
          <w:rFonts w:ascii="Segoe UI" w:hAnsi="Segoe UI" w:cs="Segoe UI"/>
          <w:b/>
          <w:sz w:val="32"/>
          <w:szCs w:val="32"/>
          <w:u w:val="none"/>
        </w:rPr>
      </w:pPr>
      <w:r w:rsidRPr="004503AE">
        <w:rPr>
          <w:rFonts w:ascii="Segoe UI" w:hAnsi="Segoe UI" w:cs="Segoe UI"/>
          <w:b/>
          <w:sz w:val="32"/>
          <w:szCs w:val="32"/>
          <w:u w:val="none"/>
        </w:rPr>
        <w:t>DODATEK č. 1</w:t>
      </w:r>
    </w:p>
    <w:p w:rsidR="00DF2016" w:rsidRPr="004503AE" w:rsidRDefault="00DF2016">
      <w:pPr>
        <w:jc w:val="center"/>
        <w:rPr>
          <w:rFonts w:ascii="Segoe UI" w:hAnsi="Segoe UI" w:cs="Segoe UI"/>
          <w:b/>
          <w:color w:val="00B050"/>
          <w:sz w:val="16"/>
        </w:rPr>
      </w:pPr>
    </w:p>
    <w:p w:rsidR="000D38BF" w:rsidRPr="004503AE" w:rsidRDefault="000D38BF">
      <w:pPr>
        <w:jc w:val="center"/>
        <w:rPr>
          <w:rFonts w:ascii="Segoe UI" w:hAnsi="Segoe UI" w:cs="Segoe UI"/>
          <w:b/>
          <w:color w:val="00B050"/>
          <w:sz w:val="16"/>
        </w:rPr>
      </w:pPr>
    </w:p>
    <w:p w:rsidR="00B940BE" w:rsidRPr="004503AE" w:rsidRDefault="00B940BE">
      <w:pPr>
        <w:jc w:val="center"/>
        <w:rPr>
          <w:rFonts w:ascii="Segoe UI" w:hAnsi="Segoe UI" w:cs="Segoe UI"/>
          <w:b/>
          <w:color w:val="00B050"/>
          <w:sz w:val="28"/>
          <w:szCs w:val="28"/>
        </w:rPr>
      </w:pPr>
      <w:r w:rsidRPr="004503AE">
        <w:rPr>
          <w:rFonts w:ascii="Segoe UI" w:hAnsi="Segoe UI" w:cs="Segoe UI"/>
          <w:b/>
          <w:color w:val="00B050"/>
          <w:sz w:val="28"/>
          <w:szCs w:val="28"/>
        </w:rPr>
        <w:t>k Servisní smlouvě č. 2239/2020, uzavřené 01. 06. 2020,</w:t>
      </w:r>
    </w:p>
    <w:p w:rsidR="00E77DE9" w:rsidRPr="004503AE" w:rsidRDefault="00E77DE9">
      <w:pPr>
        <w:jc w:val="center"/>
        <w:rPr>
          <w:rFonts w:ascii="Segoe UI" w:hAnsi="Segoe UI" w:cs="Segoe UI"/>
          <w:b/>
          <w:color w:val="00B050"/>
          <w:sz w:val="28"/>
          <w:szCs w:val="28"/>
        </w:rPr>
      </w:pPr>
    </w:p>
    <w:p w:rsidR="00DF2016" w:rsidRPr="004503AE" w:rsidRDefault="00DF2016">
      <w:pPr>
        <w:jc w:val="center"/>
        <w:rPr>
          <w:rFonts w:ascii="Segoe UI" w:hAnsi="Segoe UI" w:cs="Segoe UI"/>
          <w:b/>
          <w:sz w:val="28"/>
          <w:szCs w:val="28"/>
        </w:rPr>
      </w:pPr>
      <w:r w:rsidRPr="004503AE">
        <w:rPr>
          <w:rFonts w:ascii="Segoe UI" w:hAnsi="Segoe UI" w:cs="Segoe UI"/>
          <w:b/>
          <w:sz w:val="28"/>
          <w:szCs w:val="28"/>
        </w:rPr>
        <w:t>na servisní zabezpečení</w:t>
      </w:r>
      <w:r w:rsidR="00B33110" w:rsidRPr="004503AE">
        <w:rPr>
          <w:rFonts w:ascii="Segoe UI" w:hAnsi="Segoe UI" w:cs="Segoe UI"/>
          <w:b/>
          <w:sz w:val="28"/>
          <w:szCs w:val="28"/>
        </w:rPr>
        <w:t xml:space="preserve">: </w:t>
      </w:r>
      <w:r w:rsidRPr="004503AE">
        <w:rPr>
          <w:rFonts w:ascii="Segoe UI" w:hAnsi="Segoe UI" w:cs="Segoe UI"/>
          <w:b/>
          <w:sz w:val="28"/>
          <w:szCs w:val="28"/>
        </w:rPr>
        <w:t xml:space="preserve">elektrické </w:t>
      </w:r>
      <w:r w:rsidR="009D3883" w:rsidRPr="004503AE">
        <w:rPr>
          <w:rFonts w:ascii="Segoe UI" w:hAnsi="Segoe UI" w:cs="Segoe UI"/>
          <w:b/>
          <w:sz w:val="28"/>
          <w:szCs w:val="28"/>
        </w:rPr>
        <w:t xml:space="preserve">požární </w:t>
      </w:r>
      <w:r w:rsidR="00B33110" w:rsidRPr="004503AE">
        <w:rPr>
          <w:rFonts w:ascii="Segoe UI" w:hAnsi="Segoe UI" w:cs="Segoe UI"/>
          <w:b/>
          <w:sz w:val="28"/>
          <w:szCs w:val="28"/>
        </w:rPr>
        <w:t>signalizace (EPS),</w:t>
      </w:r>
      <w:r w:rsidR="009D3883" w:rsidRPr="004503AE">
        <w:rPr>
          <w:rFonts w:ascii="Segoe UI" w:hAnsi="Segoe UI" w:cs="Segoe UI"/>
          <w:b/>
          <w:sz w:val="28"/>
          <w:szCs w:val="28"/>
        </w:rPr>
        <w:t xml:space="preserve"> </w:t>
      </w:r>
      <w:r w:rsidR="00B33110" w:rsidRPr="004503AE">
        <w:rPr>
          <w:rFonts w:ascii="Segoe UI" w:hAnsi="Segoe UI" w:cs="Segoe UI"/>
          <w:b/>
          <w:sz w:val="28"/>
          <w:szCs w:val="28"/>
        </w:rPr>
        <w:t xml:space="preserve">elektrické </w:t>
      </w:r>
      <w:r w:rsidRPr="004503AE">
        <w:rPr>
          <w:rFonts w:ascii="Segoe UI" w:hAnsi="Segoe UI" w:cs="Segoe UI"/>
          <w:b/>
          <w:sz w:val="28"/>
          <w:szCs w:val="28"/>
        </w:rPr>
        <w:t>zabezpečovací</w:t>
      </w:r>
      <w:r w:rsidR="007949E7" w:rsidRPr="004503AE">
        <w:rPr>
          <w:rFonts w:ascii="Segoe UI" w:hAnsi="Segoe UI" w:cs="Segoe UI"/>
          <w:b/>
          <w:sz w:val="28"/>
          <w:szCs w:val="28"/>
        </w:rPr>
        <w:t xml:space="preserve"> </w:t>
      </w:r>
      <w:r w:rsidRPr="004503AE">
        <w:rPr>
          <w:rFonts w:ascii="Segoe UI" w:hAnsi="Segoe UI" w:cs="Segoe UI"/>
          <w:b/>
          <w:sz w:val="28"/>
          <w:szCs w:val="28"/>
        </w:rPr>
        <w:t>signalizace (</w:t>
      </w:r>
      <w:r w:rsidR="002E7F73" w:rsidRPr="004503AE">
        <w:rPr>
          <w:rFonts w:ascii="Segoe UI" w:hAnsi="Segoe UI" w:cs="Segoe UI"/>
          <w:b/>
          <w:sz w:val="28"/>
          <w:szCs w:val="28"/>
        </w:rPr>
        <w:t>E</w:t>
      </w:r>
      <w:r w:rsidR="009D3883" w:rsidRPr="004503AE">
        <w:rPr>
          <w:rFonts w:ascii="Segoe UI" w:hAnsi="Segoe UI" w:cs="Segoe UI"/>
          <w:b/>
          <w:sz w:val="28"/>
          <w:szCs w:val="28"/>
        </w:rPr>
        <w:t>Z</w:t>
      </w:r>
      <w:r w:rsidR="002E7F73" w:rsidRPr="004503AE">
        <w:rPr>
          <w:rFonts w:ascii="Segoe UI" w:hAnsi="Segoe UI" w:cs="Segoe UI"/>
          <w:b/>
          <w:sz w:val="28"/>
          <w:szCs w:val="28"/>
        </w:rPr>
        <w:t>S</w:t>
      </w:r>
      <w:r w:rsidRPr="004503AE">
        <w:rPr>
          <w:rFonts w:ascii="Segoe UI" w:hAnsi="Segoe UI" w:cs="Segoe UI"/>
          <w:b/>
          <w:sz w:val="28"/>
          <w:szCs w:val="28"/>
        </w:rPr>
        <w:t>)</w:t>
      </w:r>
      <w:r w:rsidR="00A15CBC" w:rsidRPr="004503AE">
        <w:rPr>
          <w:rFonts w:ascii="Segoe UI" w:hAnsi="Segoe UI" w:cs="Segoe UI"/>
          <w:b/>
          <w:sz w:val="28"/>
          <w:szCs w:val="28"/>
        </w:rPr>
        <w:t>,</w:t>
      </w:r>
      <w:r w:rsidRPr="004503AE">
        <w:rPr>
          <w:rFonts w:ascii="Segoe UI" w:hAnsi="Segoe UI" w:cs="Segoe UI"/>
          <w:b/>
          <w:sz w:val="28"/>
          <w:szCs w:val="28"/>
        </w:rPr>
        <w:t xml:space="preserve"> </w:t>
      </w:r>
      <w:r w:rsidR="009D3883" w:rsidRPr="004503AE">
        <w:rPr>
          <w:rFonts w:ascii="Segoe UI" w:hAnsi="Segoe UI" w:cs="Segoe UI"/>
          <w:b/>
          <w:sz w:val="28"/>
          <w:szCs w:val="28"/>
        </w:rPr>
        <w:t>PC</w:t>
      </w:r>
      <w:r w:rsidR="00B33110" w:rsidRPr="004503AE">
        <w:rPr>
          <w:rFonts w:ascii="Segoe UI" w:hAnsi="Segoe UI" w:cs="Segoe UI"/>
          <w:b/>
          <w:sz w:val="28"/>
          <w:szCs w:val="28"/>
        </w:rPr>
        <w:t>,</w:t>
      </w:r>
      <w:r w:rsidR="009D3883" w:rsidRPr="004503AE">
        <w:rPr>
          <w:rFonts w:ascii="Segoe UI" w:hAnsi="Segoe UI" w:cs="Segoe UI"/>
          <w:b/>
          <w:sz w:val="28"/>
          <w:szCs w:val="28"/>
        </w:rPr>
        <w:t xml:space="preserve"> </w:t>
      </w:r>
      <w:r w:rsidR="00E22D2A" w:rsidRPr="004503AE">
        <w:rPr>
          <w:rFonts w:ascii="Segoe UI" w:hAnsi="Segoe UI" w:cs="Segoe UI"/>
          <w:b/>
          <w:sz w:val="28"/>
          <w:szCs w:val="28"/>
        </w:rPr>
        <w:t>telef</w:t>
      </w:r>
      <w:r w:rsidR="00994259" w:rsidRPr="004503AE">
        <w:rPr>
          <w:rFonts w:ascii="Segoe UI" w:hAnsi="Segoe UI" w:cs="Segoe UI"/>
          <w:b/>
          <w:sz w:val="28"/>
          <w:szCs w:val="28"/>
        </w:rPr>
        <w:t>onní</w:t>
      </w:r>
      <w:r w:rsidR="00E22D2A" w:rsidRPr="004503AE">
        <w:rPr>
          <w:rFonts w:ascii="Segoe UI" w:hAnsi="Segoe UI" w:cs="Segoe UI"/>
          <w:b/>
          <w:sz w:val="28"/>
          <w:szCs w:val="28"/>
        </w:rPr>
        <w:t>ch</w:t>
      </w:r>
      <w:r w:rsidR="00B33110" w:rsidRPr="004503AE">
        <w:rPr>
          <w:rFonts w:ascii="Segoe UI" w:hAnsi="Segoe UI" w:cs="Segoe UI"/>
          <w:b/>
          <w:sz w:val="28"/>
          <w:szCs w:val="28"/>
        </w:rPr>
        <w:t xml:space="preserve"> a optických</w:t>
      </w:r>
      <w:r w:rsidR="00E22D2A" w:rsidRPr="004503AE">
        <w:rPr>
          <w:rFonts w:ascii="Segoe UI" w:hAnsi="Segoe UI" w:cs="Segoe UI"/>
          <w:b/>
          <w:sz w:val="28"/>
          <w:szCs w:val="28"/>
        </w:rPr>
        <w:t xml:space="preserve"> rozvodů</w:t>
      </w:r>
      <w:r w:rsidR="009D3883" w:rsidRPr="004503AE">
        <w:rPr>
          <w:rFonts w:ascii="Segoe UI" w:hAnsi="Segoe UI" w:cs="Segoe UI"/>
          <w:b/>
          <w:sz w:val="28"/>
          <w:szCs w:val="28"/>
        </w:rPr>
        <w:t xml:space="preserve"> (</w:t>
      </w:r>
      <w:r w:rsidR="007949E7" w:rsidRPr="004503AE">
        <w:rPr>
          <w:rFonts w:ascii="Segoe UI" w:hAnsi="Segoe UI" w:cs="Segoe UI"/>
          <w:b/>
          <w:sz w:val="28"/>
          <w:szCs w:val="28"/>
        </w:rPr>
        <w:t>SK), kamerových</w:t>
      </w:r>
      <w:r w:rsidR="00E22D2A" w:rsidRPr="004503AE">
        <w:rPr>
          <w:rFonts w:ascii="Segoe UI" w:hAnsi="Segoe UI" w:cs="Segoe UI"/>
          <w:b/>
          <w:sz w:val="28"/>
          <w:szCs w:val="28"/>
        </w:rPr>
        <w:t xml:space="preserve"> systémů</w:t>
      </w:r>
      <w:r w:rsidR="009D3883" w:rsidRPr="004503AE">
        <w:rPr>
          <w:rFonts w:ascii="Segoe UI" w:hAnsi="Segoe UI" w:cs="Segoe UI"/>
          <w:b/>
          <w:sz w:val="28"/>
          <w:szCs w:val="28"/>
        </w:rPr>
        <w:t xml:space="preserve"> (</w:t>
      </w:r>
      <w:r w:rsidR="00A64623" w:rsidRPr="004503AE">
        <w:rPr>
          <w:rFonts w:ascii="Segoe UI" w:hAnsi="Segoe UI" w:cs="Segoe UI"/>
          <w:b/>
          <w:sz w:val="28"/>
          <w:szCs w:val="28"/>
        </w:rPr>
        <w:t>C</w:t>
      </w:r>
      <w:r w:rsidR="009D3883" w:rsidRPr="004503AE">
        <w:rPr>
          <w:rFonts w:ascii="Segoe UI" w:hAnsi="Segoe UI" w:cs="Segoe UI"/>
          <w:b/>
          <w:sz w:val="28"/>
          <w:szCs w:val="28"/>
        </w:rPr>
        <w:t>CTV)</w:t>
      </w:r>
      <w:r w:rsidR="00E22D2A" w:rsidRPr="004503AE">
        <w:rPr>
          <w:rFonts w:ascii="Segoe UI" w:hAnsi="Segoe UI" w:cs="Segoe UI"/>
          <w:b/>
          <w:sz w:val="28"/>
          <w:szCs w:val="28"/>
        </w:rPr>
        <w:t xml:space="preserve">, TV rozvodů </w:t>
      </w:r>
      <w:r w:rsidR="009D3883" w:rsidRPr="004503AE">
        <w:rPr>
          <w:rFonts w:ascii="Segoe UI" w:hAnsi="Segoe UI" w:cs="Segoe UI"/>
          <w:b/>
          <w:sz w:val="28"/>
          <w:szCs w:val="28"/>
        </w:rPr>
        <w:t>(STA),</w:t>
      </w:r>
      <w:r w:rsidR="00E22D2A" w:rsidRPr="004503AE">
        <w:rPr>
          <w:rFonts w:ascii="Segoe UI" w:hAnsi="Segoe UI" w:cs="Segoe UI"/>
          <w:b/>
          <w:sz w:val="28"/>
          <w:szCs w:val="28"/>
        </w:rPr>
        <w:t xml:space="preserve"> </w:t>
      </w:r>
      <w:r w:rsidR="009D3883" w:rsidRPr="004503AE">
        <w:rPr>
          <w:rFonts w:ascii="Segoe UI" w:hAnsi="Segoe UI" w:cs="Segoe UI"/>
          <w:b/>
          <w:sz w:val="28"/>
          <w:szCs w:val="28"/>
        </w:rPr>
        <w:t xml:space="preserve">satelitních </w:t>
      </w:r>
      <w:r w:rsidR="00E22D2A" w:rsidRPr="004503AE">
        <w:rPr>
          <w:rFonts w:ascii="Segoe UI" w:hAnsi="Segoe UI" w:cs="Segoe UI"/>
          <w:b/>
          <w:sz w:val="28"/>
          <w:szCs w:val="28"/>
        </w:rPr>
        <w:t xml:space="preserve">antén </w:t>
      </w:r>
      <w:r w:rsidR="009D3883" w:rsidRPr="004503AE">
        <w:rPr>
          <w:rFonts w:ascii="Segoe UI" w:hAnsi="Segoe UI" w:cs="Segoe UI"/>
          <w:b/>
          <w:sz w:val="28"/>
          <w:szCs w:val="28"/>
        </w:rPr>
        <w:t>(</w:t>
      </w:r>
      <w:r w:rsidR="00E22D2A" w:rsidRPr="004503AE">
        <w:rPr>
          <w:rFonts w:ascii="Segoe UI" w:hAnsi="Segoe UI" w:cs="Segoe UI"/>
          <w:b/>
          <w:sz w:val="28"/>
          <w:szCs w:val="28"/>
        </w:rPr>
        <w:t>SAT</w:t>
      </w:r>
      <w:r w:rsidR="009D3883" w:rsidRPr="004503AE">
        <w:rPr>
          <w:rFonts w:ascii="Segoe UI" w:hAnsi="Segoe UI" w:cs="Segoe UI"/>
          <w:b/>
          <w:sz w:val="28"/>
          <w:szCs w:val="28"/>
        </w:rPr>
        <w:t>),</w:t>
      </w:r>
      <w:r w:rsidR="00E22D2A" w:rsidRPr="004503AE">
        <w:rPr>
          <w:rFonts w:ascii="Segoe UI" w:hAnsi="Segoe UI" w:cs="Segoe UI"/>
          <w:b/>
          <w:sz w:val="28"/>
          <w:szCs w:val="28"/>
        </w:rPr>
        <w:t xml:space="preserve"> </w:t>
      </w:r>
      <w:r w:rsidR="00B33110" w:rsidRPr="004503AE">
        <w:rPr>
          <w:rFonts w:ascii="Segoe UI" w:hAnsi="Segoe UI" w:cs="Segoe UI"/>
          <w:b/>
          <w:sz w:val="28"/>
          <w:szCs w:val="28"/>
        </w:rPr>
        <w:t xml:space="preserve">ostatních </w:t>
      </w:r>
      <w:r w:rsidR="00E22D2A" w:rsidRPr="004503AE">
        <w:rPr>
          <w:rFonts w:ascii="Segoe UI" w:hAnsi="Segoe UI" w:cs="Segoe UI"/>
          <w:b/>
          <w:sz w:val="28"/>
          <w:szCs w:val="28"/>
        </w:rPr>
        <w:t>elektronických zařízeních</w:t>
      </w:r>
      <w:r w:rsidR="009D3883" w:rsidRPr="004503AE">
        <w:rPr>
          <w:rFonts w:ascii="Segoe UI" w:hAnsi="Segoe UI" w:cs="Segoe UI"/>
          <w:b/>
          <w:sz w:val="28"/>
          <w:szCs w:val="28"/>
        </w:rPr>
        <w:t xml:space="preserve"> </w:t>
      </w:r>
      <w:r w:rsidR="00B33110" w:rsidRPr="004503AE">
        <w:rPr>
          <w:rFonts w:ascii="Segoe UI" w:hAnsi="Segoe UI" w:cs="Segoe UI"/>
          <w:b/>
          <w:sz w:val="28"/>
          <w:szCs w:val="28"/>
        </w:rPr>
        <w:t xml:space="preserve">a </w:t>
      </w:r>
      <w:r w:rsidR="009D3883" w:rsidRPr="004503AE">
        <w:rPr>
          <w:rFonts w:ascii="Segoe UI" w:hAnsi="Segoe UI" w:cs="Segoe UI"/>
          <w:b/>
          <w:sz w:val="28"/>
          <w:szCs w:val="28"/>
        </w:rPr>
        <w:t>nouzové</w:t>
      </w:r>
      <w:r w:rsidR="00994259" w:rsidRPr="004503AE">
        <w:rPr>
          <w:rFonts w:ascii="Segoe UI" w:hAnsi="Segoe UI" w:cs="Segoe UI"/>
          <w:b/>
          <w:sz w:val="28"/>
          <w:szCs w:val="28"/>
        </w:rPr>
        <w:t>ho</w:t>
      </w:r>
      <w:r w:rsidR="009D3883" w:rsidRPr="004503AE">
        <w:rPr>
          <w:rFonts w:ascii="Segoe UI" w:hAnsi="Segoe UI" w:cs="Segoe UI"/>
          <w:b/>
          <w:sz w:val="28"/>
          <w:szCs w:val="28"/>
        </w:rPr>
        <w:t xml:space="preserve"> osvětlení</w:t>
      </w:r>
    </w:p>
    <w:p w:rsidR="00DF2016" w:rsidRPr="004503AE" w:rsidRDefault="00F902AF">
      <w:pPr>
        <w:jc w:val="center"/>
        <w:rPr>
          <w:rFonts w:ascii="Segoe UI" w:hAnsi="Segoe UI" w:cs="Segoe UI"/>
          <w:szCs w:val="24"/>
        </w:rPr>
      </w:pPr>
      <w:r w:rsidRPr="004503AE">
        <w:rPr>
          <w:rFonts w:ascii="Segoe UI" w:hAnsi="Segoe UI" w:cs="Segoe UI"/>
          <w:szCs w:val="24"/>
        </w:rPr>
        <w:t>uzavřená mezi stranami</w:t>
      </w:r>
      <w:r w:rsidR="00DF2016" w:rsidRPr="004503AE">
        <w:rPr>
          <w:rFonts w:ascii="Segoe UI" w:hAnsi="Segoe UI" w:cs="Segoe UI"/>
          <w:szCs w:val="24"/>
        </w:rPr>
        <w:t xml:space="preserve"> </w:t>
      </w:r>
    </w:p>
    <w:p w:rsidR="00F902AF" w:rsidRPr="004503AE" w:rsidRDefault="00F902AF">
      <w:pPr>
        <w:jc w:val="center"/>
        <w:rPr>
          <w:rFonts w:ascii="Segoe UI" w:hAnsi="Segoe UI" w:cs="Segoe UI"/>
          <w:szCs w:val="24"/>
        </w:rPr>
      </w:pPr>
    </w:p>
    <w:p w:rsidR="00F902AF" w:rsidRPr="004503AE" w:rsidRDefault="00F902AF">
      <w:pPr>
        <w:jc w:val="center"/>
        <w:rPr>
          <w:rFonts w:ascii="Segoe UI" w:hAnsi="Segoe UI" w:cs="Segoe UI"/>
          <w:szCs w:val="24"/>
        </w:rPr>
      </w:pPr>
    </w:p>
    <w:p w:rsidR="00DF2016" w:rsidRPr="004503AE" w:rsidRDefault="00DF2016">
      <w:pPr>
        <w:rPr>
          <w:rFonts w:ascii="Segoe UI" w:hAnsi="Segoe UI" w:cs="Segoe UI"/>
          <w:b/>
          <w:caps/>
        </w:rPr>
      </w:pPr>
    </w:p>
    <w:p w:rsidR="00DF2016" w:rsidRPr="004503AE" w:rsidRDefault="00DF2016" w:rsidP="00F902AF">
      <w:pPr>
        <w:numPr>
          <w:ilvl w:val="0"/>
          <w:numId w:val="5"/>
        </w:numPr>
        <w:jc w:val="center"/>
        <w:rPr>
          <w:rFonts w:ascii="Segoe UI" w:hAnsi="Segoe UI" w:cs="Segoe UI"/>
          <w:b/>
          <w:sz w:val="28"/>
        </w:rPr>
      </w:pPr>
      <w:r w:rsidRPr="004503AE">
        <w:rPr>
          <w:rFonts w:ascii="Segoe UI" w:hAnsi="Segoe UI" w:cs="Segoe UI"/>
          <w:b/>
          <w:sz w:val="28"/>
        </w:rPr>
        <w:t>Smluvní  strany</w:t>
      </w:r>
    </w:p>
    <w:p w:rsidR="00DF2016" w:rsidRPr="004503AE" w:rsidRDefault="00DF2016">
      <w:pPr>
        <w:rPr>
          <w:rFonts w:ascii="Segoe UI" w:hAnsi="Segoe UI" w:cs="Segoe UI"/>
          <w:b/>
          <w:caps/>
        </w:rPr>
      </w:pPr>
    </w:p>
    <w:p w:rsidR="00DF2016" w:rsidRPr="004503AE" w:rsidRDefault="00DF2016">
      <w:pPr>
        <w:tabs>
          <w:tab w:val="left" w:pos="180"/>
          <w:tab w:val="left" w:pos="975"/>
        </w:tabs>
        <w:ind w:left="142"/>
        <w:rPr>
          <w:rFonts w:ascii="Segoe UI" w:hAnsi="Segoe UI" w:cs="Segoe UI"/>
          <w:caps/>
        </w:rPr>
      </w:pPr>
      <w:r w:rsidRPr="004503AE">
        <w:rPr>
          <w:rFonts w:ascii="Segoe UI" w:hAnsi="Segoe UI" w:cs="Segoe UI"/>
          <w:b/>
          <w:caps/>
          <w:sz w:val="20"/>
        </w:rPr>
        <w:t>1.1</w:t>
      </w:r>
      <w:r w:rsidRPr="004503AE">
        <w:rPr>
          <w:rFonts w:ascii="Segoe UI" w:hAnsi="Segoe UI" w:cs="Segoe UI"/>
          <w:caps/>
        </w:rPr>
        <w:t>. objednatel</w:t>
      </w:r>
    </w:p>
    <w:p w:rsidR="00DF2016" w:rsidRPr="004503AE" w:rsidRDefault="00DF2016" w:rsidP="00A15CBC">
      <w:pPr>
        <w:ind w:left="3540" w:hanging="3038"/>
        <w:rPr>
          <w:rFonts w:ascii="Segoe UI" w:hAnsi="Segoe UI" w:cs="Segoe UI"/>
        </w:rPr>
      </w:pPr>
      <w:r w:rsidRPr="004503AE">
        <w:rPr>
          <w:rFonts w:ascii="Segoe UI" w:hAnsi="Segoe UI" w:cs="Segoe UI"/>
        </w:rPr>
        <w:t>název firmy</w:t>
      </w:r>
      <w:r w:rsidRPr="004503AE">
        <w:rPr>
          <w:rFonts w:ascii="Segoe UI" w:hAnsi="Segoe UI" w:cs="Segoe UI"/>
        </w:rPr>
        <w:tab/>
      </w:r>
      <w:r w:rsidR="00A15CBC" w:rsidRPr="004503AE">
        <w:rPr>
          <w:rFonts w:ascii="Segoe UI" w:hAnsi="Segoe UI" w:cs="Segoe UI"/>
          <w:b/>
        </w:rPr>
        <w:t>Čtyřlístek – centrum pro osoby se zdravotním postižením Ostrava, příspěvková organizace</w:t>
      </w:r>
    </w:p>
    <w:p w:rsidR="00DF2016" w:rsidRPr="004503AE" w:rsidRDefault="00DF2016">
      <w:pPr>
        <w:ind w:firstLine="142"/>
        <w:rPr>
          <w:rFonts w:ascii="Segoe UI" w:hAnsi="Segoe UI" w:cs="Segoe UI"/>
        </w:rPr>
      </w:pPr>
      <w:r w:rsidRPr="004503AE">
        <w:rPr>
          <w:rFonts w:ascii="Segoe UI" w:hAnsi="Segoe UI" w:cs="Segoe UI"/>
        </w:rPr>
        <w:t xml:space="preserve">      sídlo</w:t>
      </w:r>
      <w:r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ab/>
      </w:r>
      <w:r w:rsidR="00E22D2A" w:rsidRPr="004503AE">
        <w:rPr>
          <w:rFonts w:ascii="Segoe UI" w:hAnsi="Segoe UI" w:cs="Segoe UI"/>
        </w:rPr>
        <w:t>Hladnovská 751/119,</w:t>
      </w:r>
      <w:r w:rsidR="002E7F73" w:rsidRPr="004503AE">
        <w:rPr>
          <w:rFonts w:ascii="Segoe UI" w:hAnsi="Segoe UI" w:cs="Segoe UI"/>
        </w:rPr>
        <w:t xml:space="preserve"> Ostrava – </w:t>
      </w:r>
      <w:r w:rsidR="00E22D2A" w:rsidRPr="004503AE">
        <w:rPr>
          <w:rFonts w:ascii="Segoe UI" w:hAnsi="Segoe UI" w:cs="Segoe UI"/>
        </w:rPr>
        <w:t>Muglinov</w:t>
      </w:r>
      <w:r w:rsidR="002E7F73" w:rsidRPr="004503AE">
        <w:rPr>
          <w:rFonts w:ascii="Segoe UI" w:hAnsi="Segoe UI" w:cs="Segoe UI"/>
        </w:rPr>
        <w:t>,</w:t>
      </w:r>
      <w:r w:rsidR="000D38BF" w:rsidRPr="004503AE">
        <w:rPr>
          <w:rFonts w:ascii="Segoe UI" w:hAnsi="Segoe UI" w:cs="Segoe UI"/>
        </w:rPr>
        <w:t xml:space="preserve"> </w:t>
      </w:r>
      <w:r w:rsidR="002E7F73" w:rsidRPr="004503AE">
        <w:rPr>
          <w:rFonts w:ascii="Segoe UI" w:hAnsi="Segoe UI" w:cs="Segoe UI"/>
        </w:rPr>
        <w:t>PSČ 7</w:t>
      </w:r>
      <w:r w:rsidR="00E22D2A" w:rsidRPr="004503AE">
        <w:rPr>
          <w:rFonts w:ascii="Segoe UI" w:hAnsi="Segoe UI" w:cs="Segoe UI"/>
        </w:rPr>
        <w:t>12</w:t>
      </w:r>
      <w:r w:rsidR="002E7F73" w:rsidRPr="004503AE">
        <w:rPr>
          <w:rFonts w:ascii="Segoe UI" w:hAnsi="Segoe UI" w:cs="Segoe UI"/>
        </w:rPr>
        <w:t xml:space="preserve"> </w:t>
      </w:r>
      <w:r w:rsidR="00E22D2A" w:rsidRPr="004503AE">
        <w:rPr>
          <w:rFonts w:ascii="Segoe UI" w:hAnsi="Segoe UI" w:cs="Segoe UI"/>
        </w:rPr>
        <w:t>0</w:t>
      </w:r>
      <w:r w:rsidR="002E7F73" w:rsidRPr="004503AE">
        <w:rPr>
          <w:rFonts w:ascii="Segoe UI" w:hAnsi="Segoe UI" w:cs="Segoe UI"/>
        </w:rPr>
        <w:t>0</w:t>
      </w:r>
    </w:p>
    <w:p w:rsidR="00DF2016" w:rsidRPr="004503AE" w:rsidRDefault="00DF2016" w:rsidP="002E7F73">
      <w:pPr>
        <w:ind w:left="3540" w:hanging="3398"/>
        <w:rPr>
          <w:rFonts w:ascii="Segoe UI" w:hAnsi="Segoe UI" w:cs="Segoe UI"/>
        </w:rPr>
      </w:pPr>
      <w:r w:rsidRPr="004503AE">
        <w:rPr>
          <w:rFonts w:ascii="Segoe UI" w:hAnsi="Segoe UI" w:cs="Segoe UI"/>
        </w:rPr>
        <w:t xml:space="preserve">      zastoupená                           </w:t>
      </w:r>
      <w:r w:rsidRPr="004503AE">
        <w:rPr>
          <w:rFonts w:ascii="Segoe UI" w:hAnsi="Segoe UI" w:cs="Segoe UI"/>
        </w:rPr>
        <w:tab/>
      </w:r>
      <w:r w:rsidR="00E22D2A" w:rsidRPr="004503AE">
        <w:rPr>
          <w:rFonts w:ascii="Segoe UI" w:hAnsi="Segoe UI" w:cs="Segoe UI"/>
        </w:rPr>
        <w:t>PhDr. Svatopluk Aniol, ředitel organizace</w:t>
      </w:r>
    </w:p>
    <w:p w:rsidR="00DF2016" w:rsidRPr="004503AE" w:rsidRDefault="00DF2016">
      <w:pPr>
        <w:ind w:firstLine="142"/>
        <w:rPr>
          <w:rFonts w:ascii="Segoe UI" w:hAnsi="Segoe UI" w:cs="Segoe UI"/>
        </w:rPr>
      </w:pPr>
      <w:r w:rsidRPr="004503AE">
        <w:rPr>
          <w:rFonts w:ascii="Segoe UI" w:hAnsi="Segoe UI" w:cs="Segoe UI"/>
        </w:rPr>
        <w:t xml:space="preserve">      tel</w:t>
      </w:r>
      <w:r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ab/>
        <w:t xml:space="preserve">         </w:t>
      </w:r>
      <w:r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ab/>
      </w:r>
      <w:r w:rsidR="00B66574">
        <w:rPr>
          <w:rFonts w:ascii="Segoe UI" w:hAnsi="Segoe UI" w:cs="Segoe UI"/>
        </w:rPr>
        <w:t>XXXXXXXXXXXX</w:t>
      </w:r>
      <w:r w:rsidRPr="004503AE">
        <w:rPr>
          <w:rFonts w:ascii="Segoe UI" w:hAnsi="Segoe UI" w:cs="Segoe UI"/>
        </w:rPr>
        <w:t xml:space="preserve">        </w:t>
      </w:r>
    </w:p>
    <w:p w:rsidR="00DF2016" w:rsidRPr="004503AE" w:rsidRDefault="00DF2016">
      <w:pPr>
        <w:rPr>
          <w:rFonts w:ascii="Segoe UI" w:hAnsi="Segoe UI" w:cs="Segoe UI"/>
        </w:rPr>
      </w:pPr>
      <w:r w:rsidRPr="004503AE">
        <w:rPr>
          <w:rFonts w:ascii="Segoe UI" w:hAnsi="Segoe UI" w:cs="Segoe UI"/>
        </w:rPr>
        <w:t xml:space="preserve">        mobil</w:t>
      </w:r>
      <w:r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ab/>
      </w:r>
      <w:r w:rsidR="00B66574">
        <w:rPr>
          <w:rFonts w:ascii="Segoe UI" w:hAnsi="Segoe UI" w:cs="Segoe UI"/>
        </w:rPr>
        <w:t>XXXXXXXXXXXX</w:t>
      </w:r>
      <w:r w:rsidRPr="004503AE">
        <w:rPr>
          <w:rFonts w:ascii="Segoe UI" w:hAnsi="Segoe UI" w:cs="Segoe UI"/>
        </w:rPr>
        <w:tab/>
      </w:r>
    </w:p>
    <w:p w:rsidR="000D38BF" w:rsidRPr="004503AE" w:rsidRDefault="002E7F73">
      <w:pPr>
        <w:rPr>
          <w:rFonts w:ascii="Segoe UI" w:hAnsi="Segoe UI" w:cs="Segoe UI"/>
        </w:rPr>
      </w:pPr>
      <w:r w:rsidRPr="004503AE">
        <w:rPr>
          <w:rFonts w:ascii="Segoe UI" w:hAnsi="Segoe UI" w:cs="Segoe UI"/>
        </w:rPr>
        <w:t xml:space="preserve">        email</w:t>
      </w:r>
      <w:r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ab/>
      </w:r>
      <w:r w:rsidR="00B66574">
        <w:rPr>
          <w:rFonts w:ascii="Segoe UI" w:hAnsi="Segoe UI" w:cs="Segoe UI"/>
        </w:rPr>
        <w:t>XXXXXXXXXXXX</w:t>
      </w:r>
    </w:p>
    <w:p w:rsidR="00DF2016" w:rsidRPr="004503AE" w:rsidRDefault="000D38BF">
      <w:pPr>
        <w:rPr>
          <w:rFonts w:ascii="Segoe UI" w:hAnsi="Segoe UI" w:cs="Segoe UI"/>
        </w:rPr>
      </w:pPr>
      <w:r w:rsidRPr="004503AE">
        <w:rPr>
          <w:rFonts w:ascii="Segoe UI" w:hAnsi="Segoe UI" w:cs="Segoe UI"/>
        </w:rPr>
        <w:t xml:space="preserve"> </w:t>
      </w:r>
      <w:r w:rsidR="00DF2016" w:rsidRPr="004503AE">
        <w:rPr>
          <w:rFonts w:ascii="Segoe UI" w:hAnsi="Segoe UI" w:cs="Segoe UI"/>
        </w:rPr>
        <w:t xml:space="preserve">       banka</w:t>
      </w:r>
      <w:r w:rsidR="00DF2016" w:rsidRPr="004503AE">
        <w:rPr>
          <w:rFonts w:ascii="Segoe UI" w:hAnsi="Segoe UI" w:cs="Segoe UI"/>
        </w:rPr>
        <w:tab/>
      </w:r>
      <w:r w:rsidR="00DF2016" w:rsidRPr="004503AE">
        <w:rPr>
          <w:rFonts w:ascii="Segoe UI" w:hAnsi="Segoe UI" w:cs="Segoe UI"/>
        </w:rPr>
        <w:tab/>
      </w:r>
      <w:r w:rsidR="00DF2016" w:rsidRPr="004503AE">
        <w:rPr>
          <w:rFonts w:ascii="Segoe UI" w:hAnsi="Segoe UI" w:cs="Segoe UI"/>
        </w:rPr>
        <w:tab/>
      </w:r>
      <w:r w:rsidR="00DF2016" w:rsidRPr="004503AE">
        <w:rPr>
          <w:rFonts w:ascii="Segoe UI" w:hAnsi="Segoe UI" w:cs="Segoe UI"/>
        </w:rPr>
        <w:tab/>
      </w:r>
      <w:r w:rsidR="00B66574">
        <w:rPr>
          <w:rFonts w:ascii="Segoe UI" w:hAnsi="Segoe UI" w:cs="Segoe UI"/>
        </w:rPr>
        <w:t>XXXXXXXXXXXX</w:t>
      </w:r>
    </w:p>
    <w:p w:rsidR="00DF2016" w:rsidRPr="004503AE" w:rsidRDefault="00DF2016">
      <w:pPr>
        <w:rPr>
          <w:rFonts w:ascii="Segoe UI" w:hAnsi="Segoe UI" w:cs="Segoe UI"/>
        </w:rPr>
      </w:pPr>
      <w:r w:rsidRPr="004503AE">
        <w:rPr>
          <w:rFonts w:ascii="Segoe UI" w:hAnsi="Segoe UI" w:cs="Segoe UI"/>
        </w:rPr>
        <w:t xml:space="preserve">        č. účtu</w:t>
      </w:r>
      <w:r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ab/>
      </w:r>
      <w:r w:rsidR="00B66574">
        <w:rPr>
          <w:rFonts w:ascii="Segoe UI" w:hAnsi="Segoe UI" w:cs="Segoe UI"/>
        </w:rPr>
        <w:t>XXXXXXXXXXXX</w:t>
      </w:r>
    </w:p>
    <w:p w:rsidR="00DF2016" w:rsidRPr="004503AE" w:rsidRDefault="00DF2016">
      <w:pPr>
        <w:rPr>
          <w:rFonts w:ascii="Segoe UI" w:hAnsi="Segoe UI" w:cs="Segoe UI"/>
        </w:rPr>
      </w:pPr>
      <w:r w:rsidRPr="004503AE">
        <w:rPr>
          <w:rFonts w:ascii="Segoe UI" w:hAnsi="Segoe UI" w:cs="Segoe UI"/>
        </w:rPr>
        <w:t xml:space="preserve">        IČ</w:t>
      </w:r>
      <w:r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ab/>
      </w:r>
      <w:r w:rsidR="00E22D2A" w:rsidRPr="004503AE">
        <w:rPr>
          <w:rFonts w:ascii="Segoe UI" w:hAnsi="Segoe UI" w:cs="Segoe UI"/>
        </w:rPr>
        <w:t>70631808</w:t>
      </w:r>
    </w:p>
    <w:p w:rsidR="002E7F73" w:rsidRPr="004503AE" w:rsidRDefault="002E7F73">
      <w:pPr>
        <w:rPr>
          <w:rFonts w:ascii="Segoe UI" w:hAnsi="Segoe UI" w:cs="Segoe UI"/>
        </w:rPr>
      </w:pPr>
      <w:r w:rsidRPr="004503AE">
        <w:rPr>
          <w:rFonts w:ascii="Segoe UI" w:hAnsi="Segoe UI" w:cs="Segoe UI"/>
        </w:rPr>
        <w:t xml:space="preserve">        DIČ</w:t>
      </w:r>
      <w:r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ab/>
        <w:t>CZ</w:t>
      </w:r>
      <w:r w:rsidR="00E22D2A" w:rsidRPr="004503AE">
        <w:rPr>
          <w:rFonts w:ascii="Segoe UI" w:hAnsi="Segoe UI" w:cs="Segoe UI"/>
        </w:rPr>
        <w:t>70631808</w:t>
      </w:r>
    </w:p>
    <w:p w:rsidR="00DF2016" w:rsidRPr="004503AE" w:rsidRDefault="00DF2016">
      <w:pPr>
        <w:ind w:left="540"/>
        <w:rPr>
          <w:rFonts w:ascii="Segoe UI" w:hAnsi="Segoe UI" w:cs="Segoe UI"/>
        </w:rPr>
      </w:pPr>
    </w:p>
    <w:p w:rsidR="00DF2016" w:rsidRPr="004503AE" w:rsidRDefault="00DF2016">
      <w:pPr>
        <w:tabs>
          <w:tab w:val="left" w:pos="975"/>
        </w:tabs>
        <w:ind w:firstLine="142"/>
        <w:rPr>
          <w:rFonts w:ascii="Segoe UI" w:hAnsi="Segoe UI" w:cs="Segoe UI"/>
          <w:caps/>
        </w:rPr>
      </w:pPr>
      <w:r w:rsidRPr="004503AE">
        <w:rPr>
          <w:rFonts w:ascii="Segoe UI" w:hAnsi="Segoe UI" w:cs="Segoe UI"/>
          <w:b/>
          <w:sz w:val="20"/>
        </w:rPr>
        <w:t>1.2</w:t>
      </w:r>
      <w:r w:rsidRPr="004503AE">
        <w:rPr>
          <w:rFonts w:ascii="Segoe UI" w:hAnsi="Segoe UI" w:cs="Segoe UI"/>
          <w:b/>
        </w:rPr>
        <w:t>.</w:t>
      </w:r>
      <w:r w:rsidRPr="004503AE">
        <w:rPr>
          <w:rFonts w:ascii="Segoe UI" w:hAnsi="Segoe UI" w:cs="Segoe UI"/>
        </w:rPr>
        <w:t xml:space="preserve"> ZHOT</w:t>
      </w:r>
      <w:r w:rsidRPr="004503AE">
        <w:rPr>
          <w:rFonts w:ascii="Segoe UI" w:hAnsi="Segoe UI" w:cs="Segoe UI"/>
          <w:caps/>
        </w:rPr>
        <w:t>oVITEL</w:t>
      </w:r>
      <w:r w:rsidR="007153F8" w:rsidRPr="004503AE">
        <w:rPr>
          <w:rFonts w:ascii="Segoe UI" w:hAnsi="Segoe UI" w:cs="Segoe UI"/>
          <w:caps/>
        </w:rPr>
        <w:tab/>
      </w:r>
      <w:r w:rsidR="007153F8" w:rsidRPr="004503AE">
        <w:rPr>
          <w:rFonts w:ascii="Segoe UI" w:hAnsi="Segoe UI" w:cs="Segoe UI"/>
          <w:caps/>
        </w:rPr>
        <w:tab/>
      </w:r>
      <w:r w:rsidR="007153F8" w:rsidRPr="004503AE">
        <w:rPr>
          <w:rFonts w:ascii="Segoe UI" w:hAnsi="Segoe UI" w:cs="Segoe UI"/>
          <w:caps/>
        </w:rPr>
        <w:tab/>
      </w:r>
    </w:p>
    <w:p w:rsidR="00DF2016" w:rsidRPr="004503AE" w:rsidRDefault="00DF2016">
      <w:pPr>
        <w:ind w:right="-142" w:firstLine="435"/>
        <w:rPr>
          <w:rFonts w:ascii="Segoe UI" w:hAnsi="Segoe UI" w:cs="Segoe UI"/>
        </w:rPr>
      </w:pPr>
      <w:r w:rsidRPr="004503AE">
        <w:rPr>
          <w:rFonts w:ascii="Segoe UI" w:hAnsi="Segoe UI" w:cs="Segoe UI"/>
        </w:rPr>
        <w:t>název firmy</w:t>
      </w:r>
      <w:r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ab/>
      </w:r>
      <w:r w:rsidR="00EF5C7F" w:rsidRPr="004503AE">
        <w:rPr>
          <w:rFonts w:ascii="Segoe UI" w:hAnsi="Segoe UI" w:cs="Segoe UI"/>
          <w:b/>
        </w:rPr>
        <w:t>BEScom Security s.r.o.</w:t>
      </w:r>
    </w:p>
    <w:p w:rsidR="00DF2016" w:rsidRPr="004503AE" w:rsidRDefault="00DF2016">
      <w:pPr>
        <w:ind w:firstLine="435"/>
        <w:rPr>
          <w:rFonts w:ascii="Segoe UI" w:hAnsi="Segoe UI" w:cs="Segoe UI"/>
        </w:rPr>
      </w:pPr>
      <w:r w:rsidRPr="004503AE">
        <w:rPr>
          <w:rFonts w:ascii="Segoe UI" w:hAnsi="Segoe UI" w:cs="Segoe UI"/>
        </w:rPr>
        <w:t>sídlo</w:t>
      </w:r>
      <w:r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ab/>
      </w:r>
      <w:r w:rsidR="00EF5C7F" w:rsidRPr="004503AE">
        <w:rPr>
          <w:rFonts w:ascii="Segoe UI" w:hAnsi="Segoe UI" w:cs="Segoe UI"/>
        </w:rPr>
        <w:t>Pražákova 6/226, 709 00 Ostrava - Mariánské Hory</w:t>
      </w:r>
    </w:p>
    <w:p w:rsidR="00DF2016" w:rsidRPr="004503AE" w:rsidRDefault="00DF2016">
      <w:pPr>
        <w:rPr>
          <w:rFonts w:ascii="Segoe UI" w:hAnsi="Segoe UI" w:cs="Segoe UI"/>
        </w:rPr>
      </w:pPr>
      <w:r w:rsidRPr="004503AE">
        <w:rPr>
          <w:rFonts w:ascii="Segoe UI" w:hAnsi="Segoe UI" w:cs="Segoe UI"/>
        </w:rPr>
        <w:t xml:space="preserve">       zastoupená</w:t>
      </w:r>
      <w:r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ab/>
      </w:r>
      <w:r w:rsidR="00EF5C7F" w:rsidRPr="004503AE">
        <w:rPr>
          <w:rFonts w:ascii="Segoe UI" w:hAnsi="Segoe UI" w:cs="Segoe UI"/>
        </w:rPr>
        <w:t>Ivo Šonka, jednatel společnosti</w:t>
      </w:r>
      <w:r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ab/>
      </w:r>
    </w:p>
    <w:p w:rsidR="00DF2016" w:rsidRPr="004503AE" w:rsidRDefault="00DF2016">
      <w:pPr>
        <w:ind w:firstLine="142"/>
        <w:rPr>
          <w:rFonts w:ascii="Segoe UI" w:hAnsi="Segoe UI" w:cs="Segoe UI"/>
        </w:rPr>
      </w:pPr>
      <w:r w:rsidRPr="004503AE">
        <w:rPr>
          <w:rFonts w:ascii="Segoe UI" w:hAnsi="Segoe UI" w:cs="Segoe UI"/>
        </w:rPr>
        <w:t xml:space="preserve">     tel</w:t>
      </w:r>
      <w:r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ab/>
      </w:r>
      <w:r w:rsidR="00B66574">
        <w:rPr>
          <w:rFonts w:ascii="Segoe UI" w:hAnsi="Segoe UI" w:cs="Segoe UI"/>
        </w:rPr>
        <w:t>XXXXXXXXXXXX</w:t>
      </w:r>
    </w:p>
    <w:p w:rsidR="00DF2016" w:rsidRPr="004503AE" w:rsidRDefault="00DF2016">
      <w:pPr>
        <w:ind w:firstLine="142"/>
        <w:rPr>
          <w:rFonts w:ascii="Segoe UI" w:hAnsi="Segoe UI" w:cs="Segoe UI"/>
        </w:rPr>
      </w:pPr>
      <w:r w:rsidRPr="004503AE">
        <w:rPr>
          <w:rFonts w:ascii="Segoe UI" w:hAnsi="Segoe UI" w:cs="Segoe UI"/>
        </w:rPr>
        <w:t xml:space="preserve">     </w:t>
      </w:r>
      <w:r w:rsidR="00721B44" w:rsidRPr="004503AE">
        <w:rPr>
          <w:rFonts w:ascii="Segoe UI" w:hAnsi="Segoe UI" w:cs="Segoe UI"/>
        </w:rPr>
        <w:t>GSM</w:t>
      </w:r>
      <w:r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ab/>
      </w:r>
      <w:r w:rsidR="00B66574">
        <w:rPr>
          <w:rFonts w:ascii="Segoe UI" w:hAnsi="Segoe UI" w:cs="Segoe UI"/>
        </w:rPr>
        <w:t>XXXXXXXXXXXX</w:t>
      </w:r>
    </w:p>
    <w:p w:rsidR="00DF2016" w:rsidRPr="004503AE" w:rsidRDefault="00DF2016">
      <w:pPr>
        <w:ind w:firstLine="142"/>
        <w:rPr>
          <w:rFonts w:ascii="Segoe UI" w:hAnsi="Segoe UI" w:cs="Segoe UI"/>
        </w:rPr>
      </w:pPr>
      <w:r w:rsidRPr="004503AE">
        <w:rPr>
          <w:rFonts w:ascii="Segoe UI" w:hAnsi="Segoe UI" w:cs="Segoe UI"/>
        </w:rPr>
        <w:t xml:space="preserve">     email        </w:t>
      </w:r>
      <w:r w:rsidRPr="004503AE">
        <w:rPr>
          <w:rFonts w:ascii="Segoe UI" w:hAnsi="Segoe UI" w:cs="Segoe UI"/>
        </w:rPr>
        <w:tab/>
        <w:t xml:space="preserve"> </w:t>
      </w:r>
      <w:r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ab/>
      </w:r>
      <w:r w:rsidR="00B66574">
        <w:rPr>
          <w:rFonts w:ascii="Segoe UI" w:hAnsi="Segoe UI" w:cs="Segoe UI"/>
        </w:rPr>
        <w:t>XXXXXXXXXXXX</w:t>
      </w:r>
    </w:p>
    <w:p w:rsidR="00DF2016" w:rsidRPr="004503AE" w:rsidRDefault="00DF2016">
      <w:pPr>
        <w:ind w:firstLine="142"/>
        <w:rPr>
          <w:rFonts w:ascii="Segoe UI" w:hAnsi="Segoe UI" w:cs="Segoe UI"/>
        </w:rPr>
      </w:pPr>
      <w:r w:rsidRPr="004503AE">
        <w:rPr>
          <w:rFonts w:ascii="Segoe UI" w:hAnsi="Segoe UI" w:cs="Segoe UI"/>
        </w:rPr>
        <w:t xml:space="preserve">     banka</w:t>
      </w:r>
      <w:r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ab/>
      </w:r>
      <w:r w:rsidR="00B66574">
        <w:rPr>
          <w:rFonts w:ascii="Segoe UI" w:hAnsi="Segoe UI" w:cs="Segoe UI"/>
        </w:rPr>
        <w:t>XXXXXXXXXXXX</w:t>
      </w:r>
    </w:p>
    <w:p w:rsidR="00EF5C7F" w:rsidRPr="004503AE" w:rsidRDefault="00DF2016" w:rsidP="00EF5C7F">
      <w:pPr>
        <w:pStyle w:val="Default"/>
        <w:rPr>
          <w:rFonts w:ascii="Segoe UI" w:hAnsi="Segoe UI" w:cs="Segoe UI"/>
        </w:rPr>
      </w:pPr>
      <w:r w:rsidRPr="004503AE">
        <w:rPr>
          <w:rFonts w:ascii="Segoe UI" w:hAnsi="Segoe UI" w:cs="Segoe UI"/>
        </w:rPr>
        <w:t xml:space="preserve">    </w:t>
      </w:r>
      <w:r w:rsidR="00EF5C7F" w:rsidRPr="004503AE">
        <w:rPr>
          <w:rFonts w:ascii="Segoe UI" w:hAnsi="Segoe UI" w:cs="Segoe UI"/>
        </w:rPr>
        <w:t xml:space="preserve">   </w:t>
      </w:r>
      <w:r w:rsidR="004503AE">
        <w:rPr>
          <w:rFonts w:ascii="Segoe UI" w:hAnsi="Segoe UI" w:cs="Segoe UI"/>
        </w:rPr>
        <w:t>číslo účtu</w:t>
      </w:r>
      <w:r w:rsidR="004503AE">
        <w:rPr>
          <w:rFonts w:ascii="Segoe UI" w:hAnsi="Segoe UI" w:cs="Segoe UI"/>
        </w:rPr>
        <w:tab/>
      </w:r>
      <w:r w:rsidR="004503AE">
        <w:rPr>
          <w:rFonts w:ascii="Segoe UI" w:hAnsi="Segoe UI" w:cs="Segoe UI"/>
        </w:rPr>
        <w:tab/>
      </w:r>
      <w:r w:rsidR="004503AE">
        <w:rPr>
          <w:rFonts w:ascii="Segoe UI" w:hAnsi="Segoe UI" w:cs="Segoe UI"/>
        </w:rPr>
        <w:tab/>
      </w:r>
      <w:r w:rsidR="00B66574">
        <w:rPr>
          <w:rFonts w:ascii="Segoe UI" w:hAnsi="Segoe UI" w:cs="Segoe UI"/>
        </w:rPr>
        <w:t>XXXXXXXXXXXX</w:t>
      </w:r>
    </w:p>
    <w:p w:rsidR="00DF2016" w:rsidRPr="004503AE" w:rsidRDefault="00EF5C7F" w:rsidP="00EF5C7F">
      <w:pPr>
        <w:ind w:firstLine="142"/>
        <w:rPr>
          <w:rFonts w:ascii="Segoe UI" w:hAnsi="Segoe UI" w:cs="Segoe UI"/>
        </w:rPr>
      </w:pPr>
      <w:r w:rsidRPr="004503AE">
        <w:rPr>
          <w:rFonts w:ascii="Segoe UI" w:hAnsi="Segoe UI" w:cs="Segoe UI"/>
        </w:rPr>
        <w:t xml:space="preserve">     </w:t>
      </w:r>
      <w:r w:rsidR="00DF2016" w:rsidRPr="004503AE">
        <w:rPr>
          <w:rFonts w:ascii="Segoe UI" w:hAnsi="Segoe UI" w:cs="Segoe UI"/>
        </w:rPr>
        <w:t xml:space="preserve">IČ </w:t>
      </w:r>
      <w:r w:rsidR="00DF2016" w:rsidRPr="004503AE">
        <w:rPr>
          <w:rFonts w:ascii="Segoe UI" w:hAnsi="Segoe UI" w:cs="Segoe UI"/>
        </w:rPr>
        <w:tab/>
      </w:r>
      <w:r w:rsidR="00DF2016" w:rsidRPr="004503AE">
        <w:rPr>
          <w:rFonts w:ascii="Segoe UI" w:hAnsi="Segoe UI" w:cs="Segoe UI"/>
        </w:rPr>
        <w:tab/>
      </w:r>
      <w:r w:rsidR="00DF2016" w:rsidRPr="004503AE">
        <w:rPr>
          <w:rFonts w:ascii="Segoe UI" w:hAnsi="Segoe UI" w:cs="Segoe UI"/>
        </w:rPr>
        <w:tab/>
      </w:r>
      <w:r w:rsidR="00DF2016"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>26817403</w:t>
      </w:r>
    </w:p>
    <w:p w:rsidR="00DF2016" w:rsidRPr="004503AE" w:rsidRDefault="00DF2016">
      <w:pPr>
        <w:rPr>
          <w:rFonts w:ascii="Segoe UI" w:hAnsi="Segoe UI" w:cs="Segoe UI"/>
        </w:rPr>
      </w:pPr>
      <w:r w:rsidRPr="004503AE">
        <w:rPr>
          <w:rFonts w:ascii="Segoe UI" w:hAnsi="Segoe UI" w:cs="Segoe UI"/>
        </w:rPr>
        <w:t xml:space="preserve">       DIČ </w:t>
      </w:r>
      <w:r w:rsidR="00EF5C7F" w:rsidRPr="004503AE">
        <w:rPr>
          <w:rFonts w:ascii="Segoe UI" w:hAnsi="Segoe UI" w:cs="Segoe UI"/>
        </w:rPr>
        <w:t xml:space="preserve"> </w:t>
      </w:r>
      <w:r w:rsidR="00EF5C7F" w:rsidRPr="004503AE">
        <w:rPr>
          <w:rFonts w:ascii="Segoe UI" w:hAnsi="Segoe UI" w:cs="Segoe UI"/>
        </w:rPr>
        <w:tab/>
        <w:t xml:space="preserve"> </w:t>
      </w:r>
      <w:r w:rsidR="00EF5C7F"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 xml:space="preserve"> </w:t>
      </w:r>
      <w:r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ab/>
      </w:r>
      <w:r w:rsidR="00EF5C7F" w:rsidRPr="004503AE">
        <w:rPr>
          <w:rFonts w:ascii="Segoe UI" w:hAnsi="Segoe UI" w:cs="Segoe UI"/>
        </w:rPr>
        <w:t>CZ26817403</w:t>
      </w:r>
      <w:r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ab/>
      </w:r>
    </w:p>
    <w:p w:rsidR="00E77DE9" w:rsidRDefault="00E77DE9" w:rsidP="00E77DE9">
      <w:pPr>
        <w:pStyle w:val="Podnadpis"/>
        <w:spacing w:after="120"/>
        <w:jc w:val="both"/>
        <w:rPr>
          <w:rFonts w:ascii="Segoe UI" w:hAnsi="Segoe UI" w:cs="Segoe UI"/>
          <w:b w:val="0"/>
          <w:color w:val="auto"/>
          <w:sz w:val="22"/>
          <w:szCs w:val="22"/>
        </w:rPr>
      </w:pPr>
      <w:r w:rsidRPr="00B17D8D">
        <w:rPr>
          <w:rFonts w:ascii="Segoe UI" w:hAnsi="Segoe UI" w:cs="Segoe UI"/>
          <w:b w:val="0"/>
          <w:sz w:val="22"/>
          <w:szCs w:val="22"/>
        </w:rPr>
        <w:t>Smluvní strany se dohodly na tomt</w:t>
      </w:r>
      <w:r>
        <w:rPr>
          <w:rFonts w:ascii="Segoe UI" w:hAnsi="Segoe UI" w:cs="Segoe UI"/>
          <w:b w:val="0"/>
          <w:sz w:val="22"/>
          <w:szCs w:val="22"/>
        </w:rPr>
        <w:t>o dodatku č. 1</w:t>
      </w:r>
      <w:r w:rsidRPr="00B17D8D">
        <w:rPr>
          <w:rFonts w:ascii="Segoe UI" w:hAnsi="Segoe UI" w:cs="Segoe UI"/>
          <w:b w:val="0"/>
          <w:sz w:val="22"/>
          <w:szCs w:val="22"/>
        </w:rPr>
        <w:t xml:space="preserve"> </w:t>
      </w:r>
      <w:r w:rsidR="004503AE">
        <w:rPr>
          <w:rFonts w:ascii="Segoe UI" w:hAnsi="Segoe UI" w:cs="Segoe UI"/>
          <w:b w:val="0"/>
          <w:sz w:val="22"/>
          <w:szCs w:val="22"/>
        </w:rPr>
        <w:t>k Servisní smlouvě</w:t>
      </w:r>
      <w:r>
        <w:rPr>
          <w:rFonts w:ascii="Segoe UI" w:hAnsi="Segoe UI" w:cs="Segoe UI"/>
          <w:b w:val="0"/>
          <w:sz w:val="22"/>
          <w:szCs w:val="22"/>
        </w:rPr>
        <w:t xml:space="preserve"> a jejich úhradě</w:t>
      </w:r>
      <w:r w:rsidRPr="00B17D8D">
        <w:rPr>
          <w:rFonts w:ascii="Segoe UI" w:hAnsi="Segoe UI" w:cs="Segoe UI"/>
          <w:b w:val="0"/>
          <w:sz w:val="22"/>
          <w:szCs w:val="22"/>
        </w:rPr>
        <w:t xml:space="preserve"> (dále</w:t>
      </w:r>
      <w:r w:rsidR="004503AE">
        <w:rPr>
          <w:rFonts w:ascii="Segoe UI" w:hAnsi="Segoe UI" w:cs="Segoe UI"/>
          <w:b w:val="0"/>
          <w:sz w:val="22"/>
          <w:szCs w:val="22"/>
        </w:rPr>
        <w:t xml:space="preserve"> jen „S</w:t>
      </w:r>
      <w:r w:rsidRPr="0001498E">
        <w:rPr>
          <w:rFonts w:ascii="Segoe UI" w:hAnsi="Segoe UI" w:cs="Segoe UI"/>
          <w:b w:val="0"/>
          <w:sz w:val="22"/>
          <w:szCs w:val="22"/>
        </w:rPr>
        <w:t>mlouva“)</w:t>
      </w:r>
    </w:p>
    <w:p w:rsidR="00E77DE9" w:rsidRPr="004503AE" w:rsidRDefault="00E77DE9" w:rsidP="00E77DE9">
      <w:pPr>
        <w:pStyle w:val="Zkladntext2"/>
        <w:numPr>
          <w:ilvl w:val="0"/>
          <w:numId w:val="6"/>
        </w:numPr>
        <w:tabs>
          <w:tab w:val="left" w:pos="567"/>
          <w:tab w:val="left" w:pos="1701"/>
        </w:tabs>
        <w:overflowPunct/>
        <w:autoSpaceDE/>
        <w:autoSpaceDN/>
        <w:adjustRightInd/>
        <w:spacing w:line="240" w:lineRule="auto"/>
        <w:jc w:val="center"/>
        <w:textAlignment w:val="auto"/>
        <w:rPr>
          <w:rFonts w:ascii="Segoe UI" w:hAnsi="Segoe UI" w:cs="Segoe UI"/>
          <w:b/>
          <w:iCs/>
          <w:sz w:val="28"/>
          <w:szCs w:val="28"/>
          <w:u w:val="single"/>
        </w:rPr>
      </w:pPr>
      <w:r w:rsidRPr="004503AE">
        <w:rPr>
          <w:rFonts w:ascii="Segoe UI" w:hAnsi="Segoe UI" w:cs="Segoe UI"/>
          <w:b/>
          <w:iCs/>
          <w:sz w:val="28"/>
          <w:szCs w:val="28"/>
          <w:u w:val="single"/>
        </w:rPr>
        <w:t>Předmět dodatku č. 1</w:t>
      </w:r>
    </w:p>
    <w:p w:rsidR="00E77DE9" w:rsidRDefault="00E77DE9">
      <w:pPr>
        <w:jc w:val="both"/>
      </w:pPr>
    </w:p>
    <w:p w:rsidR="00E77DE9" w:rsidRPr="00291708" w:rsidRDefault="00E77DE9" w:rsidP="00E77DE9">
      <w:pPr>
        <w:jc w:val="both"/>
        <w:rPr>
          <w:rFonts w:ascii="Segoe UI" w:hAnsi="Segoe UI" w:cs="Segoe UI"/>
          <w:sz w:val="22"/>
          <w:szCs w:val="22"/>
        </w:rPr>
      </w:pPr>
      <w:r w:rsidRPr="00291708">
        <w:rPr>
          <w:rFonts w:ascii="Segoe UI" w:hAnsi="Segoe UI" w:cs="Segoe UI"/>
          <w:sz w:val="22"/>
          <w:szCs w:val="22"/>
        </w:rPr>
        <w:t>Smluvní strany se dohodly</w:t>
      </w:r>
      <w:r w:rsidR="00110449">
        <w:rPr>
          <w:rFonts w:ascii="Segoe UI" w:hAnsi="Segoe UI" w:cs="Segoe UI"/>
          <w:sz w:val="22"/>
          <w:szCs w:val="22"/>
        </w:rPr>
        <w:t>, v souladu s čl. 4, odst. 4.2 Smlouvy</w:t>
      </w:r>
      <w:r w:rsidRPr="00291708">
        <w:rPr>
          <w:rFonts w:ascii="Segoe UI" w:hAnsi="Segoe UI" w:cs="Segoe UI"/>
          <w:sz w:val="22"/>
          <w:szCs w:val="22"/>
        </w:rPr>
        <w:t xml:space="preserve"> na zvýšení ceny poskytovaných služeb, a to s platností od 1. 9. 2024.</w:t>
      </w:r>
    </w:p>
    <w:p w:rsidR="00E77DE9" w:rsidRDefault="00E77DE9" w:rsidP="00E77DE9">
      <w:pPr>
        <w:jc w:val="both"/>
        <w:rPr>
          <w:rFonts w:ascii="Segoe UI" w:hAnsi="Segoe UI" w:cs="Segoe UI"/>
          <w:b/>
          <w:sz w:val="22"/>
          <w:szCs w:val="22"/>
        </w:rPr>
      </w:pPr>
      <w:r w:rsidRPr="00291708">
        <w:rPr>
          <w:rFonts w:ascii="Segoe UI" w:hAnsi="Segoe UI" w:cs="Segoe UI"/>
          <w:sz w:val="22"/>
          <w:szCs w:val="22"/>
        </w:rPr>
        <w:t>Změna ceny služeb se uskutečňuje s ohledem</w:t>
      </w:r>
      <w:r w:rsidR="00291708">
        <w:rPr>
          <w:rFonts w:ascii="Segoe UI" w:hAnsi="Segoe UI" w:cs="Segoe UI"/>
          <w:sz w:val="22"/>
          <w:szCs w:val="22"/>
        </w:rPr>
        <w:t xml:space="preserve"> na míru inflace, vyhlášenou </w:t>
      </w:r>
      <w:r w:rsidRPr="00291708">
        <w:rPr>
          <w:rFonts w:ascii="Segoe UI" w:hAnsi="Segoe UI" w:cs="Segoe UI"/>
          <w:sz w:val="22"/>
          <w:szCs w:val="22"/>
        </w:rPr>
        <w:t xml:space="preserve">ČSÚ za rok 2023, která činí 10,7 % a s odkazem na </w:t>
      </w:r>
      <w:r w:rsidRPr="00291708">
        <w:rPr>
          <w:rFonts w:ascii="Segoe UI" w:hAnsi="Segoe UI" w:cs="Segoe UI"/>
          <w:b/>
          <w:sz w:val="22"/>
          <w:szCs w:val="22"/>
        </w:rPr>
        <w:t>Servisní smlouvu č. 2239/2020, uzavřen</w:t>
      </w:r>
      <w:r w:rsidR="00291708">
        <w:rPr>
          <w:rFonts w:ascii="Segoe UI" w:hAnsi="Segoe UI" w:cs="Segoe UI"/>
          <w:b/>
          <w:sz w:val="22"/>
          <w:szCs w:val="22"/>
        </w:rPr>
        <w:t>ou dne</w:t>
      </w:r>
      <w:r w:rsidRPr="00291708">
        <w:rPr>
          <w:rFonts w:ascii="Segoe UI" w:hAnsi="Segoe UI" w:cs="Segoe UI"/>
          <w:b/>
          <w:sz w:val="22"/>
          <w:szCs w:val="22"/>
        </w:rPr>
        <w:t xml:space="preserve"> 01. 06. 2020</w:t>
      </w:r>
      <w:r w:rsidR="00110449">
        <w:rPr>
          <w:rFonts w:ascii="Segoe UI" w:hAnsi="Segoe UI" w:cs="Segoe UI"/>
          <w:b/>
          <w:sz w:val="22"/>
          <w:szCs w:val="22"/>
        </w:rPr>
        <w:t>.</w:t>
      </w:r>
    </w:p>
    <w:p w:rsidR="00291708" w:rsidRDefault="00291708" w:rsidP="00291708">
      <w:pPr>
        <w:pStyle w:val="Zkladntext"/>
        <w:rPr>
          <w:rFonts w:ascii="Segoe UI" w:hAnsi="Segoe UI" w:cs="Segoe UI"/>
          <w:sz w:val="22"/>
          <w:szCs w:val="22"/>
        </w:rPr>
      </w:pPr>
    </w:p>
    <w:p w:rsidR="00291708" w:rsidRDefault="00291708" w:rsidP="00291708">
      <w:pPr>
        <w:pStyle w:val="Zkladntex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Smluvní strany se dohodly na změně výše uvedené smlouvy ve znění dodatku č. 1 takto:</w:t>
      </w:r>
    </w:p>
    <w:p w:rsidR="00291708" w:rsidRDefault="00291708" w:rsidP="00291708">
      <w:pPr>
        <w:pStyle w:val="Zkladntext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Předmětem dodatku je změna článku 4. Cena předmětu plnění, odst. 4.1 Smlouvy, s účinností od 1. 9. 2024</w:t>
      </w:r>
    </w:p>
    <w:p w:rsidR="00DF2016" w:rsidRPr="00110449" w:rsidRDefault="00DF2016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DF2016" w:rsidRPr="00110449" w:rsidRDefault="00DF2016">
      <w:pPr>
        <w:jc w:val="center"/>
        <w:rPr>
          <w:rFonts w:ascii="Segoe UI" w:hAnsi="Segoe UI" w:cs="Segoe UI"/>
          <w:b/>
          <w:sz w:val="22"/>
          <w:szCs w:val="22"/>
        </w:rPr>
      </w:pPr>
      <w:r w:rsidRPr="00110449">
        <w:rPr>
          <w:rFonts w:ascii="Segoe UI" w:hAnsi="Segoe UI" w:cs="Segoe UI"/>
          <w:b/>
          <w:sz w:val="22"/>
          <w:szCs w:val="22"/>
        </w:rPr>
        <w:t>4. Cena předmětu plnění</w:t>
      </w:r>
    </w:p>
    <w:p w:rsidR="00DF2016" w:rsidRPr="00110449" w:rsidRDefault="00DF2016">
      <w:pPr>
        <w:rPr>
          <w:rFonts w:ascii="Segoe UI" w:hAnsi="Segoe UI" w:cs="Segoe UI"/>
          <w:sz w:val="22"/>
          <w:szCs w:val="22"/>
        </w:rPr>
      </w:pPr>
    </w:p>
    <w:p w:rsidR="00291708" w:rsidRPr="00110449" w:rsidRDefault="00DF2016">
      <w:pPr>
        <w:tabs>
          <w:tab w:val="left" w:pos="360"/>
        </w:tabs>
        <w:jc w:val="both"/>
        <w:rPr>
          <w:rFonts w:ascii="Segoe UI" w:hAnsi="Segoe UI" w:cs="Segoe UI"/>
          <w:b/>
          <w:sz w:val="22"/>
          <w:szCs w:val="22"/>
        </w:rPr>
      </w:pPr>
      <w:r w:rsidRPr="00110449">
        <w:rPr>
          <w:rFonts w:ascii="Segoe UI" w:hAnsi="Segoe UI" w:cs="Segoe UI"/>
          <w:b/>
          <w:sz w:val="22"/>
          <w:szCs w:val="22"/>
        </w:rPr>
        <w:t>4.1</w:t>
      </w:r>
      <w:r w:rsidR="00320C5C" w:rsidRPr="00110449">
        <w:rPr>
          <w:rFonts w:ascii="Segoe UI" w:hAnsi="Segoe UI" w:cs="Segoe UI"/>
          <w:b/>
          <w:sz w:val="22"/>
          <w:szCs w:val="22"/>
        </w:rPr>
        <w:t xml:space="preserve"> </w:t>
      </w:r>
      <w:r w:rsidRPr="00110449">
        <w:rPr>
          <w:rFonts w:ascii="Segoe UI" w:hAnsi="Segoe UI" w:cs="Segoe UI"/>
          <w:b/>
          <w:sz w:val="22"/>
          <w:szCs w:val="22"/>
        </w:rPr>
        <w:t>Cena předmětu plnění</w:t>
      </w:r>
    </w:p>
    <w:p w:rsidR="00320C5C" w:rsidRDefault="00320C5C">
      <w:pPr>
        <w:tabs>
          <w:tab w:val="left" w:pos="360"/>
        </w:tabs>
        <w:jc w:val="both"/>
        <w:rPr>
          <w:b/>
        </w:rPr>
      </w:pPr>
    </w:p>
    <w:tbl>
      <w:tblPr>
        <w:tblW w:w="100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2766"/>
        <w:gridCol w:w="2374"/>
        <w:gridCol w:w="1600"/>
        <w:gridCol w:w="1560"/>
      </w:tblGrid>
      <w:tr w:rsidR="00320C5C" w:rsidRPr="00320C5C" w:rsidTr="00320C5C">
        <w:trPr>
          <w:trHeight w:val="330"/>
        </w:trPr>
        <w:tc>
          <w:tcPr>
            <w:tcW w:w="10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320C5C">
              <w:rPr>
                <w:b/>
                <w:bCs/>
                <w:color w:val="000000"/>
                <w:szCs w:val="24"/>
              </w:rPr>
              <w:t>A – NABÍDKOVÁ CENA</w:t>
            </w:r>
          </w:p>
        </w:tc>
      </w:tr>
      <w:tr w:rsidR="00320C5C" w:rsidRPr="00320C5C" w:rsidTr="00110449">
        <w:trPr>
          <w:trHeight w:val="276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320C5C">
              <w:rPr>
                <w:b/>
                <w:bCs/>
                <w:color w:val="000000"/>
                <w:sz w:val="28"/>
                <w:szCs w:val="28"/>
              </w:rPr>
              <w:t>NÁZEV ZAŘÍZENÍ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320C5C">
              <w:rPr>
                <w:b/>
                <w:bCs/>
                <w:color w:val="000000"/>
                <w:sz w:val="28"/>
                <w:szCs w:val="28"/>
              </w:rPr>
              <w:t>POPIS SLUŽBY</w:t>
            </w:r>
          </w:p>
        </w:tc>
        <w:tc>
          <w:tcPr>
            <w:tcW w:w="23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320C5C">
              <w:rPr>
                <w:b/>
                <w:bCs/>
                <w:color w:val="000000"/>
                <w:sz w:val="28"/>
                <w:szCs w:val="28"/>
              </w:rPr>
              <w:t>Nabídková cena v Kč bez DPH* (původní, platná do</w:t>
            </w:r>
          </w:p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320C5C">
              <w:rPr>
                <w:b/>
                <w:bCs/>
                <w:color w:val="000000"/>
                <w:sz w:val="28"/>
                <w:szCs w:val="28"/>
              </w:rPr>
              <w:t xml:space="preserve"> 31.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20C5C">
              <w:rPr>
                <w:b/>
                <w:bCs/>
                <w:color w:val="000000"/>
                <w:sz w:val="28"/>
                <w:szCs w:val="28"/>
              </w:rPr>
              <w:t>8.2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20C5C">
              <w:rPr>
                <w:b/>
                <w:bCs/>
                <w:color w:val="000000"/>
                <w:sz w:val="28"/>
                <w:szCs w:val="28"/>
              </w:rPr>
              <w:t>024)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FF0000"/>
                <w:sz w:val="28"/>
                <w:szCs w:val="28"/>
              </w:rPr>
            </w:pPr>
            <w:r w:rsidRPr="00320C5C">
              <w:rPr>
                <w:b/>
                <w:bCs/>
                <w:color w:val="FF0000"/>
                <w:sz w:val="28"/>
                <w:szCs w:val="28"/>
              </w:rPr>
              <w:t>Cena po navýšení o inflaci za rok 2023, 10,7 %, platná od 1. 9. 2024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320C5C">
              <w:rPr>
                <w:b/>
                <w:bCs/>
                <w:color w:val="000000"/>
                <w:sz w:val="28"/>
                <w:szCs w:val="28"/>
              </w:rPr>
              <w:t>Měrná jednotka</w:t>
            </w:r>
          </w:p>
        </w:tc>
      </w:tr>
      <w:tr w:rsidR="00320C5C" w:rsidRPr="00320C5C" w:rsidTr="00110449">
        <w:trPr>
          <w:trHeight w:val="102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320C5C">
              <w:rPr>
                <w:b/>
                <w:bCs/>
                <w:color w:val="000000"/>
                <w:sz w:val="28"/>
                <w:szCs w:val="28"/>
              </w:rPr>
              <w:t>A - KONTROLNÍ SLUŽBY</w:t>
            </w:r>
          </w:p>
        </w:tc>
        <w:tc>
          <w:tcPr>
            <w:tcW w:w="2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0C5C" w:rsidRPr="00320C5C" w:rsidTr="00B66574">
        <w:trPr>
          <w:trHeight w:val="69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320C5C">
              <w:rPr>
                <w:b/>
                <w:bCs/>
                <w:color w:val="000000"/>
                <w:sz w:val="28"/>
                <w:szCs w:val="28"/>
              </w:rPr>
              <w:t>DOMOV BARVEVNÝ SVĚT (DBS)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320C5C">
              <w:rPr>
                <w:color w:val="000000"/>
                <w:sz w:val="28"/>
                <w:szCs w:val="28"/>
              </w:rPr>
              <w:t xml:space="preserve">Půlroční kontrola </w:t>
            </w:r>
            <w:r w:rsidRPr="00320C5C">
              <w:rPr>
                <w:b/>
                <w:bCs/>
                <w:color w:val="FF0000"/>
                <w:sz w:val="28"/>
                <w:szCs w:val="28"/>
              </w:rPr>
              <w:t>EZS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320C5C">
              <w:rPr>
                <w:color w:val="000000"/>
                <w:sz w:val="28"/>
                <w:szCs w:val="28"/>
              </w:rPr>
              <w:t>Kč/objekt</w:t>
            </w:r>
          </w:p>
        </w:tc>
      </w:tr>
      <w:tr w:rsidR="00320C5C" w:rsidRPr="00320C5C" w:rsidTr="00B66574">
        <w:trPr>
          <w:trHeight w:val="39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320C5C">
              <w:rPr>
                <w:color w:val="000000"/>
                <w:sz w:val="28"/>
                <w:szCs w:val="28"/>
              </w:rPr>
              <w:t xml:space="preserve">Půlroční kontrola </w:t>
            </w:r>
            <w:r w:rsidRPr="00320C5C">
              <w:rPr>
                <w:b/>
                <w:bCs/>
                <w:color w:val="00B050"/>
                <w:sz w:val="28"/>
                <w:szCs w:val="28"/>
              </w:rPr>
              <w:t>EPS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320C5C">
              <w:rPr>
                <w:color w:val="000000"/>
                <w:sz w:val="28"/>
                <w:szCs w:val="28"/>
              </w:rPr>
              <w:t>Kč/objekt</w:t>
            </w:r>
          </w:p>
        </w:tc>
      </w:tr>
      <w:tr w:rsidR="00320C5C" w:rsidRPr="00320C5C" w:rsidTr="00B66574">
        <w:trPr>
          <w:trHeight w:val="39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320C5C">
              <w:rPr>
                <w:color w:val="000000"/>
                <w:sz w:val="28"/>
                <w:szCs w:val="28"/>
              </w:rPr>
              <w:t xml:space="preserve">Roční kontrola s revizí </w:t>
            </w:r>
            <w:r w:rsidRPr="00320C5C">
              <w:rPr>
                <w:b/>
                <w:bCs/>
                <w:color w:val="FF0000"/>
                <w:sz w:val="28"/>
                <w:szCs w:val="28"/>
              </w:rPr>
              <w:t>EZS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320C5C">
              <w:rPr>
                <w:color w:val="000000"/>
                <w:sz w:val="28"/>
                <w:szCs w:val="28"/>
              </w:rPr>
              <w:t>Kč/objekt</w:t>
            </w:r>
          </w:p>
        </w:tc>
      </w:tr>
      <w:tr w:rsidR="00320C5C" w:rsidRPr="00320C5C" w:rsidTr="00B66574">
        <w:trPr>
          <w:trHeight w:val="765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320C5C">
              <w:rPr>
                <w:color w:val="000000"/>
                <w:sz w:val="28"/>
                <w:szCs w:val="28"/>
              </w:rPr>
              <w:t xml:space="preserve">Roční kontrola s revizí  </w:t>
            </w:r>
            <w:r w:rsidRPr="00320C5C">
              <w:rPr>
                <w:b/>
                <w:bCs/>
                <w:color w:val="00B050"/>
                <w:sz w:val="28"/>
                <w:szCs w:val="28"/>
              </w:rPr>
              <w:t>EPS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320C5C">
              <w:rPr>
                <w:color w:val="000000"/>
                <w:sz w:val="28"/>
                <w:szCs w:val="28"/>
              </w:rPr>
              <w:t>Kč/objekt</w:t>
            </w:r>
          </w:p>
        </w:tc>
      </w:tr>
      <w:tr w:rsidR="00320C5C" w:rsidRPr="00320C5C" w:rsidTr="00B66574">
        <w:trPr>
          <w:trHeight w:val="765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320C5C">
              <w:rPr>
                <w:color w:val="000000"/>
                <w:sz w:val="28"/>
                <w:szCs w:val="28"/>
              </w:rPr>
              <w:t>Roční kontrola nouzového osvětlení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320C5C">
              <w:rPr>
                <w:color w:val="000000"/>
                <w:sz w:val="28"/>
                <w:szCs w:val="28"/>
              </w:rPr>
              <w:t>Kč/objekt</w:t>
            </w:r>
          </w:p>
        </w:tc>
      </w:tr>
      <w:tr w:rsidR="00320C5C" w:rsidRPr="00320C5C" w:rsidTr="00B66574">
        <w:trPr>
          <w:trHeight w:val="108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320C5C">
              <w:rPr>
                <w:b/>
                <w:bCs/>
                <w:color w:val="000000"/>
                <w:sz w:val="28"/>
                <w:szCs w:val="28"/>
              </w:rPr>
              <w:t>DOMOV NA LIŠČINĚ (DL)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320C5C">
              <w:rPr>
                <w:color w:val="000000"/>
                <w:sz w:val="28"/>
                <w:szCs w:val="28"/>
              </w:rPr>
              <w:t xml:space="preserve">Půlroční kontrola </w:t>
            </w:r>
            <w:r w:rsidRPr="00320C5C">
              <w:rPr>
                <w:b/>
                <w:bCs/>
                <w:color w:val="FF0000"/>
                <w:sz w:val="28"/>
                <w:szCs w:val="28"/>
              </w:rPr>
              <w:t>EZS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320C5C">
              <w:rPr>
                <w:color w:val="000000"/>
                <w:sz w:val="28"/>
                <w:szCs w:val="28"/>
              </w:rPr>
              <w:t>Kč/objekt</w:t>
            </w:r>
          </w:p>
        </w:tc>
      </w:tr>
      <w:tr w:rsidR="00320C5C" w:rsidRPr="00320C5C" w:rsidTr="00B66574">
        <w:trPr>
          <w:trHeight w:val="39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320C5C">
              <w:rPr>
                <w:color w:val="000000"/>
                <w:sz w:val="28"/>
                <w:szCs w:val="28"/>
              </w:rPr>
              <w:t xml:space="preserve">Roční kontrola </w:t>
            </w:r>
            <w:r w:rsidRPr="00320C5C">
              <w:rPr>
                <w:b/>
                <w:bCs/>
                <w:color w:val="FF0000"/>
                <w:sz w:val="28"/>
                <w:szCs w:val="28"/>
              </w:rPr>
              <w:t>EZS</w:t>
            </w:r>
            <w:r w:rsidRPr="00320C5C">
              <w:rPr>
                <w:color w:val="000000"/>
                <w:sz w:val="28"/>
                <w:szCs w:val="28"/>
              </w:rPr>
              <w:t xml:space="preserve"> s revizí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320C5C">
              <w:rPr>
                <w:color w:val="000000"/>
                <w:sz w:val="28"/>
                <w:szCs w:val="28"/>
              </w:rPr>
              <w:t>Kč/objekt</w:t>
            </w:r>
          </w:p>
        </w:tc>
      </w:tr>
      <w:tr w:rsidR="00320C5C" w:rsidRPr="00320C5C" w:rsidTr="00B66574">
        <w:trPr>
          <w:trHeight w:val="765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320C5C">
              <w:rPr>
                <w:color w:val="000000"/>
                <w:sz w:val="28"/>
                <w:szCs w:val="28"/>
              </w:rPr>
              <w:t>Roční kontrola nouzového osvětlení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320C5C">
              <w:rPr>
                <w:color w:val="000000"/>
                <w:sz w:val="28"/>
                <w:szCs w:val="28"/>
              </w:rPr>
              <w:t>Kč/objekt</w:t>
            </w:r>
          </w:p>
        </w:tc>
      </w:tr>
      <w:tr w:rsidR="00320C5C" w:rsidRPr="00320C5C" w:rsidTr="00110449">
        <w:trPr>
          <w:trHeight w:val="39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320C5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320C5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28"/>
                <w:szCs w:val="28"/>
              </w:rPr>
            </w:pPr>
            <w:r w:rsidRPr="00320C5C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320C5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20C5C" w:rsidRPr="00320C5C" w:rsidTr="00110449">
        <w:trPr>
          <w:trHeight w:val="31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320C5C" w:rsidRPr="00320C5C" w:rsidTr="00B66574">
        <w:trPr>
          <w:trHeight w:val="390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 w:rsidRPr="00320C5C">
              <w:rPr>
                <w:b/>
                <w:bCs/>
                <w:color w:val="000000"/>
                <w:sz w:val="28"/>
                <w:szCs w:val="28"/>
              </w:rPr>
              <w:t>DBS a DL</w:t>
            </w: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320C5C">
              <w:rPr>
                <w:color w:val="000000"/>
                <w:sz w:val="28"/>
                <w:szCs w:val="28"/>
              </w:rPr>
              <w:t>Servisní práce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320C5C">
              <w:rPr>
                <w:color w:val="000000"/>
                <w:sz w:val="28"/>
                <w:szCs w:val="28"/>
              </w:rPr>
              <w:t>Kč/hod.</w:t>
            </w:r>
          </w:p>
        </w:tc>
      </w:tr>
      <w:tr w:rsidR="00320C5C" w:rsidRPr="00320C5C" w:rsidTr="00B66574">
        <w:trPr>
          <w:trHeight w:val="390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320C5C">
              <w:rPr>
                <w:color w:val="000000"/>
                <w:sz w:val="28"/>
                <w:szCs w:val="28"/>
              </w:rPr>
              <w:t>Programovací hodina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320C5C">
              <w:rPr>
                <w:color w:val="000000"/>
                <w:sz w:val="28"/>
                <w:szCs w:val="28"/>
              </w:rPr>
              <w:t>Kč/hod.</w:t>
            </w:r>
          </w:p>
        </w:tc>
      </w:tr>
      <w:tr w:rsidR="00320C5C" w:rsidRPr="00320C5C" w:rsidTr="00B66574">
        <w:trPr>
          <w:trHeight w:val="765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320C5C">
              <w:rPr>
                <w:color w:val="000000"/>
                <w:sz w:val="28"/>
                <w:szCs w:val="28"/>
              </w:rPr>
              <w:t>Práce na rozvodech a elektroinstalacích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C5C" w:rsidRPr="00320C5C" w:rsidRDefault="00320C5C" w:rsidP="00320C5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320C5C">
              <w:rPr>
                <w:color w:val="000000"/>
                <w:sz w:val="28"/>
                <w:szCs w:val="28"/>
              </w:rPr>
              <w:t>Kč/hod.</w:t>
            </w:r>
          </w:p>
        </w:tc>
      </w:tr>
    </w:tbl>
    <w:p w:rsidR="00320C5C" w:rsidRDefault="00320C5C">
      <w:pPr>
        <w:tabs>
          <w:tab w:val="left" w:pos="360"/>
        </w:tabs>
        <w:jc w:val="both"/>
        <w:rPr>
          <w:b/>
        </w:rPr>
      </w:pPr>
    </w:p>
    <w:p w:rsidR="00906DE5" w:rsidRDefault="00906DE5" w:rsidP="00906DE5">
      <w:pPr>
        <w:ind w:left="7788" w:firstLine="708"/>
        <w:jc w:val="center"/>
        <w:rPr>
          <w:rFonts w:cs="Calibri"/>
          <w:b/>
          <w:bCs/>
          <w:color w:val="000000"/>
          <w:sz w:val="28"/>
          <w:szCs w:val="28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0"/>
        <w:gridCol w:w="4809"/>
      </w:tblGrid>
      <w:tr w:rsidR="00906DE5" w:rsidRPr="00834C6A" w:rsidTr="00AA03EC">
        <w:trPr>
          <w:trHeight w:val="242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06DE5" w:rsidRPr="00834C6A" w:rsidRDefault="00906DE5" w:rsidP="0058500A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B- </w:t>
            </w:r>
            <w:r w:rsidRPr="00834C6A">
              <w:rPr>
                <w:rFonts w:cs="Calibri"/>
                <w:b/>
                <w:bCs/>
                <w:color w:val="000000"/>
              </w:rPr>
              <w:t>NAVÝŠENÍ dle specifikace ve smlouvě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6DE5" w:rsidRPr="003D0E98" w:rsidRDefault="00906DE5" w:rsidP="0058500A">
            <w:pPr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v %</w:t>
            </w:r>
          </w:p>
        </w:tc>
      </w:tr>
      <w:tr w:rsidR="00906DE5" w:rsidRPr="003A6EEC" w:rsidTr="00B66574">
        <w:trPr>
          <w:trHeight w:val="889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DE5" w:rsidRPr="003A6EEC" w:rsidRDefault="00906DE5" w:rsidP="0058500A">
            <w:pPr>
              <w:rPr>
                <w:rFonts w:cs="Calibri"/>
                <w:color w:val="000000"/>
                <w:sz w:val="28"/>
                <w:szCs w:val="28"/>
              </w:rPr>
            </w:pPr>
            <w:r w:rsidRPr="003A6EEC">
              <w:rPr>
                <w:rFonts w:cs="Calibri"/>
                <w:color w:val="000000"/>
                <w:sz w:val="28"/>
                <w:szCs w:val="28"/>
              </w:rPr>
              <w:t xml:space="preserve">Navýšení  nabídkové ceny bez DPH/hod. práce při mimořádném požadavku objednatele na </w:t>
            </w:r>
            <w:r w:rsidRPr="003A6EEC">
              <w:rPr>
                <w:rFonts w:cs="Calibri"/>
                <w:b/>
                <w:color w:val="000000"/>
                <w:sz w:val="28"/>
                <w:szCs w:val="28"/>
              </w:rPr>
              <w:t>zhotovitele v době od 18.00 - 6.00 hod.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DE5" w:rsidRPr="003A6EEC" w:rsidRDefault="00906DE5" w:rsidP="00BB221A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06DE5" w:rsidRPr="003A6EEC" w:rsidTr="00B66574">
        <w:trPr>
          <w:trHeight w:val="889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DE5" w:rsidRPr="003A6EEC" w:rsidRDefault="00906DE5" w:rsidP="0058500A">
            <w:pPr>
              <w:rPr>
                <w:rFonts w:cs="Calibri"/>
                <w:color w:val="000000"/>
                <w:sz w:val="28"/>
                <w:szCs w:val="28"/>
              </w:rPr>
            </w:pPr>
            <w:r w:rsidRPr="003A6EEC">
              <w:rPr>
                <w:rFonts w:cs="Calibri"/>
                <w:color w:val="000000"/>
                <w:sz w:val="28"/>
                <w:szCs w:val="28"/>
              </w:rPr>
              <w:t xml:space="preserve">Navýšení nabídkové ceny bez DPH/hod. práce při mimořádném požadavku objednatele na zhotovitele </w:t>
            </w:r>
            <w:r w:rsidRPr="003A6EEC">
              <w:rPr>
                <w:rFonts w:cs="Calibri"/>
                <w:b/>
                <w:color w:val="000000"/>
                <w:sz w:val="28"/>
                <w:szCs w:val="28"/>
              </w:rPr>
              <w:t>o sobotách, nedělích, ve svátek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DE5" w:rsidRPr="003A6EEC" w:rsidRDefault="00906DE5" w:rsidP="00BB221A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</w:tr>
    </w:tbl>
    <w:p w:rsidR="00DF2016" w:rsidRDefault="00DF2016"/>
    <w:p w:rsidR="00DF2016" w:rsidRDefault="00DF2016">
      <w:pPr>
        <w:pStyle w:val="Nad1"/>
        <w:jc w:val="left"/>
      </w:pPr>
    </w:p>
    <w:p w:rsidR="004503AE" w:rsidRPr="004503AE" w:rsidRDefault="004503AE" w:rsidP="004503AE">
      <w:pPr>
        <w:pStyle w:val="Zkladntext2"/>
        <w:spacing w:after="0"/>
        <w:ind w:left="720"/>
        <w:jc w:val="center"/>
        <w:rPr>
          <w:rFonts w:ascii="Segoe UI" w:hAnsi="Segoe UI" w:cs="Segoe UI"/>
          <w:sz w:val="28"/>
          <w:szCs w:val="28"/>
        </w:rPr>
      </w:pPr>
      <w:r w:rsidRPr="004503AE">
        <w:rPr>
          <w:rFonts w:ascii="Segoe UI" w:hAnsi="Segoe UI" w:cs="Segoe UI"/>
          <w:b/>
          <w:iCs/>
          <w:sz w:val="28"/>
          <w:szCs w:val="28"/>
          <w:u w:val="single"/>
        </w:rPr>
        <w:t>II. Závěrečná ujednání dodatku č. 1</w:t>
      </w:r>
    </w:p>
    <w:p w:rsidR="004503AE" w:rsidRPr="004503AE" w:rsidRDefault="004503AE" w:rsidP="004503AE">
      <w:pPr>
        <w:numPr>
          <w:ilvl w:val="0"/>
          <w:numId w:val="7"/>
        </w:numPr>
        <w:overflowPunct/>
        <w:autoSpaceDE/>
        <w:autoSpaceDN/>
        <w:adjustRightInd/>
        <w:ind w:left="357"/>
        <w:jc w:val="both"/>
        <w:textAlignment w:val="auto"/>
        <w:rPr>
          <w:rFonts w:ascii="Segoe UI" w:hAnsi="Segoe UI" w:cs="Segoe UI"/>
          <w:sz w:val="22"/>
          <w:szCs w:val="22"/>
        </w:rPr>
      </w:pPr>
      <w:r w:rsidRPr="004503AE">
        <w:rPr>
          <w:rFonts w:ascii="Segoe UI" w:hAnsi="Segoe UI" w:cs="Segoe UI"/>
          <w:sz w:val="22"/>
          <w:szCs w:val="22"/>
        </w:rPr>
        <w:t>Ostatní identifikační údaje smluvní strany zůstávají v platnosti.</w:t>
      </w:r>
    </w:p>
    <w:p w:rsidR="004503AE" w:rsidRPr="004503AE" w:rsidRDefault="004503AE" w:rsidP="004503AE">
      <w:pPr>
        <w:numPr>
          <w:ilvl w:val="0"/>
          <w:numId w:val="7"/>
        </w:numPr>
        <w:overflowPunct/>
        <w:autoSpaceDE/>
        <w:autoSpaceDN/>
        <w:adjustRightInd/>
        <w:spacing w:after="120"/>
        <w:ind w:left="357"/>
        <w:jc w:val="both"/>
        <w:textAlignment w:val="auto"/>
        <w:rPr>
          <w:rFonts w:ascii="Segoe UI" w:hAnsi="Segoe UI" w:cs="Segoe UI"/>
          <w:sz w:val="22"/>
          <w:szCs w:val="22"/>
        </w:rPr>
      </w:pPr>
      <w:r w:rsidRPr="004503AE">
        <w:rPr>
          <w:rFonts w:ascii="Segoe UI" w:hAnsi="Segoe UI" w:cs="Segoe UI"/>
          <w:sz w:val="22"/>
          <w:szCs w:val="22"/>
        </w:rPr>
        <w:t xml:space="preserve">Ostatní ujednání smlouvy jsou tímto dodatkem č. </w:t>
      </w:r>
      <w:r>
        <w:rPr>
          <w:rFonts w:ascii="Segoe UI" w:hAnsi="Segoe UI" w:cs="Segoe UI"/>
          <w:sz w:val="22"/>
          <w:szCs w:val="22"/>
        </w:rPr>
        <w:t>1</w:t>
      </w:r>
      <w:r w:rsidRPr="004503AE">
        <w:rPr>
          <w:rFonts w:ascii="Segoe UI" w:hAnsi="Segoe UI" w:cs="Segoe UI"/>
          <w:sz w:val="22"/>
          <w:szCs w:val="22"/>
        </w:rPr>
        <w:t xml:space="preserve"> nedotčená, nemění se a zůstávají nadále v platnosti.</w:t>
      </w:r>
    </w:p>
    <w:p w:rsidR="004503AE" w:rsidRPr="004503AE" w:rsidRDefault="004503AE" w:rsidP="004503AE">
      <w:pPr>
        <w:pStyle w:val="Zkladntext"/>
        <w:numPr>
          <w:ilvl w:val="0"/>
          <w:numId w:val="7"/>
        </w:numPr>
        <w:overflowPunct/>
        <w:autoSpaceDE/>
        <w:autoSpaceDN/>
        <w:adjustRightInd/>
        <w:spacing w:after="120"/>
        <w:ind w:left="357"/>
        <w:jc w:val="both"/>
        <w:textAlignment w:val="auto"/>
        <w:rPr>
          <w:rFonts w:ascii="Segoe UI" w:hAnsi="Segoe UI" w:cs="Segoe UI"/>
          <w:sz w:val="22"/>
          <w:szCs w:val="22"/>
        </w:rPr>
      </w:pPr>
      <w:r w:rsidRPr="004503AE">
        <w:rPr>
          <w:rFonts w:ascii="Segoe UI" w:hAnsi="Segoe UI" w:cs="Segoe UI"/>
          <w:sz w:val="22"/>
          <w:szCs w:val="22"/>
        </w:rPr>
        <w:t>Tento dodatek nabývá platnosti dnem podpisu obou smluvních stran a účinnosti v souladu</w:t>
      </w:r>
      <w:r w:rsidRPr="004503AE">
        <w:rPr>
          <w:rFonts w:ascii="Segoe UI" w:hAnsi="Segoe UI" w:cs="Segoe UI"/>
          <w:sz w:val="22"/>
          <w:szCs w:val="22"/>
        </w:rPr>
        <w:br/>
        <w:t>s příslušnými ustanoveními zákona č. 340/2015 Sb., o registru smluv, ve znění pozdějších</w:t>
      </w:r>
      <w:r w:rsidRPr="004503AE">
        <w:rPr>
          <w:rFonts w:ascii="Segoe UI" w:hAnsi="Segoe UI" w:cs="Segoe UI"/>
          <w:sz w:val="22"/>
          <w:szCs w:val="22"/>
        </w:rPr>
        <w:br/>
        <w:t xml:space="preserve">předpisů (dále jen „zákon o registru smluv“). </w:t>
      </w:r>
    </w:p>
    <w:p w:rsidR="004503AE" w:rsidRPr="004503AE" w:rsidRDefault="004503AE" w:rsidP="004503AE">
      <w:pPr>
        <w:numPr>
          <w:ilvl w:val="0"/>
          <w:numId w:val="7"/>
        </w:numPr>
        <w:overflowPunct/>
        <w:autoSpaceDE/>
        <w:autoSpaceDN/>
        <w:adjustRightInd/>
        <w:spacing w:after="120"/>
        <w:ind w:left="357"/>
        <w:jc w:val="both"/>
        <w:textAlignment w:val="auto"/>
        <w:rPr>
          <w:rFonts w:ascii="Segoe UI" w:hAnsi="Segoe UI" w:cs="Segoe UI"/>
          <w:sz w:val="22"/>
          <w:szCs w:val="22"/>
        </w:rPr>
      </w:pPr>
      <w:r w:rsidRPr="004503AE">
        <w:rPr>
          <w:rFonts w:ascii="Segoe UI" w:hAnsi="Segoe UI" w:cs="Segoe UI"/>
          <w:sz w:val="22"/>
          <w:szCs w:val="22"/>
        </w:rPr>
        <w:t xml:space="preserve">Dodatek č. </w:t>
      </w:r>
      <w:r>
        <w:rPr>
          <w:rFonts w:ascii="Segoe UI" w:hAnsi="Segoe UI" w:cs="Segoe UI"/>
          <w:sz w:val="22"/>
          <w:szCs w:val="22"/>
        </w:rPr>
        <w:t>1</w:t>
      </w:r>
      <w:r w:rsidRPr="004503AE">
        <w:rPr>
          <w:rFonts w:ascii="Segoe UI" w:hAnsi="Segoe UI" w:cs="Segoe UI"/>
          <w:sz w:val="22"/>
          <w:szCs w:val="22"/>
        </w:rPr>
        <w:t xml:space="preserve"> ke smlouvě je vyhotoven ve dvou stejnopisech, z nichž objednatel obdrží jeden stejnopis a poskytovatel jeden stejnopis.</w:t>
      </w:r>
    </w:p>
    <w:p w:rsidR="004503AE" w:rsidRPr="004503AE" w:rsidRDefault="004503AE" w:rsidP="004503AE">
      <w:pPr>
        <w:pStyle w:val="Zkladntext"/>
        <w:numPr>
          <w:ilvl w:val="0"/>
          <w:numId w:val="7"/>
        </w:numPr>
        <w:overflowPunct/>
        <w:autoSpaceDE/>
        <w:autoSpaceDN/>
        <w:adjustRightInd/>
        <w:spacing w:after="120"/>
        <w:ind w:left="357"/>
        <w:jc w:val="both"/>
        <w:textAlignment w:val="auto"/>
        <w:rPr>
          <w:rFonts w:ascii="Segoe UI" w:hAnsi="Segoe UI" w:cs="Segoe UI"/>
          <w:sz w:val="22"/>
          <w:szCs w:val="22"/>
        </w:rPr>
      </w:pPr>
      <w:r w:rsidRPr="004503AE">
        <w:rPr>
          <w:rFonts w:ascii="Segoe UI" w:hAnsi="Segoe UI" w:cs="Segoe UI"/>
          <w:sz w:val="22"/>
          <w:szCs w:val="22"/>
        </w:rPr>
        <w:t>Smluvní strany prohlašují, že se důkladně seznámily s obsahem tohoto dodatku smlouvy, porozuměly mu a na důkaz bezvýhradného souhlasu se všemi jeho ustanoveními připojují osoby oprávněné jednat jménem smluvních stran své podpisy.</w:t>
      </w:r>
    </w:p>
    <w:p w:rsidR="00DF2016" w:rsidRPr="004503AE" w:rsidRDefault="00DF2016">
      <w:pPr>
        <w:pStyle w:val="Nad1"/>
        <w:jc w:val="left"/>
        <w:rPr>
          <w:rFonts w:ascii="Segoe UI" w:hAnsi="Segoe UI" w:cs="Segoe UI"/>
          <w:sz w:val="28"/>
        </w:rPr>
      </w:pPr>
    </w:p>
    <w:p w:rsidR="00DF2016" w:rsidRPr="004503AE" w:rsidRDefault="004503AE" w:rsidP="004503AE">
      <w:pPr>
        <w:pStyle w:val="Nad1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>III</w:t>
      </w:r>
      <w:r w:rsidR="00DF2016" w:rsidRPr="004503AE">
        <w:rPr>
          <w:rFonts w:ascii="Segoe UI" w:hAnsi="Segoe UI" w:cs="Segoe UI"/>
          <w:sz w:val="28"/>
        </w:rPr>
        <w:t xml:space="preserve">. Místo a datum podpisu </w:t>
      </w:r>
      <w:r w:rsidR="00904342">
        <w:rPr>
          <w:rFonts w:ascii="Segoe UI" w:hAnsi="Segoe UI" w:cs="Segoe UI"/>
          <w:sz w:val="28"/>
        </w:rPr>
        <w:t>dodatku 1</w:t>
      </w:r>
    </w:p>
    <w:p w:rsidR="00DF2016" w:rsidRPr="004503AE" w:rsidRDefault="00DF2016">
      <w:pPr>
        <w:pStyle w:val="Nad1"/>
        <w:rPr>
          <w:rFonts w:ascii="Segoe UI" w:hAnsi="Segoe UI" w:cs="Segoe UI"/>
          <w:sz w:val="28"/>
        </w:rPr>
      </w:pPr>
    </w:p>
    <w:p w:rsidR="00DF2016" w:rsidRPr="004503AE" w:rsidRDefault="00DF2016">
      <w:pPr>
        <w:rPr>
          <w:rFonts w:ascii="Segoe UI" w:hAnsi="Segoe UI" w:cs="Segoe UI"/>
        </w:rPr>
      </w:pPr>
    </w:p>
    <w:p w:rsidR="00DF2016" w:rsidRPr="004503AE" w:rsidRDefault="00DF2016" w:rsidP="004503AE">
      <w:pPr>
        <w:ind w:firstLine="708"/>
        <w:rPr>
          <w:rFonts w:ascii="Segoe UI" w:hAnsi="Segoe UI" w:cs="Segoe UI"/>
        </w:rPr>
      </w:pPr>
      <w:r w:rsidRPr="004503AE">
        <w:rPr>
          <w:rFonts w:ascii="Segoe UI" w:hAnsi="Segoe UI" w:cs="Segoe UI"/>
        </w:rPr>
        <w:t>………………………………….</w:t>
      </w:r>
      <w:r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ab/>
      </w:r>
      <w:r w:rsidRPr="004503AE">
        <w:rPr>
          <w:rFonts w:ascii="Segoe UI" w:hAnsi="Segoe UI" w:cs="Segoe UI"/>
        </w:rPr>
        <w:tab/>
        <w:t>………………………………………</w:t>
      </w:r>
    </w:p>
    <w:p w:rsidR="00DF2016" w:rsidRPr="004503AE" w:rsidRDefault="003F7CEA">
      <w:pPr>
        <w:tabs>
          <w:tab w:val="left" w:pos="5245"/>
        </w:tabs>
        <w:rPr>
          <w:rFonts w:ascii="Segoe UI" w:hAnsi="Segoe UI" w:cs="Segoe UI"/>
        </w:rPr>
      </w:pPr>
      <w:r w:rsidRPr="004503AE">
        <w:rPr>
          <w:rFonts w:ascii="Segoe UI" w:hAnsi="Segoe UI" w:cs="Segoe UI"/>
        </w:rPr>
        <w:t xml:space="preserve">               Objednatel</w:t>
      </w:r>
      <w:r w:rsidR="004503AE">
        <w:rPr>
          <w:rFonts w:ascii="Segoe UI" w:hAnsi="Segoe UI" w:cs="Segoe UI"/>
        </w:rPr>
        <w:tab/>
        <w:t xml:space="preserve">         </w:t>
      </w:r>
      <w:r w:rsidRPr="004503AE">
        <w:rPr>
          <w:rFonts w:ascii="Segoe UI" w:hAnsi="Segoe UI" w:cs="Segoe UI"/>
        </w:rPr>
        <w:t>Zhotovitel</w:t>
      </w:r>
      <w:r w:rsidR="00DF2016" w:rsidRPr="004503AE">
        <w:rPr>
          <w:rFonts w:ascii="Segoe UI" w:hAnsi="Segoe UI" w:cs="Segoe UI"/>
        </w:rPr>
        <w:t xml:space="preserve"> </w:t>
      </w:r>
    </w:p>
    <w:p w:rsidR="00DF2016" w:rsidRPr="004503AE" w:rsidRDefault="00BB221A">
      <w:pPr>
        <w:tabs>
          <w:tab w:val="left" w:pos="5245"/>
        </w:tabs>
        <w:rPr>
          <w:rFonts w:ascii="Segoe UI" w:hAnsi="Segoe UI" w:cs="Segoe UI"/>
        </w:rPr>
      </w:pPr>
      <w:r w:rsidRPr="004503AE">
        <w:rPr>
          <w:rFonts w:ascii="Segoe UI" w:hAnsi="Segoe UI" w:cs="Segoe UI"/>
        </w:rPr>
        <w:t xml:space="preserve">PhDr. Svatopluk Aniol, ředitel </w:t>
      </w:r>
      <w:r w:rsidR="004503AE">
        <w:rPr>
          <w:rFonts w:ascii="Segoe UI" w:hAnsi="Segoe UI" w:cs="Segoe UI"/>
        </w:rPr>
        <w:t xml:space="preserve">organizace     </w:t>
      </w:r>
      <w:r w:rsidRPr="004503AE">
        <w:rPr>
          <w:rFonts w:ascii="Segoe UI" w:hAnsi="Segoe UI" w:cs="Segoe UI"/>
        </w:rPr>
        <w:t xml:space="preserve"> Ivo Šonka, jednatel společnosti</w:t>
      </w:r>
    </w:p>
    <w:p w:rsidR="00DF2016" w:rsidRPr="004503AE" w:rsidRDefault="00DF2016">
      <w:pPr>
        <w:tabs>
          <w:tab w:val="left" w:pos="5245"/>
        </w:tabs>
        <w:rPr>
          <w:rFonts w:ascii="Segoe UI" w:hAnsi="Segoe UI" w:cs="Segoe UI"/>
        </w:rPr>
      </w:pPr>
    </w:p>
    <w:p w:rsidR="0086079E" w:rsidRPr="004503AE" w:rsidRDefault="0086079E">
      <w:pPr>
        <w:tabs>
          <w:tab w:val="left" w:pos="5245"/>
        </w:tabs>
        <w:rPr>
          <w:rFonts w:ascii="Segoe UI" w:hAnsi="Segoe UI" w:cs="Segoe UI"/>
        </w:rPr>
      </w:pPr>
    </w:p>
    <w:p w:rsidR="003F7CEA" w:rsidRPr="004503AE" w:rsidRDefault="003F7CEA">
      <w:pPr>
        <w:tabs>
          <w:tab w:val="left" w:pos="5245"/>
        </w:tabs>
        <w:rPr>
          <w:rFonts w:ascii="Segoe UI" w:hAnsi="Segoe UI" w:cs="Segoe UI"/>
        </w:rPr>
      </w:pPr>
    </w:p>
    <w:p w:rsidR="00DF2016" w:rsidRPr="004503AE" w:rsidRDefault="00DF2016">
      <w:pPr>
        <w:rPr>
          <w:rFonts w:ascii="Segoe UI" w:hAnsi="Segoe UI" w:cs="Segoe UI"/>
        </w:rPr>
      </w:pPr>
    </w:p>
    <w:p w:rsidR="003F7CEA" w:rsidRPr="004503AE" w:rsidRDefault="00DF2016" w:rsidP="003F7CEA">
      <w:pPr>
        <w:rPr>
          <w:rFonts w:ascii="Segoe UI" w:hAnsi="Segoe UI" w:cs="Segoe UI"/>
        </w:rPr>
      </w:pPr>
      <w:r w:rsidRPr="004503AE">
        <w:rPr>
          <w:rFonts w:ascii="Segoe UI" w:hAnsi="Segoe UI" w:cs="Segoe UI"/>
        </w:rPr>
        <w:t>V</w:t>
      </w:r>
      <w:r w:rsidR="003F7CEA" w:rsidRPr="004503AE">
        <w:rPr>
          <w:rFonts w:ascii="Segoe UI" w:hAnsi="Segoe UI" w:cs="Segoe UI"/>
        </w:rPr>
        <w:t> Ostravě</w:t>
      </w:r>
      <w:r w:rsidR="003F7CEA" w:rsidRPr="004503AE">
        <w:rPr>
          <w:rFonts w:ascii="Segoe UI" w:hAnsi="Segoe UI" w:cs="Segoe UI"/>
        </w:rPr>
        <w:tab/>
      </w:r>
      <w:r w:rsidR="003F7CEA" w:rsidRPr="004503AE">
        <w:rPr>
          <w:rFonts w:ascii="Segoe UI" w:hAnsi="Segoe UI" w:cs="Segoe UI"/>
        </w:rPr>
        <w:tab/>
      </w:r>
    </w:p>
    <w:sectPr w:rsidR="003F7CEA" w:rsidRPr="004503AE" w:rsidSect="002E7F7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D5D" w:rsidRDefault="008C5D5D">
      <w:r>
        <w:separator/>
      </w:r>
    </w:p>
  </w:endnote>
  <w:endnote w:type="continuationSeparator" w:id="0">
    <w:p w:rsidR="008C5D5D" w:rsidRDefault="008C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BF" w:rsidRDefault="003F7CEA">
    <w:pPr>
      <w:pStyle w:val="Zpat"/>
      <w:jc w:val="right"/>
    </w:pPr>
    <w:r>
      <w:t xml:space="preserve">Strana </w:t>
    </w:r>
    <w:r w:rsidR="000D38BF">
      <w:fldChar w:fldCharType="begin"/>
    </w:r>
    <w:r w:rsidR="000D38BF">
      <w:instrText>PAGE   \* MERGEFORMAT</w:instrText>
    </w:r>
    <w:r w:rsidR="000D38BF">
      <w:fldChar w:fldCharType="separate"/>
    </w:r>
    <w:r w:rsidR="00B66574">
      <w:rPr>
        <w:noProof/>
      </w:rPr>
      <w:t>2</w:t>
    </w:r>
    <w:r w:rsidR="000D38BF">
      <w:fldChar w:fldCharType="end"/>
    </w:r>
    <w:r>
      <w:t xml:space="preserve"> z </w:t>
    </w:r>
    <w:r w:rsidR="003A0ED6">
      <w:t>4</w:t>
    </w:r>
  </w:p>
  <w:p w:rsidR="00DF2016" w:rsidRDefault="00DF2016">
    <w:pPr>
      <w:pStyle w:val="Zpat"/>
      <w:tabs>
        <w:tab w:val="clear" w:pos="4536"/>
        <w:tab w:val="clear" w:pos="9072"/>
        <w:tab w:val="right" w:pos="8647"/>
      </w:tabs>
      <w:ind w:right="360" w:firstLine="142"/>
      <w:rPr>
        <w:rStyle w:val="slostrnk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D5D" w:rsidRDefault="008C5D5D">
      <w:r>
        <w:separator/>
      </w:r>
    </w:p>
  </w:footnote>
  <w:footnote w:type="continuationSeparator" w:id="0">
    <w:p w:rsidR="008C5D5D" w:rsidRDefault="008C5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0AF" w:rsidRDefault="00B66574">
    <w:pPr>
      <w:pStyle w:val="Zhlav"/>
      <w:rPr>
        <w:noProof/>
      </w:rPr>
    </w:pPr>
    <w:r w:rsidRPr="0033329E">
      <w:rPr>
        <w:noProof/>
      </w:rPr>
      <w:drawing>
        <wp:inline distT="0" distB="0" distL="0" distR="0">
          <wp:extent cx="5762625" cy="552450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38BF" w:rsidRPr="00EA60AF" w:rsidRDefault="00EA60AF" w:rsidP="00AA03EC">
    <w:pPr>
      <w:pStyle w:val="Zhlav"/>
      <w:jc w:val="center"/>
      <w:rPr>
        <w:rFonts w:ascii="Tahoma" w:hAnsi="Tahoma" w:cs="Tahoma"/>
      </w:rPr>
    </w:pPr>
    <w:r w:rsidRPr="00EA60AF">
      <w:rPr>
        <w:rFonts w:ascii="Tahoma" w:hAnsi="Tahoma" w:cs="Tahoma"/>
        <w:noProof/>
      </w:rPr>
      <w:t>Veřejná zakázka: „</w:t>
    </w:r>
    <w:r w:rsidRPr="00EA60AF">
      <w:rPr>
        <w:rFonts w:ascii="Tahoma" w:hAnsi="Tahoma" w:cs="Tahoma"/>
      </w:rPr>
      <w:t>Servisní zabezpečení specifikovaných elektrických a elektronických zařízení a osvětlení</w:t>
    </w:r>
    <w:r w:rsidR="006144DA">
      <w:rPr>
        <w:rFonts w:ascii="Tahoma" w:hAnsi="Tahoma" w:cs="Tahoma"/>
      </w:rPr>
      <w:t xml:space="preserve"> na rok 20</w:t>
    </w:r>
    <w:r w:rsidR="00A80E7C">
      <w:rPr>
        <w:rFonts w:ascii="Tahoma" w:hAnsi="Tahoma" w:cs="Tahoma"/>
      </w:rPr>
      <w:t>20</w:t>
    </w:r>
    <w:r w:rsidR="006144DA">
      <w:rPr>
        <w:rFonts w:ascii="Tahoma" w:hAnsi="Tahoma" w:cs="Tahoma"/>
      </w:rPr>
      <w:t xml:space="preserve"> </w:t>
    </w:r>
    <w:r w:rsidR="008E506D">
      <w:rPr>
        <w:rFonts w:ascii="Tahoma" w:hAnsi="Tahoma" w:cs="Tahoma"/>
      </w:rPr>
      <w:t>–</w:t>
    </w:r>
    <w:r w:rsidR="006144DA">
      <w:rPr>
        <w:rFonts w:ascii="Tahoma" w:hAnsi="Tahoma" w:cs="Tahoma"/>
      </w:rPr>
      <w:t xml:space="preserve"> </w:t>
    </w:r>
    <w:r w:rsidR="002C19A6">
      <w:rPr>
        <w:rFonts w:ascii="Tahoma" w:hAnsi="Tahoma" w:cs="Tahoma"/>
      </w:rPr>
      <w:t>2025</w:t>
    </w:r>
    <w:r w:rsidR="00906DE5">
      <w:rPr>
        <w:rFonts w:ascii="Tahoma" w:hAnsi="Tahoma" w:cs="Tahoma"/>
      </w:rPr>
      <w:t xml:space="preserve"> - II</w:t>
    </w:r>
    <w:r w:rsidRPr="00EA60AF">
      <w:rPr>
        <w:rFonts w:ascii="Tahoma" w:hAnsi="Tahoma" w:cs="Tahoma"/>
      </w:rPr>
      <w:t>”</w:t>
    </w:r>
  </w:p>
  <w:p w:rsidR="00DF2016" w:rsidRDefault="00DF2016" w:rsidP="000D38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0A50"/>
    <w:multiLevelType w:val="multilevel"/>
    <w:tmpl w:val="A86CE3C6"/>
    <w:lvl w:ilvl="0">
      <w:start w:val="5"/>
      <w:numFmt w:val="decimal"/>
      <w:lvlText w:val="%1"/>
      <w:legacy w:legacy="1" w:legacySpace="0" w:legacyIndent="0"/>
      <w:lvlJc w:val="left"/>
      <w:rPr>
        <w:b/>
      </w:rPr>
    </w:lvl>
    <w:lvl w:ilvl="1">
      <w:start w:val="4"/>
      <w:numFmt w:val="decimal"/>
      <w:lvlText w:val="%1.%2"/>
      <w:legacy w:legacy="1" w:legacySpace="0" w:legacyIndent="0"/>
      <w:lvlJc w:val="left"/>
      <w:rPr>
        <w:b/>
        <w:sz w:val="20"/>
      </w:rPr>
    </w:lvl>
    <w:lvl w:ilvl="2">
      <w:start w:val="1"/>
      <w:numFmt w:val="decimal"/>
      <w:lvlText w:val="%1.%2.%3"/>
      <w:legacy w:legacy="1" w:legacySpace="0" w:legacyIndent="0"/>
      <w:lvlJc w:val="left"/>
      <w:rPr>
        <w:b/>
      </w:rPr>
    </w:lvl>
    <w:lvl w:ilvl="3">
      <w:start w:val="1"/>
      <w:numFmt w:val="decimal"/>
      <w:lvlText w:val="%1.%2.%3.%4"/>
      <w:legacy w:legacy="1" w:legacySpace="0" w:legacyIndent="0"/>
      <w:lvlJc w:val="left"/>
      <w:rPr>
        <w:b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b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b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b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b/>
      </w:r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  <w:rPr>
        <w:b/>
      </w:rPr>
    </w:lvl>
  </w:abstractNum>
  <w:abstractNum w:abstractNumId="1" w15:restartNumberingAfterBreak="0">
    <w:nsid w:val="299F71CA"/>
    <w:multiLevelType w:val="hybridMultilevel"/>
    <w:tmpl w:val="A8EA8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83ADB"/>
    <w:multiLevelType w:val="multilevel"/>
    <w:tmpl w:val="90D60B5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12E737C"/>
    <w:multiLevelType w:val="multilevel"/>
    <w:tmpl w:val="A86CE3C6"/>
    <w:lvl w:ilvl="0">
      <w:start w:val="5"/>
      <w:numFmt w:val="decimal"/>
      <w:lvlText w:val="%1"/>
      <w:legacy w:legacy="1" w:legacySpace="0" w:legacyIndent="0"/>
      <w:lvlJc w:val="left"/>
      <w:rPr>
        <w:b/>
      </w:rPr>
    </w:lvl>
    <w:lvl w:ilvl="1">
      <w:start w:val="4"/>
      <w:numFmt w:val="decimal"/>
      <w:lvlText w:val="%1.%2"/>
      <w:legacy w:legacy="1" w:legacySpace="0" w:legacyIndent="0"/>
      <w:lvlJc w:val="left"/>
      <w:rPr>
        <w:b/>
        <w:sz w:val="20"/>
      </w:rPr>
    </w:lvl>
    <w:lvl w:ilvl="2">
      <w:start w:val="1"/>
      <w:numFmt w:val="decimal"/>
      <w:lvlText w:val="%1.%2.%3"/>
      <w:legacy w:legacy="1" w:legacySpace="0" w:legacyIndent="0"/>
      <w:lvlJc w:val="left"/>
      <w:rPr>
        <w:b/>
      </w:rPr>
    </w:lvl>
    <w:lvl w:ilvl="3">
      <w:start w:val="1"/>
      <w:numFmt w:val="decimal"/>
      <w:lvlText w:val="%1.%2.%3.%4"/>
      <w:legacy w:legacy="1" w:legacySpace="0" w:legacyIndent="0"/>
      <w:lvlJc w:val="left"/>
      <w:rPr>
        <w:b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b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b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b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b/>
      </w:r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  <w:rPr>
        <w:b/>
      </w:rPr>
    </w:lvl>
  </w:abstractNum>
  <w:abstractNum w:abstractNumId="4" w15:restartNumberingAfterBreak="0">
    <w:nsid w:val="63F9021A"/>
    <w:multiLevelType w:val="multilevel"/>
    <w:tmpl w:val="D7D22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70FA6611"/>
    <w:multiLevelType w:val="singleLevel"/>
    <w:tmpl w:val="CF686046"/>
    <w:lvl w:ilvl="0">
      <w:start w:val="2"/>
      <w:numFmt w:val="lowerLetter"/>
      <w:lvlText w:val="%1)"/>
      <w:legacy w:legacy="1" w:legacySpace="120" w:legacyIndent="705"/>
      <w:lvlJc w:val="left"/>
      <w:pPr>
        <w:ind w:left="1410" w:hanging="705"/>
      </w:pPr>
    </w:lvl>
  </w:abstractNum>
  <w:abstractNum w:abstractNumId="6" w15:restartNumberingAfterBreak="0">
    <w:nsid w:val="78151CF2"/>
    <w:multiLevelType w:val="hybridMultilevel"/>
    <w:tmpl w:val="C1821326"/>
    <w:lvl w:ilvl="0" w:tplc="4A7E1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25"/>
    <w:rsid w:val="0001368E"/>
    <w:rsid w:val="00072315"/>
    <w:rsid w:val="000B39F3"/>
    <w:rsid w:val="000C095A"/>
    <w:rsid w:val="000D38BF"/>
    <w:rsid w:val="000D4D20"/>
    <w:rsid w:val="00110449"/>
    <w:rsid w:val="00112CC1"/>
    <w:rsid w:val="0011421D"/>
    <w:rsid w:val="00137A4F"/>
    <w:rsid w:val="00151C0C"/>
    <w:rsid w:val="001C0D13"/>
    <w:rsid w:val="001C2F14"/>
    <w:rsid w:val="00215ADF"/>
    <w:rsid w:val="00241A9C"/>
    <w:rsid w:val="00245A34"/>
    <w:rsid w:val="00250D02"/>
    <w:rsid w:val="00266958"/>
    <w:rsid w:val="00291708"/>
    <w:rsid w:val="00293D33"/>
    <w:rsid w:val="002C19A6"/>
    <w:rsid w:val="002C2BFD"/>
    <w:rsid w:val="002E7F73"/>
    <w:rsid w:val="002F0699"/>
    <w:rsid w:val="0030544A"/>
    <w:rsid w:val="00305B56"/>
    <w:rsid w:val="003208BB"/>
    <w:rsid w:val="00320C5C"/>
    <w:rsid w:val="003243D8"/>
    <w:rsid w:val="00340DE8"/>
    <w:rsid w:val="00373626"/>
    <w:rsid w:val="00383A8A"/>
    <w:rsid w:val="00390E47"/>
    <w:rsid w:val="00391943"/>
    <w:rsid w:val="003A0ED6"/>
    <w:rsid w:val="003A1BC0"/>
    <w:rsid w:val="003B270C"/>
    <w:rsid w:val="003F7CEA"/>
    <w:rsid w:val="004208FF"/>
    <w:rsid w:val="00421AD1"/>
    <w:rsid w:val="004301F8"/>
    <w:rsid w:val="004325B1"/>
    <w:rsid w:val="00441D8B"/>
    <w:rsid w:val="004503AE"/>
    <w:rsid w:val="004749D7"/>
    <w:rsid w:val="004814A4"/>
    <w:rsid w:val="00486CD0"/>
    <w:rsid w:val="004A0FED"/>
    <w:rsid w:val="004A74A7"/>
    <w:rsid w:val="004C61A9"/>
    <w:rsid w:val="004E231F"/>
    <w:rsid w:val="00561ABE"/>
    <w:rsid w:val="005766D9"/>
    <w:rsid w:val="0058500A"/>
    <w:rsid w:val="005A5452"/>
    <w:rsid w:val="005B61B5"/>
    <w:rsid w:val="005E37B0"/>
    <w:rsid w:val="005F77FF"/>
    <w:rsid w:val="006144DA"/>
    <w:rsid w:val="00633CB0"/>
    <w:rsid w:val="006648C1"/>
    <w:rsid w:val="006B1407"/>
    <w:rsid w:val="0070602B"/>
    <w:rsid w:val="007153F8"/>
    <w:rsid w:val="00721B44"/>
    <w:rsid w:val="0074313A"/>
    <w:rsid w:val="00747D8D"/>
    <w:rsid w:val="00782D2D"/>
    <w:rsid w:val="007949E7"/>
    <w:rsid w:val="0079507B"/>
    <w:rsid w:val="007C2902"/>
    <w:rsid w:val="008007D6"/>
    <w:rsid w:val="008109EE"/>
    <w:rsid w:val="008562CC"/>
    <w:rsid w:val="0086079E"/>
    <w:rsid w:val="00877025"/>
    <w:rsid w:val="008B5369"/>
    <w:rsid w:val="008C5D5D"/>
    <w:rsid w:val="008D2E95"/>
    <w:rsid w:val="008E506D"/>
    <w:rsid w:val="00904342"/>
    <w:rsid w:val="00906DE5"/>
    <w:rsid w:val="00994259"/>
    <w:rsid w:val="009B1C7A"/>
    <w:rsid w:val="009D3883"/>
    <w:rsid w:val="009E1D89"/>
    <w:rsid w:val="009F557B"/>
    <w:rsid w:val="00A04625"/>
    <w:rsid w:val="00A15CBC"/>
    <w:rsid w:val="00A21C04"/>
    <w:rsid w:val="00A30778"/>
    <w:rsid w:val="00A314AD"/>
    <w:rsid w:val="00A47D29"/>
    <w:rsid w:val="00A57124"/>
    <w:rsid w:val="00A64623"/>
    <w:rsid w:val="00A80E7C"/>
    <w:rsid w:val="00A93050"/>
    <w:rsid w:val="00AA03EC"/>
    <w:rsid w:val="00AC3115"/>
    <w:rsid w:val="00B33110"/>
    <w:rsid w:val="00B54E6A"/>
    <w:rsid w:val="00B66574"/>
    <w:rsid w:val="00B74CC0"/>
    <w:rsid w:val="00B940BE"/>
    <w:rsid w:val="00BA1F0C"/>
    <w:rsid w:val="00BB0E36"/>
    <w:rsid w:val="00BB221A"/>
    <w:rsid w:val="00BB694D"/>
    <w:rsid w:val="00BF43E3"/>
    <w:rsid w:val="00BF4D60"/>
    <w:rsid w:val="00C3717E"/>
    <w:rsid w:val="00C60BD6"/>
    <w:rsid w:val="00C84650"/>
    <w:rsid w:val="00C90176"/>
    <w:rsid w:val="00CA0272"/>
    <w:rsid w:val="00CB5F78"/>
    <w:rsid w:val="00CD7D06"/>
    <w:rsid w:val="00D10898"/>
    <w:rsid w:val="00D111C6"/>
    <w:rsid w:val="00D30E4F"/>
    <w:rsid w:val="00D33D91"/>
    <w:rsid w:val="00DB41E5"/>
    <w:rsid w:val="00DD6D32"/>
    <w:rsid w:val="00DF2016"/>
    <w:rsid w:val="00DF2E7E"/>
    <w:rsid w:val="00E22D2A"/>
    <w:rsid w:val="00E630E7"/>
    <w:rsid w:val="00E678C7"/>
    <w:rsid w:val="00E752CC"/>
    <w:rsid w:val="00E770AA"/>
    <w:rsid w:val="00E77DE9"/>
    <w:rsid w:val="00EA3E7A"/>
    <w:rsid w:val="00EA60AF"/>
    <w:rsid w:val="00EA6659"/>
    <w:rsid w:val="00EC2E80"/>
    <w:rsid w:val="00ED75FA"/>
    <w:rsid w:val="00EF5C7F"/>
    <w:rsid w:val="00F0269F"/>
    <w:rsid w:val="00F06516"/>
    <w:rsid w:val="00F12006"/>
    <w:rsid w:val="00F33D88"/>
    <w:rsid w:val="00F55477"/>
    <w:rsid w:val="00F76656"/>
    <w:rsid w:val="00F902AF"/>
    <w:rsid w:val="00F903D6"/>
    <w:rsid w:val="00F93668"/>
    <w:rsid w:val="00FA6060"/>
    <w:rsid w:val="00FB13D7"/>
    <w:rsid w:val="00FB2FE5"/>
    <w:rsid w:val="00FC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5363CAE"/>
  <w15:chartTrackingRefBased/>
  <w15:docId w15:val="{8369D7D4-9677-4274-A3F7-673C5F01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framePr w:hSpace="141" w:wrap="auto" w:vAnchor="text" w:hAnchor="page" w:x="2503" w:y="-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jc w:val="both"/>
      <w:outlineLvl w:val="1"/>
    </w:pPr>
    <w:rPr>
      <w:rFonts w:ascii="Arial" w:hAnsi="Arial"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120" w:line="240" w:lineRule="atLeast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pPr>
      <w:keepNext/>
      <w:spacing w:before="120" w:line="240" w:lineRule="atLeast"/>
      <w:outlineLvl w:val="3"/>
    </w:pPr>
    <w:rPr>
      <w:rFonts w:ascii="Arial" w:hAnsi="Arial"/>
      <w:sz w:val="28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6096"/>
      </w:tabs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center"/>
      <w:outlineLvl w:val="5"/>
    </w:pPr>
    <w:rPr>
      <w:rFonts w:ascii="CG Times" w:hAnsi="CG Times"/>
      <w:b/>
      <w:sz w:val="48"/>
    </w:rPr>
  </w:style>
  <w:style w:type="paragraph" w:styleId="Nadpis7">
    <w:name w:val="heading 7"/>
    <w:basedOn w:val="Normln"/>
    <w:next w:val="Normln"/>
    <w:qFormat/>
    <w:pPr>
      <w:keepNext/>
      <w:spacing w:before="120" w:line="240" w:lineRule="atLeast"/>
      <w:ind w:left="45"/>
      <w:jc w:val="both"/>
      <w:outlineLvl w:val="6"/>
    </w:pPr>
    <w:rPr>
      <w:rFonts w:ascii="Arial" w:hAnsi="Arial"/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ln"/>
    <w:pPr>
      <w:tabs>
        <w:tab w:val="left" w:pos="6096"/>
      </w:tabs>
    </w:pPr>
  </w:style>
  <w:style w:type="character" w:customStyle="1" w:styleId="Hyperlink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</w:style>
  <w:style w:type="paragraph" w:customStyle="1" w:styleId="Nad1">
    <w:name w:val="Nad1"/>
    <w:basedOn w:val="Normln"/>
    <w:pPr>
      <w:jc w:val="center"/>
    </w:pPr>
    <w:rPr>
      <w:b/>
    </w:rPr>
  </w:style>
  <w:style w:type="paragraph" w:customStyle="1" w:styleId="BodyText3">
    <w:name w:val="Body Text 3"/>
    <w:basedOn w:val="Normln"/>
    <w:pPr>
      <w:jc w:val="both"/>
    </w:pPr>
  </w:style>
  <w:style w:type="paragraph" w:customStyle="1" w:styleId="BodyText20">
    <w:name w:val="Body Text 2"/>
    <w:basedOn w:val="Normln"/>
    <w:pPr>
      <w:ind w:firstLine="426"/>
      <w:jc w:val="both"/>
    </w:pPr>
  </w:style>
  <w:style w:type="paragraph" w:customStyle="1" w:styleId="BodyTextIndent2">
    <w:name w:val="Body Text Indent 2"/>
    <w:basedOn w:val="Normln"/>
    <w:pPr>
      <w:ind w:left="705"/>
      <w:jc w:val="both"/>
    </w:pPr>
  </w:style>
  <w:style w:type="paragraph" w:customStyle="1" w:styleId="xl25">
    <w:name w:val="xl25"/>
    <w:basedOn w:val="Normln"/>
    <w:pPr>
      <w:spacing w:before="100" w:after="100"/>
    </w:pPr>
    <w:rPr>
      <w:rFonts w:ascii="Arial" w:hAnsi="Arial"/>
      <w:b/>
      <w:sz w:val="16"/>
    </w:rPr>
  </w:style>
  <w:style w:type="paragraph" w:customStyle="1" w:styleId="xl26">
    <w:name w:val="xl26"/>
    <w:basedOn w:val="Normln"/>
    <w:pPr>
      <w:spacing w:before="100" w:after="100"/>
      <w:jc w:val="center"/>
    </w:pPr>
    <w:rPr>
      <w:rFonts w:ascii="Arial Unicode MS" w:eastAsia="Arial Unicode MS"/>
    </w:rPr>
  </w:style>
  <w:style w:type="paragraph" w:customStyle="1" w:styleId="xl27">
    <w:name w:val="xl27"/>
    <w:basedOn w:val="Normln"/>
    <w:pPr>
      <w:spacing w:before="100" w:after="100"/>
    </w:pPr>
    <w:rPr>
      <w:rFonts w:ascii="Arial" w:hAnsi="Arial"/>
      <w:b/>
    </w:rPr>
  </w:style>
  <w:style w:type="paragraph" w:customStyle="1" w:styleId="xl28">
    <w:name w:val="xl28"/>
    <w:basedOn w:val="Normln"/>
    <w:pPr>
      <w:spacing w:before="100" w:after="100"/>
      <w:jc w:val="center"/>
    </w:pPr>
    <w:rPr>
      <w:rFonts w:ascii="Arial Unicode MS" w:eastAsia="Arial Unicode MS"/>
    </w:rPr>
  </w:style>
  <w:style w:type="paragraph" w:customStyle="1" w:styleId="xl29">
    <w:name w:val="xl29"/>
    <w:basedOn w:val="Normln"/>
    <w:pPr>
      <w:spacing w:before="100" w:after="100"/>
      <w:jc w:val="center"/>
    </w:pPr>
    <w:rPr>
      <w:rFonts w:ascii="Arial" w:hAnsi="Arial"/>
      <w:b/>
    </w:rPr>
  </w:style>
  <w:style w:type="paragraph" w:customStyle="1" w:styleId="xl30">
    <w:name w:val="xl30"/>
    <w:basedOn w:val="Normln"/>
    <w:pPr>
      <w:spacing w:before="100" w:after="100"/>
    </w:pPr>
    <w:rPr>
      <w:rFonts w:ascii="Arial" w:hAnsi="Arial"/>
      <w:b/>
    </w:rPr>
  </w:style>
  <w:style w:type="paragraph" w:customStyle="1" w:styleId="xl31">
    <w:name w:val="xl31"/>
    <w:basedOn w:val="Normln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auto" w:fill="FFFF00"/>
      <w:spacing w:before="100" w:after="100"/>
    </w:pPr>
    <w:rPr>
      <w:b/>
      <w:sz w:val="36"/>
    </w:rPr>
  </w:style>
  <w:style w:type="paragraph" w:customStyle="1" w:styleId="xl32">
    <w:name w:val="xl32"/>
    <w:basedOn w:val="Normln"/>
    <w:pPr>
      <w:pBdr>
        <w:top w:val="single" w:sz="12" w:space="0" w:color="auto"/>
        <w:bottom w:val="single" w:sz="12" w:space="0" w:color="auto"/>
      </w:pBdr>
      <w:shd w:val="clear" w:color="auto" w:fill="FFFF00"/>
      <w:spacing w:before="100" w:after="100"/>
    </w:pPr>
    <w:rPr>
      <w:rFonts w:ascii="Arial" w:hAnsi="Arial"/>
      <w:b/>
      <w:sz w:val="36"/>
    </w:rPr>
  </w:style>
  <w:style w:type="paragraph" w:customStyle="1" w:styleId="xl33">
    <w:name w:val="xl33"/>
    <w:basedOn w:val="Normln"/>
    <w:pPr>
      <w:pBdr>
        <w:left w:val="single" w:sz="12" w:space="0" w:color="auto"/>
      </w:pBdr>
      <w:shd w:val="clear" w:color="auto" w:fill="FFFF00"/>
      <w:spacing w:before="100" w:after="100"/>
    </w:pPr>
    <w:rPr>
      <w:rFonts w:ascii="Arial" w:hAnsi="Arial"/>
      <w:b/>
    </w:rPr>
  </w:style>
  <w:style w:type="paragraph" w:customStyle="1" w:styleId="xl34">
    <w:name w:val="xl34"/>
    <w:basedOn w:val="Normln"/>
    <w:pPr>
      <w:shd w:val="clear" w:color="auto" w:fill="FFFF00"/>
      <w:spacing w:before="100" w:after="100"/>
    </w:pPr>
    <w:rPr>
      <w:rFonts w:ascii="Arial" w:hAnsi="Arial"/>
      <w:b/>
    </w:rPr>
  </w:style>
  <w:style w:type="paragraph" w:customStyle="1" w:styleId="xl35">
    <w:name w:val="xl35"/>
    <w:basedOn w:val="Normln"/>
    <w:pPr>
      <w:pBdr>
        <w:left w:val="single" w:sz="12" w:space="0" w:color="auto"/>
        <w:bottom w:val="single" w:sz="12" w:space="0" w:color="auto"/>
      </w:pBdr>
      <w:shd w:val="clear" w:color="auto" w:fill="FFFF00"/>
      <w:spacing w:before="100" w:after="100"/>
    </w:pPr>
    <w:rPr>
      <w:rFonts w:ascii="Arial" w:hAnsi="Arial"/>
      <w:b/>
    </w:rPr>
  </w:style>
  <w:style w:type="paragraph" w:customStyle="1" w:styleId="xl36">
    <w:name w:val="xl36"/>
    <w:basedOn w:val="Normln"/>
    <w:pPr>
      <w:pBdr>
        <w:bottom w:val="single" w:sz="12" w:space="0" w:color="auto"/>
      </w:pBdr>
      <w:shd w:val="clear" w:color="auto" w:fill="FFFF00"/>
      <w:spacing w:before="100" w:after="100"/>
    </w:pPr>
    <w:rPr>
      <w:rFonts w:ascii="Arial" w:hAnsi="Arial"/>
      <w:b/>
    </w:rPr>
  </w:style>
  <w:style w:type="paragraph" w:customStyle="1" w:styleId="xl37">
    <w:name w:val="xl37"/>
    <w:basedOn w:val="Normln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auto" w:fill="FFFF00"/>
      <w:spacing w:before="100" w:after="100"/>
    </w:pPr>
    <w:rPr>
      <w:rFonts w:ascii="Arial Unicode MS" w:eastAsia="Arial Unicode MS"/>
    </w:rPr>
  </w:style>
  <w:style w:type="paragraph" w:customStyle="1" w:styleId="xl38">
    <w:name w:val="xl38"/>
    <w:basedOn w:val="Normln"/>
    <w:pPr>
      <w:pBdr>
        <w:top w:val="single" w:sz="6" w:space="0" w:color="auto"/>
        <w:bottom w:val="single" w:sz="6" w:space="0" w:color="auto"/>
      </w:pBdr>
      <w:shd w:val="clear" w:color="auto" w:fill="FFFF00"/>
      <w:spacing w:before="100" w:after="100"/>
    </w:pPr>
    <w:rPr>
      <w:rFonts w:ascii="Arial Unicode MS" w:eastAsia="Arial Unicode MS"/>
    </w:rPr>
  </w:style>
  <w:style w:type="paragraph" w:customStyle="1" w:styleId="xl39">
    <w:name w:val="xl39"/>
    <w:basedOn w:val="Normln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00"/>
      <w:spacing w:before="100" w:after="100"/>
    </w:pPr>
    <w:rPr>
      <w:rFonts w:ascii="Arial Unicode MS" w:eastAsia="Arial Unicode MS"/>
    </w:rPr>
  </w:style>
  <w:style w:type="paragraph" w:customStyle="1" w:styleId="xl40">
    <w:name w:val="xl40"/>
    <w:basedOn w:val="Normln"/>
    <w:pPr>
      <w:spacing w:before="100" w:after="100"/>
    </w:pPr>
    <w:rPr>
      <w:rFonts w:ascii="Arial" w:hAnsi="Arial"/>
      <w:b/>
    </w:rPr>
  </w:style>
  <w:style w:type="paragraph" w:customStyle="1" w:styleId="xl41">
    <w:name w:val="xl41"/>
    <w:basedOn w:val="Normln"/>
    <w:pPr>
      <w:spacing w:before="100" w:after="100"/>
      <w:jc w:val="center"/>
    </w:pPr>
    <w:rPr>
      <w:rFonts w:ascii="Arial" w:hAnsi="Arial"/>
      <w:b/>
      <w:sz w:val="16"/>
    </w:rPr>
  </w:style>
  <w:style w:type="paragraph" w:customStyle="1" w:styleId="xl42">
    <w:name w:val="xl42"/>
    <w:basedOn w:val="Normln"/>
    <w:pPr>
      <w:spacing w:before="100" w:after="100"/>
    </w:pPr>
    <w:rPr>
      <w:rFonts w:ascii="Arial" w:hAnsi="Arial"/>
      <w:b/>
    </w:rPr>
  </w:style>
  <w:style w:type="paragraph" w:customStyle="1" w:styleId="BodyTextIndent3">
    <w:name w:val="Body Text Indent 3"/>
    <w:basedOn w:val="Normln"/>
    <w:pPr>
      <w:ind w:left="708" w:firstLine="708"/>
    </w:pPr>
  </w:style>
  <w:style w:type="paragraph" w:styleId="FormtovanvHTML">
    <w:name w:val="HTML Preformatted"/>
    <w:basedOn w:val="Normln"/>
    <w:rsid w:val="002E7F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000000"/>
      <w:sz w:val="20"/>
    </w:rPr>
  </w:style>
  <w:style w:type="character" w:styleId="Hypertextovodkaz">
    <w:name w:val="Hyperlink"/>
    <w:rsid w:val="000D38BF"/>
    <w:rPr>
      <w:color w:val="0563C1"/>
      <w:u w:val="single"/>
    </w:rPr>
  </w:style>
  <w:style w:type="character" w:customStyle="1" w:styleId="ZhlavChar">
    <w:name w:val="Záhlaví Char"/>
    <w:link w:val="Zhlav"/>
    <w:uiPriority w:val="99"/>
    <w:rsid w:val="000D38BF"/>
  </w:style>
  <w:style w:type="character" w:customStyle="1" w:styleId="ZpatChar">
    <w:name w:val="Zápatí Char"/>
    <w:link w:val="Zpat"/>
    <w:uiPriority w:val="99"/>
    <w:rsid w:val="000D38BF"/>
    <w:rPr>
      <w:sz w:val="24"/>
    </w:rPr>
  </w:style>
  <w:style w:type="character" w:styleId="Odkaznakoment">
    <w:name w:val="annotation reference"/>
    <w:rsid w:val="00F902A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902A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F902AF"/>
  </w:style>
  <w:style w:type="paragraph" w:styleId="Pedmtkomente">
    <w:name w:val="annotation subject"/>
    <w:basedOn w:val="Textkomente"/>
    <w:next w:val="Textkomente"/>
    <w:link w:val="PedmtkomenteChar"/>
    <w:rsid w:val="00F902AF"/>
    <w:rPr>
      <w:b/>
      <w:bCs/>
    </w:rPr>
  </w:style>
  <w:style w:type="character" w:customStyle="1" w:styleId="PedmtkomenteChar">
    <w:name w:val="Předmět komentáře Char"/>
    <w:link w:val="Pedmtkomente"/>
    <w:rsid w:val="00F902AF"/>
    <w:rPr>
      <w:b/>
      <w:bCs/>
    </w:rPr>
  </w:style>
  <w:style w:type="paragraph" w:styleId="Textbubliny">
    <w:name w:val="Balloon Text"/>
    <w:basedOn w:val="Normln"/>
    <w:link w:val="TextbublinyChar"/>
    <w:rsid w:val="00F902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902A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C19A6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F5C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rsid w:val="00E77DE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E77DE9"/>
    <w:rPr>
      <w:sz w:val="24"/>
    </w:rPr>
  </w:style>
  <w:style w:type="paragraph" w:styleId="Podnadpis">
    <w:name w:val="Subtitle"/>
    <w:basedOn w:val="Normln"/>
    <w:link w:val="PodnadpisChar"/>
    <w:qFormat/>
    <w:rsid w:val="00E77DE9"/>
    <w:pPr>
      <w:overflowPunct/>
      <w:autoSpaceDE/>
      <w:autoSpaceDN/>
      <w:adjustRightInd/>
      <w:jc w:val="center"/>
      <w:textAlignment w:val="auto"/>
    </w:pPr>
    <w:rPr>
      <w:b/>
      <w:color w:val="000000"/>
      <w:sz w:val="28"/>
    </w:rPr>
  </w:style>
  <w:style w:type="character" w:customStyle="1" w:styleId="PodnadpisChar">
    <w:name w:val="Podnadpis Char"/>
    <w:link w:val="Podnadpis"/>
    <w:rsid w:val="00E77DE9"/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575</Words>
  <Characters>3394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údaje o firmě  Jiří  Jendryščík  - TechCom</vt:lpstr>
    </vt:vector>
  </TitlesOfParts>
  <Company>TechCom</Company>
  <LinksUpToDate>false</LinksUpToDate>
  <CharactersWithSpaces>3962</CharactersWithSpaces>
  <SharedDoc>false</SharedDoc>
  <HLinks>
    <vt:vector size="6" baseType="variant">
      <vt:variant>
        <vt:i4>8061011</vt:i4>
      </vt:variant>
      <vt:variant>
        <vt:i4>0</vt:i4>
      </vt:variant>
      <vt:variant>
        <vt:i4>0</vt:i4>
      </vt:variant>
      <vt:variant>
        <vt:i4>5</vt:i4>
      </vt:variant>
      <vt:variant>
        <vt:lpwstr>mailto:sekretariat@ctyrlistekostrava.cz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údaje o firmě  Jiří  Jendryščík  - TechCom</dc:title>
  <dc:subject/>
  <dc:creator>Jiří Jendryščík</dc:creator>
  <cp:keywords/>
  <dc:description/>
  <cp:lastModifiedBy>Šatanová Šárka</cp:lastModifiedBy>
  <cp:revision>2</cp:revision>
  <cp:lastPrinted>2007-10-17T07:06:00Z</cp:lastPrinted>
  <dcterms:created xsi:type="dcterms:W3CDTF">2024-08-30T09:02:00Z</dcterms:created>
  <dcterms:modified xsi:type="dcterms:W3CDTF">2024-08-30T09:02:00Z</dcterms:modified>
</cp:coreProperties>
</file>