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3980DF0E" w:rsidR="00D859C2" w:rsidRPr="00842684" w:rsidRDefault="00BB7DC6" w:rsidP="00D859C2">
      <w:pPr>
        <w:rPr>
          <w:b/>
        </w:rPr>
      </w:pPr>
      <w:r w:rsidRPr="00842684">
        <w:rPr>
          <w:b/>
        </w:rPr>
        <w:t>L I N E T spol. s r.o.</w:t>
      </w:r>
    </w:p>
    <w:p w14:paraId="3DADA2B1" w14:textId="6488884B" w:rsidR="00D859C2" w:rsidRPr="00842684" w:rsidRDefault="00D859C2" w:rsidP="00D859C2">
      <w:r w:rsidRPr="00842684">
        <w:t xml:space="preserve">IČ: </w:t>
      </w:r>
      <w:r w:rsidR="00BB7DC6" w:rsidRPr="00842684">
        <w:t>00507814</w:t>
      </w:r>
    </w:p>
    <w:p w14:paraId="494735B8" w14:textId="2E63D2A8" w:rsidR="00D859C2" w:rsidRPr="00842684" w:rsidRDefault="00D859C2" w:rsidP="00D859C2">
      <w:r w:rsidRPr="00842684">
        <w:t xml:space="preserve">DIČ: </w:t>
      </w:r>
      <w:r w:rsidR="00BB7DC6" w:rsidRPr="00842684">
        <w:t>CZ00507814</w:t>
      </w:r>
    </w:p>
    <w:p w14:paraId="4BE4B061" w14:textId="6A94DF36" w:rsidR="00D859C2" w:rsidRPr="00842684" w:rsidRDefault="00D859C2" w:rsidP="00D859C2">
      <w:r w:rsidRPr="00842684">
        <w:t xml:space="preserve">se sídlem:  </w:t>
      </w:r>
      <w:r w:rsidR="00BB7DC6" w:rsidRPr="00842684">
        <w:t>Želevčice 5, 274 01  Slaný</w:t>
      </w:r>
    </w:p>
    <w:p w14:paraId="1F4F5F98" w14:textId="2E5881E0" w:rsidR="00D859C2" w:rsidRPr="00842684" w:rsidRDefault="00D859C2" w:rsidP="00D859C2">
      <w:r w:rsidRPr="00842684">
        <w:t xml:space="preserve">zastoupena: </w:t>
      </w:r>
      <w:r w:rsidR="00AD4F71">
        <w:t>XXX</w:t>
      </w:r>
      <w:r w:rsidR="00BB7DC6" w:rsidRPr="00842684">
        <w:t>, vedoucím podpory obchodu pro ČR, v plné moci</w:t>
      </w:r>
    </w:p>
    <w:p w14:paraId="43130257" w14:textId="39B75017" w:rsidR="00D859C2" w:rsidRPr="00842684" w:rsidRDefault="00D859C2" w:rsidP="00D859C2">
      <w:r w:rsidRPr="00842684">
        <w:t xml:space="preserve">bankovní spojení: </w:t>
      </w:r>
      <w:r w:rsidR="00BB7DC6" w:rsidRPr="00842684">
        <w:t>Komerční banka, a.s.</w:t>
      </w:r>
    </w:p>
    <w:p w14:paraId="4B4D9F51" w14:textId="4336FF52" w:rsidR="00D859C2" w:rsidRPr="00842684" w:rsidRDefault="00D859C2" w:rsidP="00D859C2">
      <w:r w:rsidRPr="00842684">
        <w:t xml:space="preserve">číslo účtu: </w:t>
      </w:r>
      <w:r w:rsidR="00BB7DC6" w:rsidRPr="00842684">
        <w:t>58242141/0100</w:t>
      </w:r>
    </w:p>
    <w:p w14:paraId="7BE5CCD9" w14:textId="17CC142E" w:rsidR="00D859C2" w:rsidRPr="00512AB9" w:rsidRDefault="00D859C2" w:rsidP="00D859C2">
      <w:r w:rsidRPr="00842684">
        <w:t xml:space="preserve">zapsána v obchodním rejstříku vedeném </w:t>
      </w:r>
      <w:r w:rsidR="00BB7DC6" w:rsidRPr="00842684">
        <w:t>Městským</w:t>
      </w:r>
      <w:r w:rsidRPr="00842684">
        <w:t xml:space="preserve"> soudem v </w:t>
      </w:r>
      <w:r w:rsidR="00BB7DC6" w:rsidRPr="00842684">
        <w:t>Praze</w:t>
      </w:r>
      <w:r w:rsidRPr="00842684">
        <w:t xml:space="preserve">, oddíl </w:t>
      </w:r>
      <w:r w:rsidR="00BB7DC6" w:rsidRPr="00842684">
        <w:t>C</w:t>
      </w:r>
      <w:r w:rsidRPr="00842684">
        <w:t xml:space="preserve">, vložka </w:t>
      </w:r>
      <w:r w:rsidR="00BB7DC6" w:rsidRPr="00842684">
        <w:t>163</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6DF09C9"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w:t>
      </w:r>
      <w:r w:rsidRPr="00842684">
        <w:t xml:space="preserve">dokumentací k veřejné zakázce vyhlášené Kupujícím pod názvem </w:t>
      </w:r>
      <w:r w:rsidR="0075325C" w:rsidRPr="00842684">
        <w:t>„</w:t>
      </w:r>
      <w:r w:rsidR="0075325C" w:rsidRPr="00842684">
        <w:rPr>
          <w:b/>
          <w:bCs/>
        </w:rPr>
        <w:t>Lůžka pro pacienty</w:t>
      </w:r>
      <w:r w:rsidR="008A2BB8" w:rsidRPr="00842684">
        <w:rPr>
          <w:b/>
          <w:bCs/>
        </w:rPr>
        <w:t xml:space="preserve"> 2024</w:t>
      </w:r>
      <w:r w:rsidRPr="00842684">
        <w:t xml:space="preserve">“, část </w:t>
      </w:r>
      <w:r w:rsidR="000F4CF4" w:rsidRPr="00842684">
        <w:t>2</w:t>
      </w:r>
      <w:r w:rsidR="0075325C" w:rsidRPr="00842684">
        <w:t xml:space="preserve"> s názvem</w:t>
      </w:r>
      <w:r w:rsidRPr="00842684">
        <w:t xml:space="preserve"> </w:t>
      </w:r>
      <w:r w:rsidR="000F4CF4" w:rsidRPr="00842684">
        <w:t>Křeslo</w:t>
      </w:r>
      <w:r w:rsidR="0075325C" w:rsidRPr="00842684">
        <w:t xml:space="preserve"> </w:t>
      </w:r>
      <w:r w:rsidRPr="00842684">
        <w:t>(dále</w:t>
      </w:r>
      <w:r>
        <w:t xml:space="preserv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0719D17C" w14:textId="13891D47"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8878E9">
        <w:t>platných právních předpisů</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p>
    <w:bookmarkEnd w:id="0"/>
    <w:bookmarkEnd w:id="1"/>
    <w:bookmarkEnd w:id="2"/>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444B6575" w:rsidR="00D86891" w:rsidRPr="00842684" w:rsidRDefault="00142BD2" w:rsidP="00D859C2">
      <w:pPr>
        <w:pStyle w:val="Odstavecsmlouvy"/>
      </w:pPr>
      <w:r w:rsidRPr="00842684">
        <w:t xml:space="preserve">Prodávající se zavazuje dodat </w:t>
      </w:r>
      <w:r w:rsidR="00ED3A3E" w:rsidRPr="00842684">
        <w:t>Kupujícímu</w:t>
      </w:r>
      <w:r w:rsidR="009E1C26" w:rsidRPr="00842684">
        <w:t xml:space="preserve"> </w:t>
      </w:r>
      <w:r w:rsidR="00C56B11" w:rsidRPr="00842684">
        <w:t>1</w:t>
      </w:r>
      <w:r w:rsidR="002F4F30" w:rsidRPr="00842684">
        <w:t xml:space="preserve"> ks </w:t>
      </w:r>
      <w:r w:rsidR="000F4CF4" w:rsidRPr="00842684">
        <w:t xml:space="preserve">multifunkčního </w:t>
      </w:r>
      <w:r w:rsidR="00E70D31" w:rsidRPr="00842684">
        <w:t>k</w:t>
      </w:r>
      <w:r w:rsidR="000F4CF4" w:rsidRPr="00842684">
        <w:t>řesla PURA</w:t>
      </w:r>
      <w:r w:rsidR="00C56B11" w:rsidRPr="00842684">
        <w:t xml:space="preserve"> </w:t>
      </w:r>
      <w:r w:rsidR="008645D8" w:rsidRPr="00842684">
        <w:rPr>
          <w:b/>
        </w:rPr>
        <w:t xml:space="preserve">, typ: </w:t>
      </w:r>
      <w:r w:rsidR="00E70D31" w:rsidRPr="00842684">
        <w:rPr>
          <w:b/>
        </w:rPr>
        <w:t>1ODAA-226</w:t>
      </w:r>
      <w:r w:rsidR="004453FF" w:rsidRPr="00842684">
        <w:rPr>
          <w:b/>
        </w:rPr>
        <w:t xml:space="preserve">, výrobce </w:t>
      </w:r>
      <w:r w:rsidR="00C56B11" w:rsidRPr="00842684">
        <w:rPr>
          <w:b/>
        </w:rPr>
        <w:t>L I N E T spol. s r.o.</w:t>
      </w:r>
      <w:r w:rsidR="004453FF" w:rsidRPr="00842684">
        <w:rPr>
          <w:i/>
        </w:rPr>
        <w:t xml:space="preserve">, </w:t>
      </w:r>
      <w:r w:rsidRPr="00842684">
        <w:t xml:space="preserve">jehož přesná technická specifikace </w:t>
      </w:r>
      <w:r w:rsidR="005371E9" w:rsidRPr="00842684">
        <w:t xml:space="preserve">včetně příslušenství </w:t>
      </w:r>
      <w:r w:rsidRPr="00842684">
        <w:t>je obsažena v příloze č. 1 této smlouvy</w:t>
      </w:r>
      <w:r w:rsidR="008878E9" w:rsidRPr="00842684">
        <w:t xml:space="preserve"> </w:t>
      </w:r>
      <w:r w:rsidRPr="00842684">
        <w:t>tvořící nedílnou součást této smlouvy</w:t>
      </w:r>
      <w:r w:rsidR="00094B12" w:rsidRPr="00842684">
        <w:t xml:space="preserve"> (</w:t>
      </w:r>
      <w:r w:rsidRPr="00842684">
        <w:t>dále jen „</w:t>
      </w:r>
      <w:r w:rsidRPr="00842684">
        <w:rPr>
          <w:b/>
        </w:rPr>
        <w:t>Zboží</w:t>
      </w:r>
      <w:r w:rsidRPr="00842684">
        <w:t>“</w:t>
      </w:r>
      <w:r w:rsidR="00094B12" w:rsidRPr="00842684">
        <w:t>)</w:t>
      </w:r>
      <w:r w:rsidRPr="00842684">
        <w:t>.</w:t>
      </w:r>
    </w:p>
    <w:p w14:paraId="38D9DA03" w14:textId="77777777" w:rsidR="008A2BB8" w:rsidRDefault="008A2BB8" w:rsidP="008A2BB8">
      <w:pPr>
        <w:pStyle w:val="Odstavecsmlouvy"/>
        <w:numPr>
          <w:ilvl w:val="0"/>
          <w:numId w:val="0"/>
        </w:numPr>
        <w:ind w:left="567"/>
      </w:pPr>
    </w:p>
    <w:p w14:paraId="369CB934" w14:textId="660F3279" w:rsidR="008A2BB8" w:rsidRPr="00D859C2" w:rsidRDefault="008A2BB8" w:rsidP="00D859C2">
      <w:pPr>
        <w:pStyle w:val="Odstavecsmlouvy"/>
      </w:pPr>
      <w:r w:rsidRPr="008A2BB8">
        <w:t>Jestliže z přílohy č. 1, ze Zadávací dokumentace nebo z jiných částí této smlouvy</w:t>
      </w:r>
      <w:r>
        <w:t xml:space="preserve"> </w:t>
      </w:r>
      <w:r w:rsidRPr="008A2BB8">
        <w:t>vyplývá, že Prodávající je povinen provést montáž Zboží, je povinen provést montáž Zboží dle čl. V této smlouvy (dále jen „Montáž“).</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lastRenderedPageBreak/>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440201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9F3DAD" w:rsidRPr="009F3DAD">
        <w:rPr>
          <w:b/>
          <w:bCs/>
        </w:rPr>
        <w:t>do</w:t>
      </w:r>
      <w:r w:rsidR="0075325C">
        <w:t xml:space="preserve"> </w:t>
      </w:r>
      <w:r w:rsidR="0075325C" w:rsidRPr="0075325C">
        <w:rPr>
          <w:b/>
          <w:bCs/>
        </w:rPr>
        <w:t>31. října 2024</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0071224B" w14:textId="77777777" w:rsidR="003D55A8" w:rsidRDefault="003F7B02" w:rsidP="00D859C2">
      <w:pPr>
        <w:pStyle w:val="Odstavecsmlouvy"/>
      </w:pPr>
      <w:r w:rsidRPr="00D859C2">
        <w:t xml:space="preserve">Místem dodání Zboží </w:t>
      </w:r>
      <w:r w:rsidR="00D50BBE" w:rsidRPr="00D859C2">
        <w:t>je</w:t>
      </w:r>
      <w:r w:rsidR="003D55A8">
        <w:t>:</w:t>
      </w:r>
    </w:p>
    <w:p w14:paraId="549E7A64" w14:textId="5E75DA5C" w:rsidR="003D55A8" w:rsidRPr="00D859C2" w:rsidRDefault="003D55A8" w:rsidP="003D55A8">
      <w:pPr>
        <w:pStyle w:val="Odstavecsmlouvy"/>
        <w:numPr>
          <w:ilvl w:val="0"/>
          <w:numId w:val="0"/>
        </w:numPr>
        <w:ind w:left="567"/>
      </w:pPr>
      <w:r w:rsidRPr="003D55A8">
        <w:rPr>
          <w:b/>
          <w:bCs/>
        </w:rPr>
        <w:t>- pro část 2:</w:t>
      </w:r>
      <w:r>
        <w:t xml:space="preserve"> </w:t>
      </w:r>
      <w:r w:rsidRPr="003D55A8">
        <w:rPr>
          <w:u w:val="single"/>
        </w:rPr>
        <w:t>Všeobecná interní klinika</w:t>
      </w:r>
      <w:r>
        <w:t>,</w:t>
      </w:r>
      <w:r w:rsidRPr="003D55A8">
        <w:t xml:space="preserve">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E9F512B"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AD4F71">
        <w:t>XXX</w:t>
      </w:r>
      <w:r w:rsidR="003D55A8">
        <w:t>.,</w:t>
      </w:r>
      <w:r w:rsidR="00DE3A3F" w:rsidRPr="00D859C2">
        <w:t xml:space="preserve"> tel.: </w:t>
      </w:r>
      <w:r w:rsidR="00AD4F71">
        <w:t>XXX</w:t>
      </w:r>
      <w:r w:rsidR="00DE3A3F" w:rsidRPr="00D859C2">
        <w:t xml:space="preserve"> a písemně na e-mail: </w:t>
      </w:r>
      <w:r w:rsidR="00AD4F71">
        <w:t>XXX</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4388559" w14:textId="77777777" w:rsidR="00C14073" w:rsidRDefault="008E314A" w:rsidP="00C14073">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 xml:space="preserve">připomínky či výhrady; tyto se však nepovažují za změnu této smlouvy či dodatek k této smlouvě. </w:t>
      </w:r>
      <w:r>
        <w:t xml:space="preserve">Kupující je v předávacím protokolu oprávněn stanovit přiměřenou lhůtu pro odstranění vad a nedodělků, které do předávacího protokolu uvedl. </w:t>
      </w:r>
      <w:r w:rsidRPr="00D859C2">
        <w:t xml:space="preserve">Neuvedení 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0DDD946D" w14:textId="77777777" w:rsidR="00C14073" w:rsidRDefault="00C14073" w:rsidP="00C14073">
      <w:pPr>
        <w:pStyle w:val="Odstavecsmlouvy"/>
        <w:numPr>
          <w:ilvl w:val="0"/>
          <w:numId w:val="0"/>
        </w:numPr>
        <w:ind w:left="567"/>
      </w:pPr>
    </w:p>
    <w:p w14:paraId="75136A75" w14:textId="37608BBD" w:rsidR="00AF2763" w:rsidRDefault="00F83E0D" w:rsidP="00C14073">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rsidR="00C14073">
        <w:t>a</w:t>
      </w:r>
      <w:r w:rsidRPr="00D859C2">
        <w:t xml:space="preserve"> </w:t>
      </w:r>
      <w:r>
        <w:t xml:space="preserve">přechází </w:t>
      </w:r>
      <w:r w:rsidR="00C14073">
        <w:t xml:space="preserve">na Kupujícího </w:t>
      </w:r>
      <w:r w:rsidRPr="00D859C2">
        <w:t>nebezpečí škody na Zboží</w:t>
      </w:r>
      <w:r w:rsidR="00C14073">
        <w:t>.</w:t>
      </w:r>
    </w:p>
    <w:p w14:paraId="08B1E99E" w14:textId="77777777" w:rsidR="00460F14" w:rsidRPr="00D859C2" w:rsidRDefault="00460F14" w:rsidP="00460F14">
      <w:pPr>
        <w:pStyle w:val="Odstavecsmlouvy"/>
        <w:numPr>
          <w:ilvl w:val="0"/>
          <w:numId w:val="0"/>
        </w:numPr>
        <w:ind w:left="567"/>
      </w:pPr>
    </w:p>
    <w:p w14:paraId="75136A76" w14:textId="4AA4F1A5" w:rsidR="00AF2763" w:rsidRPr="00D859C2" w:rsidRDefault="002F4EDA" w:rsidP="00D859C2">
      <w:pPr>
        <w:pStyle w:val="Odstavecsmlouvy"/>
      </w:pPr>
      <w:r w:rsidRPr="00D859C2">
        <w:lastRenderedPageBreak/>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3" w:name="_Ref31278541"/>
      <w:r>
        <w:t>Montáž</w:t>
      </w:r>
      <w:bookmarkEnd w:id="3"/>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w:t>
      </w:r>
      <w:r>
        <w:lastRenderedPageBreak/>
        <w:t>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842684" w14:paraId="6B619276" w14:textId="77777777" w:rsidTr="000E79CE">
        <w:tc>
          <w:tcPr>
            <w:tcW w:w="5211" w:type="dxa"/>
            <w:shd w:val="clear" w:color="auto" w:fill="auto"/>
          </w:tcPr>
          <w:p w14:paraId="77C2CFA8" w14:textId="77777777" w:rsidR="00D859C2" w:rsidRPr="00842684" w:rsidRDefault="00D859C2" w:rsidP="00D859C2">
            <w:pPr>
              <w:pStyle w:val="Zkladntext3"/>
              <w:rPr>
                <w:b/>
                <w:sz w:val="22"/>
                <w:szCs w:val="22"/>
              </w:rPr>
            </w:pPr>
            <w:r w:rsidRPr="00842684">
              <w:rPr>
                <w:b/>
                <w:sz w:val="22"/>
                <w:szCs w:val="22"/>
              </w:rPr>
              <w:t>Kupní cena bez DPH:</w:t>
            </w:r>
          </w:p>
        </w:tc>
        <w:tc>
          <w:tcPr>
            <w:tcW w:w="4253" w:type="dxa"/>
            <w:shd w:val="clear" w:color="auto" w:fill="auto"/>
          </w:tcPr>
          <w:p w14:paraId="07A54C02" w14:textId="595D516E" w:rsidR="00D859C2" w:rsidRPr="00842684" w:rsidRDefault="00E70D31" w:rsidP="000E79CE">
            <w:pPr>
              <w:pStyle w:val="Zkladntext3"/>
              <w:rPr>
                <w:b/>
                <w:sz w:val="22"/>
                <w:szCs w:val="22"/>
              </w:rPr>
            </w:pPr>
            <w:r w:rsidRPr="00842684">
              <w:rPr>
                <w:b/>
                <w:sz w:val="22"/>
                <w:szCs w:val="22"/>
              </w:rPr>
              <w:t>125 971,00</w:t>
            </w:r>
            <w:r w:rsidR="00D859C2" w:rsidRPr="00842684">
              <w:rPr>
                <w:b/>
                <w:sz w:val="22"/>
                <w:szCs w:val="22"/>
              </w:rPr>
              <w:t xml:space="preserve"> Kč</w:t>
            </w:r>
          </w:p>
        </w:tc>
      </w:tr>
      <w:tr w:rsidR="00D859C2" w:rsidRPr="00842684" w14:paraId="33392E42" w14:textId="77777777" w:rsidTr="000E79CE">
        <w:tc>
          <w:tcPr>
            <w:tcW w:w="5211" w:type="dxa"/>
            <w:shd w:val="clear" w:color="auto" w:fill="auto"/>
          </w:tcPr>
          <w:p w14:paraId="193C9961" w14:textId="7E720BDE" w:rsidR="00D859C2" w:rsidRPr="00842684" w:rsidRDefault="00D859C2" w:rsidP="000E79CE">
            <w:pPr>
              <w:pStyle w:val="Zkladntext3"/>
              <w:rPr>
                <w:b/>
                <w:sz w:val="22"/>
                <w:szCs w:val="22"/>
              </w:rPr>
            </w:pPr>
            <w:r w:rsidRPr="00842684">
              <w:rPr>
                <w:b/>
                <w:sz w:val="22"/>
                <w:szCs w:val="22"/>
              </w:rPr>
              <w:t xml:space="preserve">DPH </w:t>
            </w:r>
            <w:r w:rsidR="00DC056A" w:rsidRPr="00842684">
              <w:rPr>
                <w:b/>
                <w:sz w:val="22"/>
                <w:szCs w:val="22"/>
              </w:rPr>
              <w:t>21</w:t>
            </w:r>
            <w:r w:rsidRPr="00842684">
              <w:rPr>
                <w:b/>
                <w:sz w:val="22"/>
                <w:szCs w:val="22"/>
              </w:rPr>
              <w:t xml:space="preserve"> %:</w:t>
            </w:r>
          </w:p>
        </w:tc>
        <w:tc>
          <w:tcPr>
            <w:tcW w:w="4253" w:type="dxa"/>
            <w:shd w:val="clear" w:color="auto" w:fill="auto"/>
          </w:tcPr>
          <w:p w14:paraId="44D4CFEA" w14:textId="6F181BB1" w:rsidR="00D859C2" w:rsidRPr="00842684" w:rsidRDefault="00E70D31" w:rsidP="000E79CE">
            <w:pPr>
              <w:pStyle w:val="Zkladntext3"/>
              <w:rPr>
                <w:b/>
                <w:sz w:val="22"/>
                <w:szCs w:val="22"/>
              </w:rPr>
            </w:pPr>
            <w:r w:rsidRPr="00842684">
              <w:rPr>
                <w:b/>
                <w:sz w:val="22"/>
                <w:szCs w:val="22"/>
              </w:rPr>
              <w:t xml:space="preserve">  26 453,90</w:t>
            </w:r>
            <w:r w:rsidR="00D859C2" w:rsidRPr="00842684">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842684" w:rsidRDefault="00D859C2" w:rsidP="000E79CE">
            <w:pPr>
              <w:pStyle w:val="Zkladntext3"/>
              <w:rPr>
                <w:b/>
                <w:sz w:val="22"/>
                <w:szCs w:val="22"/>
              </w:rPr>
            </w:pPr>
            <w:r w:rsidRPr="00842684">
              <w:rPr>
                <w:b/>
                <w:sz w:val="22"/>
                <w:szCs w:val="22"/>
              </w:rPr>
              <w:t>Kupní cena včetně DPH:</w:t>
            </w:r>
          </w:p>
        </w:tc>
        <w:tc>
          <w:tcPr>
            <w:tcW w:w="4253" w:type="dxa"/>
            <w:shd w:val="clear" w:color="auto" w:fill="auto"/>
          </w:tcPr>
          <w:p w14:paraId="10D9C750" w14:textId="15CB8123" w:rsidR="00D859C2" w:rsidRPr="005B49AA" w:rsidRDefault="00E70D31" w:rsidP="000E79CE">
            <w:pPr>
              <w:pStyle w:val="Zkladntext3"/>
              <w:rPr>
                <w:b/>
                <w:sz w:val="22"/>
                <w:szCs w:val="22"/>
              </w:rPr>
            </w:pPr>
            <w:r w:rsidRPr="00842684">
              <w:rPr>
                <w:b/>
                <w:sz w:val="22"/>
                <w:szCs w:val="22"/>
              </w:rPr>
              <w:t>152 424,91</w:t>
            </w:r>
            <w:r w:rsidR="00D859C2" w:rsidRPr="00842684">
              <w:rPr>
                <w:b/>
                <w:sz w:val="22"/>
                <w:szCs w:val="22"/>
              </w:rPr>
              <w:t xml:space="preserve"> Kč</w:t>
            </w:r>
          </w:p>
        </w:tc>
      </w:tr>
    </w:tbl>
    <w:p w14:paraId="183039AC" w14:textId="77777777" w:rsidR="00D859C2" w:rsidRDefault="00D859C2" w:rsidP="003E4543"/>
    <w:p w14:paraId="5A41E830" w14:textId="503D5F05"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77777777" w:rsidR="008E314A" w:rsidRPr="00D859C2" w:rsidRDefault="008E314A" w:rsidP="008E314A">
      <w:pPr>
        <w:pStyle w:val="Odstavecsmlouvy"/>
        <w:numPr>
          <w:ilvl w:val="1"/>
          <w:numId w:val="2"/>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1" w14:textId="23DE5CBA" w:rsidR="001A3D28" w:rsidRDefault="003E0DE8" w:rsidP="00CA737C">
      <w:pPr>
        <w:pStyle w:val="Odstavecsmlouvy"/>
        <w:numPr>
          <w:ilvl w:val="0"/>
          <w:numId w:val="0"/>
        </w:numPr>
        <w:ind w:left="567"/>
      </w:pPr>
      <w:r w:rsidRPr="00D859C2">
        <w:t xml:space="preserve">Prodávající se zavazuje, že dodané Zboží (vč. veškerých jeho jednotlivých komponent) bude po dobu uvedenou v předaném Záručním listu, nejméně však po dobu </w:t>
      </w:r>
      <w:r w:rsidRPr="00C14073">
        <w:rPr>
          <w:b/>
        </w:rPr>
        <w:t>24 měsíců</w:t>
      </w:r>
      <w:r w:rsidRPr="00D859C2">
        <w:t xml:space="preserve"> ode dne </w:t>
      </w:r>
      <w:r w:rsidR="0009512B">
        <w:t>podpisu předávacího protokolu oběma smluvními stranami (tato doba včetně počátku jejího běhu dále a výše též jen „</w:t>
      </w:r>
      <w:r w:rsidR="0009512B" w:rsidRPr="00C14073">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6066231" w14:textId="77777777" w:rsidR="00C14073" w:rsidRPr="00D859C2" w:rsidRDefault="00C14073" w:rsidP="00CA737C">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4" w:name="_Ref90987783"/>
      <w:r w:rsidRPr="004672FC">
        <w:lastRenderedPageBreak/>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4"/>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69AF38DD"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3B68605D" w:rsidR="0009512B" w:rsidRDefault="00D52AAC" w:rsidP="002B23A2">
      <w:pPr>
        <w:pStyle w:val="Odstavecsmlouvy"/>
      </w:pPr>
      <w:r>
        <w:t xml:space="preserve">V případě prodlení Prodávajícího </w:t>
      </w:r>
      <w:r w:rsidR="0009512B">
        <w:t>se zahájením prací</w:t>
      </w:r>
      <w:r w:rsidR="0009512B" w:rsidRPr="00D859C2">
        <w:t xml:space="preserve"> na odstranění Kupujícím oznámených vad </w:t>
      </w:r>
      <w:r w:rsidR="0009512B">
        <w:t>nebo nedodělků Montáže</w:t>
      </w:r>
      <w:r w:rsidR="0009512B" w:rsidRPr="00D859C2">
        <w:t xml:space="preserve"> </w:t>
      </w:r>
      <w:r w:rsidR="0009512B">
        <w:t xml:space="preserve">je Prodávající povinen </w:t>
      </w:r>
      <w:r w:rsidR="0009512B" w:rsidRPr="00D859C2">
        <w:t xml:space="preserve">uhradit Kupujícímu smluvní pokutu ve výši 0,2% </w:t>
      </w:r>
      <w:r w:rsidR="0009512B">
        <w:t>z celkové kupní ceny včetně</w:t>
      </w:r>
      <w:r w:rsidR="0009512B" w:rsidRPr="00D859C2">
        <w:t xml:space="preserve"> DPH </w:t>
      </w:r>
      <w:r w:rsidR="0009512B">
        <w:t xml:space="preserve">za každý případ a </w:t>
      </w:r>
      <w:r w:rsidR="0009512B" w:rsidRPr="00D859C2">
        <w:t xml:space="preserve">za každý </w:t>
      </w:r>
      <w:r w:rsidR="0009512B">
        <w:t xml:space="preserve">i započatý </w:t>
      </w:r>
      <w:r w:rsidR="0009512B" w:rsidRPr="00D859C2">
        <w:t>den prodlení</w:t>
      </w:r>
      <w:r w:rsidR="0009512B">
        <w:t xml:space="preserve">. V případě prodlení Prodávajícího s odstraněním Kupujícím oznámených vad nebo nedodělků Montáže, tj. v případě </w:t>
      </w:r>
      <w:r w:rsidR="0009512B" w:rsidRPr="00D859C2">
        <w:t xml:space="preserve">prodlení s uvedením </w:t>
      </w:r>
      <w:r w:rsidR="0009512B">
        <w:t>Montáže</w:t>
      </w:r>
      <w:r w:rsidR="0009512B" w:rsidRPr="00D859C2">
        <w:t xml:space="preserve"> do bezvadného stavu</w:t>
      </w:r>
      <w:r w:rsidR="0009512B">
        <w:t xml:space="preserve">, je Prodávající povinen </w:t>
      </w:r>
      <w:r w:rsidR="0009512B" w:rsidRPr="00D859C2">
        <w:t xml:space="preserve">uhradit Kupujícímu smluvní pokutu ve výši 0,2% </w:t>
      </w:r>
      <w:r w:rsidR="0009512B">
        <w:t>z celkové kupní ceny včetně</w:t>
      </w:r>
      <w:r w:rsidR="0009512B" w:rsidRPr="00D859C2">
        <w:t xml:space="preserve"> DPH </w:t>
      </w:r>
      <w:r w:rsidR="0009512B">
        <w:t xml:space="preserve">za každý případ a </w:t>
      </w:r>
      <w:r w:rsidR="0009512B" w:rsidRPr="00D859C2">
        <w:t xml:space="preserve">za každý </w:t>
      </w:r>
      <w:r w:rsidR="0009512B">
        <w:t xml:space="preserve">i započatý </w:t>
      </w:r>
      <w:r w:rsidR="0009512B"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r>
        <w:lastRenderedPageBreak/>
        <w:t>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E30B2DA" w14:textId="77777777" w:rsidR="003D55A8" w:rsidRDefault="003D55A8"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302C72C4" w14:textId="77777777" w:rsidR="003D55A8" w:rsidRPr="00D859C2" w:rsidRDefault="003D55A8"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w:t>
      </w:r>
      <w:r>
        <w:lastRenderedPageBreak/>
        <w:t>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8" w:name="_Ref41464266"/>
      <w:r>
        <w:t>Ochrana osobních údajů a kybernetická bezpečnost</w:t>
      </w:r>
      <w:bookmarkEnd w:id="8"/>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9"/>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0"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0"/>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5"/>
    <w:p w14:paraId="1C52874B" w14:textId="77777777" w:rsidR="004A1880" w:rsidRDefault="004A1880" w:rsidP="004A1880"/>
    <w:p w14:paraId="75136ACC" w14:textId="32B6727A" w:rsidR="00D813B7" w:rsidRPr="00D859C2" w:rsidRDefault="00D813B7" w:rsidP="00094B12">
      <w:pPr>
        <w:pStyle w:val="Nadpis1"/>
      </w:pPr>
      <w:r w:rsidRPr="00D859C2">
        <w:lastRenderedPageBreak/>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3E75BF0" w:rsidR="00327588" w:rsidRPr="00D859C2" w:rsidRDefault="00497922" w:rsidP="00094B12">
      <w:pPr>
        <w:pStyle w:val="Odstavecsmlouvy"/>
        <w:rPr>
          <w:snapToGrid w:val="0"/>
        </w:rPr>
      </w:pPr>
      <w:r>
        <w:rPr>
          <w:snapToGrid w:val="0"/>
        </w:rPr>
        <w:t xml:space="preserve">Tato smlouva je sepsána ve </w:t>
      </w:r>
      <w:r w:rsidR="003D55A8" w:rsidRPr="003D55A8">
        <w:rPr>
          <w:snapToGrid w:val="0"/>
        </w:rPr>
        <w:t>t</w:t>
      </w:r>
      <w:r w:rsidRPr="003D55A8">
        <w:rPr>
          <w:snapToGrid w:val="0"/>
        </w:rPr>
        <w:t>řech vyhotoveních stejné platnosti a závaznosti, přičemž Prodávající obdrží jedno vyhotovení a Kupující obdrží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680E44C4" w:rsidR="0096600E" w:rsidRDefault="0096600E" w:rsidP="0096600E">
      <w:pPr>
        <w:pStyle w:val="Odstavecsmlouvy"/>
        <w:numPr>
          <w:ilvl w:val="0"/>
          <w:numId w:val="14"/>
        </w:numPr>
      </w:pPr>
      <w:r>
        <w:t xml:space="preserve">Příloha č. 1 – </w:t>
      </w:r>
      <w:r w:rsidR="001F26D1">
        <w:t xml:space="preserve"> Detailní s</w:t>
      </w:r>
      <w:r>
        <w:t xml:space="preserve">pecifikace </w:t>
      </w:r>
      <w:r w:rsidR="00F83E0D">
        <w:t>Zboží</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4"/>
        <w:gridCol w:w="999"/>
        <w:gridCol w:w="3792"/>
      </w:tblGrid>
      <w:tr w:rsidR="00094B12" w:rsidRPr="00842684" w14:paraId="3036FF83" w14:textId="77777777" w:rsidTr="00160D16">
        <w:tc>
          <w:tcPr>
            <w:tcW w:w="3802" w:type="dxa"/>
            <w:shd w:val="clear" w:color="auto" w:fill="auto"/>
          </w:tcPr>
          <w:p w14:paraId="69B3B101" w14:textId="03A4671C" w:rsidR="00094B12" w:rsidRPr="00842684" w:rsidRDefault="00094B12" w:rsidP="000E79CE">
            <w:pPr>
              <w:pStyle w:val="slovn"/>
              <w:numPr>
                <w:ilvl w:val="0"/>
                <w:numId w:val="0"/>
              </w:numPr>
              <w:tabs>
                <w:tab w:val="num" w:pos="567"/>
              </w:tabs>
              <w:spacing w:after="0" w:line="280" w:lineRule="atLeast"/>
              <w:jc w:val="left"/>
              <w:rPr>
                <w:sz w:val="22"/>
                <w:szCs w:val="22"/>
              </w:rPr>
            </w:pPr>
            <w:r w:rsidRPr="00842684">
              <w:rPr>
                <w:sz w:val="22"/>
                <w:szCs w:val="22"/>
              </w:rPr>
              <w:t>V </w:t>
            </w:r>
            <w:r w:rsidR="00C56B11" w:rsidRPr="00842684">
              <w:rPr>
                <w:sz w:val="22"/>
                <w:szCs w:val="22"/>
              </w:rPr>
              <w:t>Želevčicích</w:t>
            </w:r>
            <w:r w:rsidRPr="00842684">
              <w:rPr>
                <w:sz w:val="22"/>
                <w:szCs w:val="22"/>
              </w:rPr>
              <w:t xml:space="preserve"> dne</w:t>
            </w:r>
            <w:r w:rsidR="00AD4F71">
              <w:rPr>
                <w:sz w:val="22"/>
                <w:szCs w:val="22"/>
              </w:rPr>
              <w:t xml:space="preserve"> 21.8.2024</w:t>
            </w:r>
          </w:p>
        </w:tc>
        <w:tc>
          <w:tcPr>
            <w:tcW w:w="1030" w:type="dxa"/>
            <w:shd w:val="clear" w:color="auto" w:fill="auto"/>
          </w:tcPr>
          <w:p w14:paraId="2D9A6136" w14:textId="77777777" w:rsidR="00094B12" w:rsidRPr="00842684"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18B02A79" w:rsidR="00094B12" w:rsidRPr="00842684" w:rsidRDefault="00094B12" w:rsidP="000E79CE">
            <w:pPr>
              <w:pStyle w:val="slovn"/>
              <w:numPr>
                <w:ilvl w:val="0"/>
                <w:numId w:val="0"/>
              </w:numPr>
              <w:tabs>
                <w:tab w:val="num" w:pos="567"/>
              </w:tabs>
              <w:spacing w:after="0" w:line="280" w:lineRule="atLeast"/>
              <w:rPr>
                <w:sz w:val="22"/>
                <w:szCs w:val="22"/>
              </w:rPr>
            </w:pPr>
            <w:r w:rsidRPr="00842684">
              <w:rPr>
                <w:sz w:val="22"/>
                <w:szCs w:val="22"/>
              </w:rPr>
              <w:t>V Brně dne</w:t>
            </w:r>
            <w:r w:rsidR="00AD4F71">
              <w:rPr>
                <w:sz w:val="22"/>
                <w:szCs w:val="22"/>
              </w:rPr>
              <w:t xml:space="preserve"> 28.8.2024</w:t>
            </w:r>
          </w:p>
        </w:tc>
      </w:tr>
      <w:tr w:rsidR="00094B12" w:rsidRPr="00842684" w14:paraId="7446DD0B" w14:textId="77777777" w:rsidTr="00160D16">
        <w:tc>
          <w:tcPr>
            <w:tcW w:w="3802" w:type="dxa"/>
            <w:tcBorders>
              <w:bottom w:val="single" w:sz="4" w:space="0" w:color="auto"/>
            </w:tcBorders>
            <w:shd w:val="clear" w:color="auto" w:fill="auto"/>
          </w:tcPr>
          <w:p w14:paraId="48F503C1" w14:textId="77777777" w:rsidR="00094B12" w:rsidRPr="00842684" w:rsidRDefault="00094B12" w:rsidP="000E79CE">
            <w:pPr>
              <w:pStyle w:val="slovn"/>
              <w:numPr>
                <w:ilvl w:val="0"/>
                <w:numId w:val="0"/>
              </w:numPr>
              <w:tabs>
                <w:tab w:val="num" w:pos="567"/>
              </w:tabs>
              <w:spacing w:after="0" w:line="280" w:lineRule="atLeast"/>
              <w:rPr>
                <w:sz w:val="22"/>
                <w:szCs w:val="22"/>
              </w:rPr>
            </w:pPr>
          </w:p>
          <w:p w14:paraId="7A9DE1AB" w14:textId="77777777" w:rsidR="00094B12" w:rsidRPr="00842684"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842684"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842684"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842684"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842684"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3DCD19B8" w:rsidR="00094B12" w:rsidRPr="00842684" w:rsidRDefault="00C56B11" w:rsidP="000E79CE">
            <w:pPr>
              <w:pStyle w:val="slovn"/>
              <w:numPr>
                <w:ilvl w:val="0"/>
                <w:numId w:val="0"/>
              </w:numPr>
              <w:tabs>
                <w:tab w:val="num" w:pos="567"/>
              </w:tabs>
              <w:spacing w:after="0" w:line="280" w:lineRule="atLeast"/>
              <w:jc w:val="center"/>
              <w:rPr>
                <w:b/>
                <w:sz w:val="22"/>
                <w:szCs w:val="22"/>
              </w:rPr>
            </w:pPr>
            <w:r w:rsidRPr="00842684">
              <w:rPr>
                <w:b/>
                <w:sz w:val="22"/>
                <w:szCs w:val="22"/>
              </w:rPr>
              <w:t>L I N E T spol. s r.o.</w:t>
            </w:r>
          </w:p>
          <w:p w14:paraId="17D23793" w14:textId="370B13A3" w:rsidR="00094B12" w:rsidRPr="00842684" w:rsidRDefault="00AD4F71" w:rsidP="000E79CE">
            <w:pPr>
              <w:pStyle w:val="slovn"/>
              <w:numPr>
                <w:ilvl w:val="0"/>
                <w:numId w:val="0"/>
              </w:numPr>
              <w:tabs>
                <w:tab w:val="num" w:pos="567"/>
              </w:tabs>
              <w:spacing w:after="0" w:line="280" w:lineRule="atLeast"/>
              <w:jc w:val="center"/>
              <w:rPr>
                <w:sz w:val="22"/>
                <w:szCs w:val="22"/>
              </w:rPr>
            </w:pPr>
            <w:r>
              <w:rPr>
                <w:sz w:val="22"/>
                <w:szCs w:val="22"/>
              </w:rPr>
              <w:t>XXX</w:t>
            </w:r>
            <w:r w:rsidR="00C56B11" w:rsidRPr="00842684">
              <w:rPr>
                <w:sz w:val="22"/>
                <w:szCs w:val="22"/>
              </w:rPr>
              <w:t>, vedoucí podpory obchodu pro ČR, v plné moci</w:t>
            </w:r>
          </w:p>
        </w:tc>
        <w:tc>
          <w:tcPr>
            <w:tcW w:w="1030" w:type="dxa"/>
            <w:shd w:val="clear" w:color="auto" w:fill="auto"/>
          </w:tcPr>
          <w:p w14:paraId="76AACDED" w14:textId="77777777" w:rsidR="00094B12" w:rsidRPr="00842684"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842684" w:rsidRDefault="00094B12" w:rsidP="000E79CE">
            <w:pPr>
              <w:pStyle w:val="slovn"/>
              <w:numPr>
                <w:ilvl w:val="0"/>
                <w:numId w:val="0"/>
              </w:numPr>
              <w:tabs>
                <w:tab w:val="num" w:pos="567"/>
              </w:tabs>
              <w:spacing w:after="0" w:line="280" w:lineRule="atLeast"/>
              <w:jc w:val="center"/>
              <w:rPr>
                <w:b/>
                <w:sz w:val="22"/>
                <w:szCs w:val="22"/>
              </w:rPr>
            </w:pPr>
            <w:r w:rsidRPr="00842684">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842684">
              <w:rPr>
                <w:sz w:val="22"/>
                <w:szCs w:val="22"/>
              </w:rPr>
              <w:t xml:space="preserve">MUDr. </w:t>
            </w:r>
            <w:r w:rsidR="00F83E0D" w:rsidRPr="00842684">
              <w:rPr>
                <w:sz w:val="22"/>
                <w:szCs w:val="22"/>
              </w:rPr>
              <w:t>Ivo Rovný</w:t>
            </w:r>
            <w:r w:rsidRPr="00842684">
              <w:rPr>
                <w:sz w:val="22"/>
                <w:szCs w:val="22"/>
              </w:rPr>
              <w:t xml:space="preserve">, </w:t>
            </w:r>
            <w:r w:rsidR="00F83E0D" w:rsidRPr="00842684">
              <w:rPr>
                <w:sz w:val="22"/>
                <w:szCs w:val="22"/>
              </w:rPr>
              <w:t>MBA</w:t>
            </w:r>
            <w:r w:rsidRPr="00842684">
              <w:rPr>
                <w:sz w:val="22"/>
                <w:szCs w:val="22"/>
              </w:rPr>
              <w:t>, ředitel</w:t>
            </w:r>
          </w:p>
        </w:tc>
      </w:tr>
    </w:tbl>
    <w:p w14:paraId="604209E6" w14:textId="77777777" w:rsidR="00222AEA"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E4DBEEA"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AF202E3"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BB9FD42"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96D3BAF"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78F55DF"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E743D89"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3290BB3"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384B9DC"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3EBFB78"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2F54EF"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F0CD1AB"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4D2194A"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C2A8449"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76862E8"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935709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B55177C"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397BA07"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E8DB8F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7707847"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C1B2062"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104D55F"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22D6A45"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AE7AF17"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64F8AC3"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AA4B21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74CF4C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15FC784"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F85EAE1"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58F081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0C648C6"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D515159"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06B5489"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E769869"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341B725"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4058388"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BC4AEC2"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5301B42"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8EFBC2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0D36487"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4261EB0"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E0E9F5A"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151BA14"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34B9107"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E12AF41"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A24C192"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F785DCD" w14:textId="77777777" w:rsidR="00C14073"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C6A3BDA" w14:textId="77777777" w:rsidR="00652862" w:rsidRDefault="0065286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8F36484" w14:textId="77777777" w:rsidR="00C14073" w:rsidRPr="00D859C2" w:rsidRDefault="00C1407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869C330" w14:textId="73008C1C" w:rsidR="00094B12" w:rsidRPr="000729CF" w:rsidRDefault="00094B12" w:rsidP="003D55A8">
      <w:pPr>
        <w:spacing w:line="240" w:lineRule="auto"/>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BB5E0C3" w:rsidR="00094B12" w:rsidRDefault="00094B12" w:rsidP="00094B12">
      <w:pPr>
        <w:jc w:val="center"/>
        <w:rPr>
          <w:b/>
        </w:rPr>
      </w:pPr>
      <w:r w:rsidRPr="000729CF">
        <w:rPr>
          <w:b/>
        </w:rPr>
        <w:t xml:space="preserve">Detailní specifikace </w:t>
      </w:r>
      <w:r w:rsidR="00F83E0D">
        <w:rPr>
          <w:b/>
        </w:rPr>
        <w:t>Zboží</w:t>
      </w:r>
    </w:p>
    <w:p w14:paraId="46EF4B78" w14:textId="77777777" w:rsidR="00094B12" w:rsidRDefault="00094B12" w:rsidP="00094B12"/>
    <w:p w14:paraId="21FA4BDD" w14:textId="3565E23B" w:rsidR="009049EA" w:rsidRPr="009049EA" w:rsidRDefault="009049EA" w:rsidP="009049EA">
      <w:pPr>
        <w:autoSpaceDE w:val="0"/>
        <w:autoSpaceDN w:val="0"/>
        <w:adjustRightInd w:val="0"/>
        <w:spacing w:line="240" w:lineRule="auto"/>
        <w:jc w:val="left"/>
        <w:rPr>
          <w:rFonts w:eastAsia="Calibri"/>
          <w:color w:val="000000"/>
        </w:rPr>
      </w:pPr>
      <w:r w:rsidRPr="009049EA">
        <w:rPr>
          <w:rFonts w:eastAsia="Calibri"/>
          <w:b/>
          <w:bCs/>
          <w:color w:val="000000"/>
        </w:rPr>
        <w:t xml:space="preserve">Část č. 2: Křeslo </w:t>
      </w:r>
      <w:r>
        <w:rPr>
          <w:rFonts w:eastAsia="Calibri"/>
          <w:b/>
          <w:bCs/>
          <w:color w:val="000000"/>
        </w:rPr>
        <w:t>- Pura</w:t>
      </w:r>
    </w:p>
    <w:p w14:paraId="1A3D0EAA" w14:textId="2F2B8388" w:rsidR="009049EA" w:rsidRPr="009049EA" w:rsidRDefault="009049EA" w:rsidP="009049EA">
      <w:pPr>
        <w:autoSpaceDE w:val="0"/>
        <w:autoSpaceDN w:val="0"/>
        <w:adjustRightInd w:val="0"/>
        <w:spacing w:line="240" w:lineRule="auto"/>
        <w:jc w:val="left"/>
        <w:rPr>
          <w:rFonts w:eastAsia="Calibri"/>
          <w:color w:val="000000"/>
        </w:rPr>
      </w:pPr>
      <w:r>
        <w:t xml:space="preserve">    • </w:t>
      </w:r>
      <w:r w:rsidRPr="009049EA">
        <w:rPr>
          <w:rFonts w:eastAsia="Calibri"/>
          <w:b/>
          <w:bCs/>
          <w:i/>
          <w:iCs/>
          <w:color w:val="000000"/>
        </w:rPr>
        <w:t>1</w:t>
      </w:r>
      <w:r>
        <w:rPr>
          <w:rFonts w:eastAsia="Calibri"/>
          <w:b/>
          <w:bCs/>
          <w:i/>
          <w:iCs/>
          <w:color w:val="000000"/>
        </w:rPr>
        <w:t xml:space="preserve"> </w:t>
      </w:r>
      <w:r w:rsidRPr="009049EA">
        <w:rPr>
          <w:rFonts w:eastAsia="Calibri"/>
          <w:b/>
          <w:bCs/>
          <w:i/>
          <w:iCs/>
          <w:color w:val="000000"/>
        </w:rPr>
        <w:t xml:space="preserve"> ks – Všeobecná interní klinika </w:t>
      </w:r>
    </w:p>
    <w:p w14:paraId="6B3FA34F" w14:textId="4B4726FF" w:rsidR="009049EA" w:rsidRDefault="009049EA" w:rsidP="009049EA">
      <w:pPr>
        <w:autoSpaceDE w:val="0"/>
        <w:autoSpaceDN w:val="0"/>
        <w:adjustRightInd w:val="0"/>
        <w:spacing w:line="240" w:lineRule="auto"/>
        <w:jc w:val="left"/>
        <w:rPr>
          <w:rFonts w:eastAsia="Calibri"/>
          <w:color w:val="000000"/>
        </w:rPr>
      </w:pPr>
      <w:r>
        <w:t xml:space="preserve">    • s</w:t>
      </w:r>
      <w:r>
        <w:rPr>
          <w:rFonts w:eastAsia="Calibri"/>
          <w:color w:val="000000"/>
        </w:rPr>
        <w:t>tabilní a jednoduše čistitelná sloupová konstrukce křesla</w:t>
      </w:r>
    </w:p>
    <w:p w14:paraId="31134DEE" w14:textId="0F16078E" w:rsidR="009049EA" w:rsidRDefault="009049EA" w:rsidP="009049EA">
      <w:pPr>
        <w:autoSpaceDE w:val="0"/>
        <w:autoSpaceDN w:val="0"/>
        <w:adjustRightInd w:val="0"/>
        <w:spacing w:line="240" w:lineRule="auto"/>
        <w:jc w:val="left"/>
        <w:rPr>
          <w:rFonts w:eastAsia="Calibri"/>
          <w:color w:val="000000"/>
        </w:rPr>
      </w:pPr>
      <w:r>
        <w:t xml:space="preserve">    • </w:t>
      </w:r>
      <w:r>
        <w:rPr>
          <w:rFonts w:eastAsia="Calibri"/>
          <w:color w:val="000000"/>
        </w:rPr>
        <w:t>antibakteriální bezešvé polstrování</w:t>
      </w:r>
    </w:p>
    <w:p w14:paraId="73545FE2" w14:textId="54511A4E" w:rsidR="009049EA" w:rsidRDefault="009049EA" w:rsidP="009049EA">
      <w:pPr>
        <w:autoSpaceDE w:val="0"/>
        <w:autoSpaceDN w:val="0"/>
        <w:adjustRightInd w:val="0"/>
        <w:spacing w:line="240" w:lineRule="auto"/>
        <w:jc w:val="left"/>
        <w:rPr>
          <w:rFonts w:eastAsia="Calibri"/>
          <w:color w:val="000000"/>
        </w:rPr>
      </w:pPr>
      <w:r>
        <w:t xml:space="preserve">    • </w:t>
      </w:r>
      <w:r>
        <w:rPr>
          <w:rFonts w:eastAsia="Calibri"/>
          <w:color w:val="000000"/>
        </w:rPr>
        <w:t>mobilní, s centrální brzdou, průměr koleček minimálně 100 mm</w:t>
      </w:r>
    </w:p>
    <w:p w14:paraId="3B156927" w14:textId="12F9E945" w:rsidR="009049EA" w:rsidRPr="009049EA" w:rsidRDefault="009049EA" w:rsidP="009049EA">
      <w:pPr>
        <w:autoSpaceDE w:val="0"/>
        <w:autoSpaceDN w:val="0"/>
        <w:adjustRightInd w:val="0"/>
        <w:spacing w:line="240" w:lineRule="auto"/>
        <w:jc w:val="left"/>
        <w:rPr>
          <w:rFonts w:eastAsia="Calibri"/>
          <w:color w:val="000000"/>
        </w:rPr>
      </w:pPr>
      <w:r>
        <w:t xml:space="preserve">    • </w:t>
      </w:r>
      <w:r>
        <w:rPr>
          <w:rFonts w:eastAsia="Calibri"/>
          <w:color w:val="000000"/>
        </w:rPr>
        <w:t>bezpečné pracovní zatízení minimálně 200 kg</w:t>
      </w:r>
    </w:p>
    <w:p w14:paraId="741ECE0F" w14:textId="6A5647F0" w:rsidR="009049EA" w:rsidRDefault="009049EA" w:rsidP="009049EA">
      <w:pPr>
        <w:ind w:left="284" w:hanging="5"/>
      </w:pPr>
      <w:r>
        <w:t>• rozměry ložné plochy minimálně 210 x 59 cm</w:t>
      </w:r>
    </w:p>
    <w:p w14:paraId="503E0EC1" w14:textId="6496A31A" w:rsidR="009049EA" w:rsidRDefault="009049EA" w:rsidP="009049EA">
      <w:pPr>
        <w:ind w:left="284" w:hanging="5"/>
      </w:pPr>
      <w:r>
        <w:t>• vnější rozměry maximálně 220 x 90 cm</w:t>
      </w:r>
    </w:p>
    <w:p w14:paraId="1B4EA126" w14:textId="01EC4630" w:rsidR="009049EA" w:rsidRDefault="009049EA" w:rsidP="009049EA">
      <w:pPr>
        <w:ind w:left="284" w:hanging="5"/>
      </w:pPr>
      <w:r>
        <w:t>• zdvih ložné plochy pomocí elektromotoru minimálně v rozsahu 55-90 cm pro bezpečný nástup a ergonomickou polohu pro personál</w:t>
      </w:r>
    </w:p>
    <w:p w14:paraId="48B3F1F3" w14:textId="1286A045" w:rsidR="009049EA" w:rsidRDefault="009049EA" w:rsidP="009049EA">
      <w:pPr>
        <w:ind w:left="284" w:hanging="5"/>
      </w:pPr>
      <w:r>
        <w:t>• polohování zádového dílu minimálně 70°</w:t>
      </w:r>
    </w:p>
    <w:p w14:paraId="07EB4D18" w14:textId="2F6535EF" w:rsidR="009049EA" w:rsidRDefault="009049EA" w:rsidP="009049EA">
      <w:pPr>
        <w:ind w:left="284" w:hanging="5"/>
      </w:pPr>
      <w:r>
        <w:t>• polohování nožního dílu minimálně 30°</w:t>
      </w:r>
    </w:p>
    <w:p w14:paraId="2EE225E9" w14:textId="04614580" w:rsidR="009049EA" w:rsidRDefault="009049EA" w:rsidP="009049EA">
      <w:pPr>
        <w:ind w:left="284" w:hanging="5"/>
      </w:pPr>
      <w:r>
        <w:t>• plně elektricky polohovatelná ložná plocha - náklon ložné plochy, zádový a pánevní a díl polohovatelný nezávisle pomocí elektromotorů</w:t>
      </w:r>
    </w:p>
    <w:p w14:paraId="72F8C1A3" w14:textId="6CE1CDF7" w:rsidR="009049EA" w:rsidRDefault="009049EA" w:rsidP="009049EA">
      <w:pPr>
        <w:ind w:left="284" w:hanging="5"/>
      </w:pPr>
      <w:r>
        <w:t>• mechanické, snadno dostupné CPR</w:t>
      </w:r>
    </w:p>
    <w:p w14:paraId="7056E08D" w14:textId="09014195" w:rsidR="009049EA" w:rsidRDefault="009049EA" w:rsidP="009049EA">
      <w:pPr>
        <w:ind w:left="284" w:hanging="5"/>
      </w:pPr>
      <w:r>
        <w:t>• integrovaná opěra nohou, nastavitelná</w:t>
      </w:r>
    </w:p>
    <w:p w14:paraId="7B13D18D" w14:textId="2A4AA42D" w:rsidR="009049EA" w:rsidRDefault="009049EA" w:rsidP="009049EA">
      <w:pPr>
        <w:ind w:left="284" w:hanging="5"/>
      </w:pPr>
      <w:r>
        <w:t>• integrovaný plastové spustitelné postranice po obou stranách křesla</w:t>
      </w:r>
    </w:p>
    <w:p w14:paraId="09E4E76C" w14:textId="246AD097" w:rsidR="009049EA" w:rsidRDefault="009049EA" w:rsidP="009049EA">
      <w:pPr>
        <w:ind w:left="284" w:hanging="5"/>
      </w:pPr>
      <w:r>
        <w:t>• ruční ovladač s ochranou proti nechtěnému polohování (aktivační tlačítko) a přednaprogramovanými polohami minimálně Trendelenburg (minimálně 12°), nástupní poloha a horizontální poloha</w:t>
      </w:r>
    </w:p>
    <w:p w14:paraId="5AB2EE12" w14:textId="5E5AA2EC" w:rsidR="009049EA" w:rsidRDefault="009049EA" w:rsidP="009049EA">
      <w:pPr>
        <w:ind w:left="284" w:hanging="5"/>
      </w:pPr>
      <w:r>
        <w:t>• integrovaná matrace tloušťky minimálně 10 cm</w:t>
      </w:r>
    </w:p>
    <w:p w14:paraId="24F2046A" w14:textId="015D3D07" w:rsidR="009049EA" w:rsidRDefault="009049EA" w:rsidP="009049EA">
      <w:pPr>
        <w:ind w:left="284" w:hanging="5"/>
      </w:pPr>
      <w:r>
        <w:t>• oboustranně integrovaný držák na infuzní stojan – výklopný</w:t>
      </w:r>
    </w:p>
    <w:p w14:paraId="61B98B88" w14:textId="61BC59AA" w:rsidR="009049EA" w:rsidRDefault="009049EA" w:rsidP="009049EA">
      <w:pPr>
        <w:ind w:left="284" w:hanging="5"/>
      </w:pPr>
      <w:r>
        <w:t>• infuzní stojan, výškově stavitelný</w:t>
      </w:r>
    </w:p>
    <w:p w14:paraId="516E4697" w14:textId="5CE425A1" w:rsidR="009049EA" w:rsidRDefault="009049EA" w:rsidP="009049EA">
      <w:pPr>
        <w:ind w:left="284" w:hanging="5"/>
      </w:pPr>
      <w:r>
        <w:t>• držák role papíru</w:t>
      </w:r>
    </w:p>
    <w:p w14:paraId="50A2ECBB" w14:textId="6E6C834E" w:rsidR="009049EA" w:rsidRDefault="009049EA" w:rsidP="009049EA">
      <w:pPr>
        <w:ind w:left="284" w:hanging="5"/>
      </w:pPr>
      <w:r>
        <w:t>• svod elektrického potenciálu, kroucený přívodní kabel</w:t>
      </w:r>
    </w:p>
    <w:p w14:paraId="3F806710" w14:textId="073FFC4A" w:rsidR="00A05D45" w:rsidRDefault="00A05D45" w:rsidP="009049EA">
      <w:pPr>
        <w:ind w:left="284" w:hanging="5"/>
      </w:pPr>
    </w:p>
    <w:p w14:paraId="351C0C60" w14:textId="42159BB4" w:rsidR="00A05D45" w:rsidRDefault="00A05D45">
      <w:pPr>
        <w:spacing w:line="240" w:lineRule="auto"/>
        <w:jc w:val="left"/>
      </w:pPr>
    </w:p>
    <w:sectPr w:rsidR="00A05D45" w:rsidSect="00D071E8">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320124"/>
      <w:docPartObj>
        <w:docPartGallery w:val="Page Numbers (Bottom of Page)"/>
        <w:docPartUnique/>
      </w:docPartObj>
    </w:sdtPr>
    <w:sdtEndPr>
      <w:rPr>
        <w:rFonts w:ascii="Arial" w:hAnsi="Arial"/>
        <w:sz w:val="20"/>
        <w:szCs w:val="20"/>
      </w:rPr>
    </w:sdtEndPr>
    <w:sdtContent>
      <w:p w14:paraId="456928CB" w14:textId="7BC88F2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842684" w:rsidRPr="00842684">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A9DC" w14:textId="5DA168B0" w:rsidR="00842684" w:rsidRPr="00842684" w:rsidRDefault="00842684">
    <w:pPr>
      <w:pStyle w:val="Zhlav"/>
      <w:rPr>
        <w:lang w:val="cs-CZ"/>
      </w:rPr>
    </w:pPr>
    <w:r>
      <w:rPr>
        <w:lang w:val="cs-CZ"/>
      </w:rPr>
      <w:tab/>
    </w:r>
    <w:r>
      <w:rPr>
        <w:lang w:val="cs-CZ"/>
      </w:rPr>
      <w:tab/>
      <w:t>KP/2682/2024/Mc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8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B91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B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5458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6D348E"/>
    <w:multiLevelType w:val="hybridMultilevel"/>
    <w:tmpl w:val="85081726"/>
    <w:lvl w:ilvl="0" w:tplc="4ED0D6A4">
      <w:start w:val="1"/>
      <w:numFmt w:val="decimal"/>
      <w:lvlText w:val="%1."/>
      <w:lvlJc w:val="left"/>
      <w:pPr>
        <w:ind w:left="720" w:hanging="360"/>
      </w:pPr>
    </w:lvl>
    <w:lvl w:ilvl="1" w:tplc="D452F288">
      <w:start w:val="9"/>
      <w:numFmt w:val="upperLetter"/>
      <w:lvlText w:val="%2.1"/>
      <w:lvlJc w:val="left"/>
      <w:pPr>
        <w:ind w:left="1440" w:hanging="360"/>
      </w:pPr>
    </w:lvl>
    <w:lvl w:ilvl="2" w:tplc="E9D8AA58">
      <w:start w:val="1"/>
      <w:numFmt w:val="lowerRoman"/>
      <w:lvlText w:val="%3."/>
      <w:lvlJc w:val="right"/>
      <w:pPr>
        <w:ind w:left="2160" w:hanging="180"/>
      </w:pPr>
    </w:lvl>
    <w:lvl w:ilvl="3" w:tplc="642C703C">
      <w:start w:val="1"/>
      <w:numFmt w:val="decimal"/>
      <w:lvlText w:val="%4."/>
      <w:lvlJc w:val="left"/>
      <w:pPr>
        <w:ind w:left="2880" w:hanging="360"/>
      </w:pPr>
    </w:lvl>
    <w:lvl w:ilvl="4" w:tplc="1F30E5D4">
      <w:start w:val="1"/>
      <w:numFmt w:val="lowerLetter"/>
      <w:lvlText w:val="%5."/>
      <w:lvlJc w:val="left"/>
      <w:pPr>
        <w:ind w:left="3600" w:hanging="360"/>
      </w:pPr>
    </w:lvl>
    <w:lvl w:ilvl="5" w:tplc="9B6613AA">
      <w:start w:val="1"/>
      <w:numFmt w:val="lowerRoman"/>
      <w:lvlText w:val="%6."/>
      <w:lvlJc w:val="right"/>
      <w:pPr>
        <w:ind w:left="4320" w:hanging="180"/>
      </w:pPr>
    </w:lvl>
    <w:lvl w:ilvl="6" w:tplc="BB14A078">
      <w:start w:val="1"/>
      <w:numFmt w:val="decimal"/>
      <w:lvlText w:val="%7."/>
      <w:lvlJc w:val="left"/>
      <w:pPr>
        <w:ind w:left="5040" w:hanging="360"/>
      </w:pPr>
    </w:lvl>
    <w:lvl w:ilvl="7" w:tplc="89D63FCE">
      <w:start w:val="1"/>
      <w:numFmt w:val="lowerLetter"/>
      <w:lvlText w:val="%8."/>
      <w:lvlJc w:val="left"/>
      <w:pPr>
        <w:ind w:left="5760" w:hanging="360"/>
      </w:pPr>
    </w:lvl>
    <w:lvl w:ilvl="8" w:tplc="384E8AF2">
      <w:start w:val="1"/>
      <w:numFmt w:val="lowerRoman"/>
      <w:lvlText w:val="%9."/>
      <w:lvlJc w:val="right"/>
      <w:pPr>
        <w:ind w:left="6480" w:hanging="180"/>
      </w:pPr>
    </w:lvl>
  </w:abstractNum>
  <w:abstractNum w:abstractNumId="10"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8B09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314112">
    <w:abstractNumId w:val="9"/>
  </w:num>
  <w:num w:numId="2" w16cid:durableId="640117808">
    <w:abstractNumId w:val="10"/>
  </w:num>
  <w:num w:numId="3" w16cid:durableId="137692824">
    <w:abstractNumId w:val="10"/>
  </w:num>
  <w:num w:numId="4" w16cid:durableId="184751355">
    <w:abstractNumId w:val="15"/>
  </w:num>
  <w:num w:numId="5" w16cid:durableId="147595481">
    <w:abstractNumId w:val="11"/>
  </w:num>
  <w:num w:numId="6" w16cid:durableId="2029283728">
    <w:abstractNumId w:val="5"/>
  </w:num>
  <w:num w:numId="7" w16cid:durableId="1229806532">
    <w:abstractNumId w:val="8"/>
  </w:num>
  <w:num w:numId="8" w16cid:durableId="1622691919">
    <w:abstractNumId w:val="16"/>
  </w:num>
  <w:num w:numId="9" w16cid:durableId="284433223">
    <w:abstractNumId w:val="7"/>
  </w:num>
  <w:num w:numId="10" w16cid:durableId="1420366479">
    <w:abstractNumId w:val="13"/>
  </w:num>
  <w:num w:numId="11" w16cid:durableId="2017804586">
    <w:abstractNumId w:val="14"/>
  </w:num>
  <w:num w:numId="12" w16cid:durableId="1466004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98">
    <w:abstractNumId w:val="10"/>
  </w:num>
  <w:num w:numId="14" w16cid:durableId="367686286">
    <w:abstractNumId w:val="4"/>
  </w:num>
  <w:num w:numId="15" w16cid:durableId="649478836">
    <w:abstractNumId w:val="6"/>
  </w:num>
  <w:num w:numId="16" w16cid:durableId="479614502">
    <w:abstractNumId w:val="2"/>
  </w:num>
  <w:num w:numId="17" w16cid:durableId="1381321453">
    <w:abstractNumId w:val="1"/>
  </w:num>
  <w:num w:numId="18" w16cid:durableId="635334784">
    <w:abstractNumId w:val="3"/>
  </w:num>
  <w:num w:numId="19" w16cid:durableId="1190602347">
    <w:abstractNumId w:val="0"/>
  </w:num>
  <w:num w:numId="20" w16cid:durableId="169006338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3E41"/>
    <w:rsid w:val="000B5BF7"/>
    <w:rsid w:val="000B5E9D"/>
    <w:rsid w:val="000C21E4"/>
    <w:rsid w:val="000C5A3D"/>
    <w:rsid w:val="000C69B9"/>
    <w:rsid w:val="000C793B"/>
    <w:rsid w:val="000D020E"/>
    <w:rsid w:val="000D0498"/>
    <w:rsid w:val="000E0867"/>
    <w:rsid w:val="000F4C59"/>
    <w:rsid w:val="000F4CF4"/>
    <w:rsid w:val="00113B40"/>
    <w:rsid w:val="0011715F"/>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3307"/>
    <w:rsid w:val="00196060"/>
    <w:rsid w:val="00196288"/>
    <w:rsid w:val="001966F7"/>
    <w:rsid w:val="001A2256"/>
    <w:rsid w:val="001A3D28"/>
    <w:rsid w:val="001B4519"/>
    <w:rsid w:val="001C56A5"/>
    <w:rsid w:val="001D1D81"/>
    <w:rsid w:val="001D38E0"/>
    <w:rsid w:val="001D3902"/>
    <w:rsid w:val="001D3F7C"/>
    <w:rsid w:val="001D4983"/>
    <w:rsid w:val="001D6C04"/>
    <w:rsid w:val="001D7781"/>
    <w:rsid w:val="001E485C"/>
    <w:rsid w:val="001F13BA"/>
    <w:rsid w:val="001F2069"/>
    <w:rsid w:val="001F26D1"/>
    <w:rsid w:val="001F6852"/>
    <w:rsid w:val="00202E4E"/>
    <w:rsid w:val="002039E1"/>
    <w:rsid w:val="00222AEA"/>
    <w:rsid w:val="00233A39"/>
    <w:rsid w:val="00236BD3"/>
    <w:rsid w:val="002373A7"/>
    <w:rsid w:val="00243FE4"/>
    <w:rsid w:val="002456A0"/>
    <w:rsid w:val="0024767F"/>
    <w:rsid w:val="00250E90"/>
    <w:rsid w:val="00250F85"/>
    <w:rsid w:val="0025204E"/>
    <w:rsid w:val="0025616B"/>
    <w:rsid w:val="002575A6"/>
    <w:rsid w:val="00271FDF"/>
    <w:rsid w:val="00274255"/>
    <w:rsid w:val="00277ACF"/>
    <w:rsid w:val="002812F7"/>
    <w:rsid w:val="002834BC"/>
    <w:rsid w:val="00283E98"/>
    <w:rsid w:val="00290EF9"/>
    <w:rsid w:val="002943FF"/>
    <w:rsid w:val="0029524D"/>
    <w:rsid w:val="00296488"/>
    <w:rsid w:val="00297406"/>
    <w:rsid w:val="00297EE2"/>
    <w:rsid w:val="002A29DA"/>
    <w:rsid w:val="002A4107"/>
    <w:rsid w:val="002B65D4"/>
    <w:rsid w:val="002C2981"/>
    <w:rsid w:val="002C7AE0"/>
    <w:rsid w:val="002D73C9"/>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55A8"/>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6CF3"/>
    <w:rsid w:val="00457F76"/>
    <w:rsid w:val="00460F14"/>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010B"/>
    <w:rsid w:val="005153A4"/>
    <w:rsid w:val="0051540C"/>
    <w:rsid w:val="005203B5"/>
    <w:rsid w:val="00521953"/>
    <w:rsid w:val="005371E9"/>
    <w:rsid w:val="00546C21"/>
    <w:rsid w:val="005515B0"/>
    <w:rsid w:val="00560C16"/>
    <w:rsid w:val="00563528"/>
    <w:rsid w:val="00571D58"/>
    <w:rsid w:val="005757BA"/>
    <w:rsid w:val="00584316"/>
    <w:rsid w:val="0058691F"/>
    <w:rsid w:val="00586BB3"/>
    <w:rsid w:val="005A31F8"/>
    <w:rsid w:val="005A3B45"/>
    <w:rsid w:val="005A6D97"/>
    <w:rsid w:val="005B2308"/>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2862"/>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45DFB"/>
    <w:rsid w:val="0075205D"/>
    <w:rsid w:val="0075325C"/>
    <w:rsid w:val="00775695"/>
    <w:rsid w:val="00787C20"/>
    <w:rsid w:val="00794661"/>
    <w:rsid w:val="0079592F"/>
    <w:rsid w:val="007A084F"/>
    <w:rsid w:val="007A639D"/>
    <w:rsid w:val="007A70F3"/>
    <w:rsid w:val="007C213B"/>
    <w:rsid w:val="007C2A6B"/>
    <w:rsid w:val="007C51E5"/>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684"/>
    <w:rsid w:val="00842E4D"/>
    <w:rsid w:val="00842E64"/>
    <w:rsid w:val="008510BD"/>
    <w:rsid w:val="0085307C"/>
    <w:rsid w:val="008645D8"/>
    <w:rsid w:val="00865A8C"/>
    <w:rsid w:val="00871625"/>
    <w:rsid w:val="008877B1"/>
    <w:rsid w:val="008878E9"/>
    <w:rsid w:val="008903ED"/>
    <w:rsid w:val="008A2BB8"/>
    <w:rsid w:val="008A4B00"/>
    <w:rsid w:val="008C0647"/>
    <w:rsid w:val="008D0213"/>
    <w:rsid w:val="008D17FE"/>
    <w:rsid w:val="008D45BA"/>
    <w:rsid w:val="008E314A"/>
    <w:rsid w:val="008E5700"/>
    <w:rsid w:val="008F5230"/>
    <w:rsid w:val="008F5D50"/>
    <w:rsid w:val="008F6BCC"/>
    <w:rsid w:val="00901F83"/>
    <w:rsid w:val="009049EA"/>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3DAD"/>
    <w:rsid w:val="009F6381"/>
    <w:rsid w:val="00A030DF"/>
    <w:rsid w:val="00A03BF1"/>
    <w:rsid w:val="00A05D45"/>
    <w:rsid w:val="00A06BC1"/>
    <w:rsid w:val="00A131FD"/>
    <w:rsid w:val="00A146F1"/>
    <w:rsid w:val="00A17F49"/>
    <w:rsid w:val="00A24A8D"/>
    <w:rsid w:val="00A31178"/>
    <w:rsid w:val="00A36B03"/>
    <w:rsid w:val="00A4060F"/>
    <w:rsid w:val="00A51741"/>
    <w:rsid w:val="00A51E29"/>
    <w:rsid w:val="00A52650"/>
    <w:rsid w:val="00A52F13"/>
    <w:rsid w:val="00A71BE8"/>
    <w:rsid w:val="00A739A7"/>
    <w:rsid w:val="00A73C62"/>
    <w:rsid w:val="00A74BD6"/>
    <w:rsid w:val="00A75857"/>
    <w:rsid w:val="00A92F5B"/>
    <w:rsid w:val="00A9354F"/>
    <w:rsid w:val="00A937E1"/>
    <w:rsid w:val="00A96636"/>
    <w:rsid w:val="00AA0B1A"/>
    <w:rsid w:val="00AA1DF0"/>
    <w:rsid w:val="00AA4B53"/>
    <w:rsid w:val="00AB13EA"/>
    <w:rsid w:val="00AB2F46"/>
    <w:rsid w:val="00AB799A"/>
    <w:rsid w:val="00AC06B9"/>
    <w:rsid w:val="00AD18F2"/>
    <w:rsid w:val="00AD1A46"/>
    <w:rsid w:val="00AD3810"/>
    <w:rsid w:val="00AD3D04"/>
    <w:rsid w:val="00AD4F71"/>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B7DC6"/>
    <w:rsid w:val="00BC4516"/>
    <w:rsid w:val="00BD06AB"/>
    <w:rsid w:val="00BD0B30"/>
    <w:rsid w:val="00BE2371"/>
    <w:rsid w:val="00BF5838"/>
    <w:rsid w:val="00BF65B9"/>
    <w:rsid w:val="00BF6761"/>
    <w:rsid w:val="00BF750F"/>
    <w:rsid w:val="00C006A4"/>
    <w:rsid w:val="00C14073"/>
    <w:rsid w:val="00C142B5"/>
    <w:rsid w:val="00C268BD"/>
    <w:rsid w:val="00C2727E"/>
    <w:rsid w:val="00C27F0F"/>
    <w:rsid w:val="00C342FE"/>
    <w:rsid w:val="00C40168"/>
    <w:rsid w:val="00C56B11"/>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327F"/>
    <w:rsid w:val="00D859C2"/>
    <w:rsid w:val="00D86891"/>
    <w:rsid w:val="00D927B5"/>
    <w:rsid w:val="00DA1353"/>
    <w:rsid w:val="00DA5A63"/>
    <w:rsid w:val="00DA7CB9"/>
    <w:rsid w:val="00DC056A"/>
    <w:rsid w:val="00DD3E47"/>
    <w:rsid w:val="00DD6FA4"/>
    <w:rsid w:val="00DE3A3F"/>
    <w:rsid w:val="00DE4489"/>
    <w:rsid w:val="00DF4C31"/>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0D31"/>
    <w:rsid w:val="00E710A0"/>
    <w:rsid w:val="00E80D56"/>
    <w:rsid w:val="00E826DA"/>
    <w:rsid w:val="00E84314"/>
    <w:rsid w:val="00E9244D"/>
    <w:rsid w:val="00E928B3"/>
    <w:rsid w:val="00EA0F46"/>
    <w:rsid w:val="00EB6947"/>
    <w:rsid w:val="00EB7849"/>
    <w:rsid w:val="00EB7CA4"/>
    <w:rsid w:val="00ED3A3E"/>
    <w:rsid w:val="00EE155A"/>
    <w:rsid w:val="00EE3825"/>
    <w:rsid w:val="00EE477D"/>
    <w:rsid w:val="00EF4125"/>
    <w:rsid w:val="00EF46EE"/>
    <w:rsid w:val="00F01FFB"/>
    <w:rsid w:val="00F06B76"/>
    <w:rsid w:val="00F1590C"/>
    <w:rsid w:val="00F15D9D"/>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2CB71361"/>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75325C"/>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C9C6-5093-4691-909B-020D62DA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B8534D3-F41D-467B-8BED-BCD72F9F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66</cp:revision>
  <cp:lastPrinted>2022-05-10T08:07:00Z</cp:lastPrinted>
  <dcterms:created xsi:type="dcterms:W3CDTF">2022-02-16T08:30:00Z</dcterms:created>
  <dcterms:modified xsi:type="dcterms:W3CDTF">2024-08-30T06:22:00Z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