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IIIIHIHIH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8"/>
        </w:rPr>
        <w:t>2024006942</w:t>
      </w:r>
    </w:p>
    <w:p>
      <w:pPr>
        <w:pStyle w:val="Style9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0"/>
          <w:b/>
          <w:bCs/>
        </w:rPr>
        <w:t>SMLOUVA O DÍLO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Style w:val="CharStyle12"/>
        </w:rPr>
        <w:t xml:space="preserve">podle ustanovení § 2586 a násl. zákona </w:t>
      </w:r>
      <w:r>
        <w:rPr>
          <w:rStyle w:val="CharStyle12"/>
          <w:i/>
          <w:iCs/>
        </w:rPr>
        <w:t>č.</w:t>
      </w:r>
      <w:r>
        <w:rPr>
          <w:rStyle w:val="CharStyle12"/>
        </w:rPr>
        <w:t xml:space="preserve"> 89/2012 Sb. občanského zákoníku,</w:t>
        <w:br/>
        <w:t>(dále jen „smlouva“), uzavřená mezi</w:t>
      </w:r>
    </w:p>
    <w:tbl>
      <w:tblPr>
        <w:tblOverlap w:val="never"/>
        <w:jc w:val="left"/>
        <w:tblLayout w:type="fixed"/>
      </w:tblPr>
      <w:tblGrid>
        <w:gridCol w:w="2659"/>
        <w:gridCol w:w="5448"/>
      </w:tblGrid>
      <w:tr>
        <w:trPr>
          <w:trHeight w:val="5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Kamenice 798/1d, 625 00 Brno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MUDr. Hana Albrechtová, ředitelka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shd w:val="clear" w:color="auto" w:fill="000000"/>
              </w:rPr>
              <w:t>.......​</w:t>
            </w:r>
            <w:r>
              <w:rPr>
                <w:rStyle w:val="CharStyle19"/>
                <w:spacing w:val="5"/>
                <w:shd w:val="clear" w:color="auto" w:fill="000000"/>
              </w:rPr>
              <w:t>.........</w:t>
            </w:r>
            <w:r>
              <w:rPr>
                <w:rStyle w:val="CharStyle19"/>
                <w:spacing w:val="6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​..</w:t>
            </w:r>
            <w:r>
              <w:rPr>
                <w:rStyle w:val="CharStyle19"/>
                <w:spacing w:val="1"/>
                <w:shd w:val="clear" w:color="auto" w:fill="000000"/>
              </w:rPr>
              <w:t>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</w:t>
            </w:r>
            <w:r>
              <w:rPr>
                <w:rStyle w:val="CharStyle19"/>
                <w:u w:val="single"/>
                <w:shd w:val="clear" w:color="auto" w:fill="000000"/>
                <w:lang w:val="en-US" w:eastAsia="en-US" w:bidi="en-US"/>
              </w:rPr>
              <w:t>​.........</w:t>
            </w:r>
            <w:r>
              <w:rPr>
                <w:rStyle w:val="CharStyle19"/>
                <w:spacing w:val="1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19"/>
                <w:spacing w:val="2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19"/>
                <w:spacing w:val="3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...</w:t>
            </w:r>
            <w:r>
              <w:rPr>
                <w:rStyle w:val="CharStyle19"/>
                <w:spacing w:val="9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​.......​</w:t>
            </w:r>
            <w:r>
              <w:rPr>
                <w:rStyle w:val="CharStyle19"/>
                <w:spacing w:val="6"/>
                <w:shd w:val="clear" w:color="auto" w:fill="000000"/>
              </w:rPr>
              <w:t>...</w:t>
            </w:r>
            <w:r>
              <w:rPr>
                <w:rStyle w:val="CharStyle19"/>
                <w:spacing w:val="7"/>
                <w:shd w:val="clear" w:color="auto" w:fill="000000"/>
              </w:rPr>
              <w:t>...</w:t>
            </w:r>
            <w:r>
              <w:rPr>
                <w:rStyle w:val="CharStyle19"/>
                <w:shd w:val="clear" w:color="auto" w:fill="000000"/>
              </w:rPr>
              <w:t>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CZ00346292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Krajský soud v Brně sp. zn. Pr 1245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MONETA Money Bank, a.s., č. ú. 117203514/0600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  <w:rPr>
          <w:sz w:val="19"/>
          <w:szCs w:val="19"/>
        </w:rPr>
      </w:pPr>
      <w:r>
        <w:rPr>
          <w:rStyle w:val="CharStyle15"/>
          <w:sz w:val="19"/>
          <w:szCs w:val="19"/>
        </w:rPr>
        <w:t xml:space="preserve">(dále jen </w:t>
      </w:r>
      <w:r>
        <w:rPr>
          <w:rStyle w:val="CharStyle15"/>
          <w:i/>
          <w:iCs/>
          <w:sz w:val="19"/>
          <w:szCs w:val="19"/>
        </w:rPr>
        <w:t>„objednatel)</w:t>
      </w:r>
    </w:p>
    <w:p>
      <w:pPr>
        <w:widowControl w:val="0"/>
        <w:spacing w:after="279" w:line="1" w:lineRule="exact"/>
      </w:pPr>
    </w:p>
    <w:tbl>
      <w:tblPr>
        <w:tblOverlap w:val="never"/>
        <w:jc w:val="left"/>
        <w:tblLayout w:type="fixed"/>
      </w:tblPr>
      <w:tblGrid>
        <w:gridCol w:w="2659"/>
        <w:gridCol w:w="5443"/>
      </w:tblGrid>
      <w:tr>
        <w:trPr>
          <w:trHeight w:val="5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rStyle w:val="CharStyle19"/>
                <w:b/>
                <w:bCs/>
                <w:sz w:val="11"/>
                <w:szCs w:val="11"/>
              </w:rPr>
              <w:t>d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</w:rPr>
              <w:t>AUTOCONT CONTROL SYSTEMS spol. s 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Kafkova 1853/3,'Moravská Ostrava, 70200 Ostrava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Ing. Tomáš Tomata, jednatel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spacing w:val="1"/>
                <w:shd w:val="clear" w:color="auto" w:fill="000000"/>
              </w:rPr>
              <w:t>.</w:t>
            </w:r>
            <w:r>
              <w:rPr>
                <w:rStyle w:val="CharStyle19"/>
                <w:spacing w:val="2"/>
                <w:shd w:val="clear" w:color="auto" w:fill="000000"/>
              </w:rPr>
              <w:t>..............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........</w:t>
            </w:r>
            <w:r>
              <w:rPr>
                <w:rStyle w:val="CharStyle19"/>
                <w:spacing w:val="4"/>
                <w:shd w:val="clear" w:color="auto" w:fill="000000"/>
              </w:rPr>
              <w:t>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3"/>
                <w:shd w:val="clear" w:color="auto" w:fill="000000"/>
              </w:rPr>
              <w:t>..</w:t>
            </w:r>
            <w:r>
              <w:rPr>
                <w:rStyle w:val="CharStyle19"/>
                <w:spacing w:val="4"/>
                <w:shd w:val="clear" w:color="auto" w:fill="000000"/>
              </w:rPr>
              <w:t>......</w:t>
            </w:r>
            <w:r>
              <w:rPr>
                <w:rStyle w:val="CharStyle19"/>
                <w:shd w:val="clear" w:color="auto" w:fill="000000"/>
              </w:rPr>
              <w:t>​....</w:t>
            </w:r>
            <w:r>
              <w:rPr>
                <w:rStyle w:val="CharStyle19"/>
                <w:spacing w:val="1"/>
                <w:shd w:val="clear" w:color="auto" w:fill="000000"/>
              </w:rPr>
              <w:t>.................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6"/>
                <w:shd w:val="clear" w:color="auto" w:fill="000000"/>
              </w:rPr>
              <w:t>....</w:t>
            </w:r>
            <w:r>
              <w:rPr>
                <w:rStyle w:val="CharStyle19"/>
                <w:spacing w:val="7"/>
                <w:shd w:val="clear" w:color="auto" w:fill="000000"/>
              </w:rPr>
              <w:t>.</w:t>
            </w:r>
            <w:r>
              <w:rPr>
                <w:rStyle w:val="CharStyle19"/>
                <w:shd w:val="clear" w:color="auto" w:fill="000000"/>
              </w:rPr>
              <w:t>​</w:t>
            </w:r>
            <w:r>
              <w:rPr>
                <w:rStyle w:val="CharStyle19"/>
                <w:spacing w:val="8"/>
                <w:shd w:val="clear" w:color="auto" w:fill="000000"/>
              </w:rPr>
              <w:t>...</w:t>
            </w:r>
            <w:r>
              <w:rPr>
                <w:rStyle w:val="CharStyle19"/>
                <w:spacing w:val="9"/>
                <w:shd w:val="clear" w:color="auto" w:fill="000000"/>
              </w:rPr>
              <w:t>..</w:t>
            </w:r>
            <w:r>
              <w:rPr>
                <w:rStyle w:val="CharStyle19"/>
                <w:shd w:val="clear" w:color="auto" w:fill="000000"/>
              </w:rPr>
              <w:t>​.......​.......​......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42868017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CZ42868017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C 1700 vedená u Krajského soudu v Ostravě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Komerční Banka a.s., č.ú.: 1007246761/0100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15"/>
          <w:sz w:val="19"/>
          <w:szCs w:val="19"/>
        </w:rPr>
        <w:t xml:space="preserve">(dále jen </w:t>
      </w:r>
      <w:r>
        <w:rPr>
          <w:rStyle w:val="CharStyle15"/>
          <w:i/>
          <w:iCs/>
          <w:sz w:val="19"/>
          <w:szCs w:val="19"/>
        </w:rPr>
        <w:t>„zhotovitel")</w:t>
      </w:r>
    </w:p>
    <w:p>
      <w:pPr>
        <w:widowControl w:val="0"/>
        <w:spacing w:after="79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20" w:right="0" w:hanging="420"/>
        <w:jc w:val="both"/>
      </w:pPr>
      <w:r>
        <w:rPr>
          <w:rStyle w:val="CharStyle12"/>
        </w:rPr>
        <w:t>Zhotovitel se zavazuje, že pro objednatele provede dílo, spočívající ve výměně dvou záložních zdrojů UPS a dodávka SW nástroje pro centralizovanou správu a monitoring UPS, a to vše způsobem a v rozsahu dle této smlouvy, jejich příloh a dle odsouhlaseného harmonogramu provádění díla. Součástí díla je přitom vše, čeho je třeba provést, zapracovat či jinak vynaložit k dosažení výsledné podoby díla, jak vyplývá z příloh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both"/>
      </w:pPr>
      <w:r>
        <w:rPr>
          <w:rStyle w:val="CharStyle12"/>
        </w:rPr>
        <w:t>Výměna dvou záložních zdrojů UPS bude zahrnovat zejména: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74" w:val="left"/>
        </w:tabs>
        <w:bidi w:val="0"/>
        <w:spacing w:before="0"/>
        <w:ind w:left="1380" w:right="0" w:hanging="340"/>
        <w:jc w:val="both"/>
      </w:pPr>
      <w:r>
        <w:rPr>
          <w:rStyle w:val="CharStyle12"/>
        </w:rPr>
        <w:t>demontáž stávajících UPS (,,UPS A“ a „UPS B“) ze systému zakrytování studené uličky, montáž nové UPS B do systému zakrytování studené uličky, uvedení UPS do provozu, práce budou probíhat za plného provozu,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74" w:val="left"/>
        </w:tabs>
        <w:bidi w:val="0"/>
        <w:spacing w:before="0"/>
        <w:ind w:left="1040" w:right="0" w:firstLine="0"/>
        <w:jc w:val="both"/>
      </w:pPr>
      <w:r>
        <w:rPr>
          <w:rStyle w:val="CharStyle12"/>
        </w:rPr>
        <w:t>instalaci a konfiguraci nástroje pro centralizovanou správu a monitoring,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65" w:val="left"/>
        </w:tabs>
        <w:bidi w:val="0"/>
        <w:spacing w:before="0"/>
        <w:ind w:left="1380" w:right="0" w:hanging="340"/>
        <w:jc w:val="both"/>
      </w:pPr>
      <w:r>
        <w:rPr>
          <w:rStyle w:val="CharStyle12"/>
        </w:rPr>
        <w:t>provedení všech testů, zkoušek, připojení do dálkového dohledu, provedení funkčních zkoušek a zátěžových testů,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84" w:val="left"/>
        </w:tabs>
        <w:bidi w:val="0"/>
        <w:spacing w:before="0"/>
        <w:ind w:left="1040" w:right="0" w:firstLine="0"/>
        <w:jc w:val="both"/>
      </w:pPr>
      <w:r>
        <w:rPr>
          <w:rStyle w:val="CharStyle12"/>
        </w:rPr>
        <w:t>zaškolení obsluhy uživatele,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77" w:val="left"/>
        </w:tabs>
        <w:bidi w:val="0"/>
        <w:spacing w:before="0" w:line="286" w:lineRule="auto"/>
        <w:ind w:left="1420" w:right="0" w:hanging="360"/>
        <w:jc w:val="both"/>
      </w:pPr>
      <w:r>
        <w:rPr>
          <w:rStyle w:val="CharStyle12"/>
        </w:rPr>
        <w:t>výměna všech baterií UPS ve 4 roku provozu, včetně odvozu a ekologická likvidace starých baterií,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77" w:val="left"/>
        </w:tabs>
        <w:bidi w:val="0"/>
        <w:spacing w:before="0"/>
        <w:ind w:left="1060" w:right="0" w:firstLine="0"/>
        <w:jc w:val="both"/>
      </w:pPr>
      <w:r>
        <w:rPr>
          <w:rStyle w:val="CharStyle12"/>
        </w:rPr>
        <w:t>odvoz a ekologická likvidace původních UPS a obalů použitých v rámci plnění díla.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12"/>
        </w:rPr>
        <w:t>Při provádění díla se pak zhotovitel zavazuje postupovat tak, aby nebyl narušen provoz zdravotnického zařízení objednatele v místě plnění, kterým je sídlo objednatele v Brně, Kamenice 798/1 d, Brno.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90" w:lineRule="auto"/>
        <w:ind w:left="400" w:right="0" w:hanging="400"/>
        <w:jc w:val="both"/>
      </w:pPr>
      <w:r>
        <w:rPr>
          <w:rStyle w:val="CharStyle12"/>
        </w:rPr>
        <w:t xml:space="preserve">Zhotovitel se zavazuje provést dílo podle čl. 1 této smlouvy ve lhůtě nejpozději do </w:t>
      </w:r>
      <w:r>
        <w:rPr>
          <w:rStyle w:val="CharStyle12"/>
          <w:b/>
          <w:bCs/>
        </w:rPr>
        <w:t xml:space="preserve">12-ti týdnů </w:t>
      </w:r>
      <w:r>
        <w:rPr>
          <w:rStyle w:val="CharStyle12"/>
        </w:rPr>
        <w:t>od nabytí účinnosti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Závazek zhotovitele k provedení díla v dohodnutém rozsahu se považuje za splněný dokončením všech prací spojených se zhotovením díla, předáním a převzetím díla formou písemného předávacího protokolu, podepsaného oběma smluvními stranami. Objednatel přitom není povinen potvrdit zhotoviteli předávací protokol, zjistí-li se na předávaném díle vada, která brání řádnému užívání díla nebo více než 3 jiné vady a nedodělky.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prodlení se splněním svého závazku podle čl. 1 této smlouvy ve lhůtě podle čl. 4 této smlouvy se zhotovitel zavazuje zaplatit objednateli smluvní pokutu ve výši 0,1% z celkové ceny díla podle čl. 7 této smlouvy za každý započatý den tohoto prodlení. Zaplacením této smluvní pokuty není dotčen nárok objednatele na případnou náhradu škody v plné výši.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 xml:space="preserve">Objednatel se zavazuje zaplatit zhotoviteli za dílo podle čl. 1 této smlouvy cenu díla ve výši: </w:t>
      </w:r>
      <w:r>
        <w:rPr>
          <w:rStyle w:val="CharStyle12"/>
          <w:b/>
          <w:bCs/>
        </w:rPr>
        <w:t xml:space="preserve">1 261 000,- </w:t>
      </w:r>
      <w:r>
        <w:rPr>
          <w:rStyle w:val="CharStyle12"/>
        </w:rPr>
        <w:t xml:space="preserve">Kč bez DPH, tj. </w:t>
      </w:r>
      <w:r>
        <w:rPr>
          <w:rStyle w:val="CharStyle12"/>
          <w:b/>
          <w:bCs/>
        </w:rPr>
        <w:t xml:space="preserve">1 525 810,- </w:t>
      </w:r>
      <w:r>
        <w:rPr>
          <w:rStyle w:val="CharStyle12"/>
        </w:rPr>
        <w:t>Kč včetně DPH. Součástí této ceny jsou veškeré náklady zhotovitele, spojené se splněním závazku zhotovitele podle čl. 1 této smlouvy. Tato cena je stanovena podle rozpočtu, u něhož se zaručuje úplnost, který je obsažen v příloze č. 2 této smlouvy. Změna ceny je možná pouze v případě zákonné změny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Objednatel se zavazuje seznámit pracovníky zhotovitel, kteří se budou podílet na plnění smlouvy, s místními podmínkami BOZP, PO a bezpečnostními podmínkami na pracovišti objednatele. Zhotovitel se zavazuje tyto podmínky dodržovat.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 xml:space="preserve">Cena díla podle čl. 7 této smlouvy je splatná po splnění závazku k provedení díla způsobem podle čl. 5 této smlouvy ve lhůtě do 30-ti dnů od předložení jeho písemného vyhotovení (faktury/daňového dokladu). Faktura bude doručena elektronicky na email: </w:t>
      </w:r>
      <w:r>
        <w:rPr>
          <w:rStyle w:val="CharStyle12"/>
          <w:spacing w:val="6"/>
          <w:shd w:val="clear" w:color="auto" w:fill="000000"/>
          <w:lang w:val="en-US" w:eastAsia="en-US" w:bidi="en-US"/>
        </w:rPr>
        <w:t>.</w:t>
      </w:r>
      <w:r>
        <w:rPr>
          <w:rStyle w:val="CharStyle12"/>
          <w:spacing w:val="7"/>
          <w:shd w:val="clear" w:color="auto" w:fill="000000"/>
          <w:lang w:val="en-US" w:eastAsia="en-US" w:bidi="en-US"/>
        </w:rPr>
        <w:t>..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​..</w:t>
      </w:r>
      <w:r>
        <w:rPr>
          <w:rStyle w:val="CharStyle12"/>
        </w:rPr>
        <w:t xml:space="preserve"> 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​........................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CharStyle12"/>
          <w:color w:val="87A9CC"/>
          <w:u w:val="single"/>
          <w:lang w:val="en-US" w:eastAsia="en-US" w:bidi="en-US"/>
        </w:rPr>
        <w:t>z</w:t>
      </w:r>
      <w:r>
        <w:rPr>
          <w:rStyle w:val="CharStyle12"/>
          <w:color w:val="87A9CC"/>
          <w:lang w:val="en-US" w:eastAsia="en-US" w:bidi="en-US"/>
        </w:rPr>
        <w:t xml:space="preserve">. </w:t>
      </w:r>
      <w:r>
        <w:rPr>
          <w:rStyle w:val="CharStyle12"/>
        </w:rPr>
        <w:t xml:space="preserve">Na faktuře musí být mimo jiné uvedeno toto číslo veřejné zakázky, ke které se faktura vztahuje: </w:t>
      </w:r>
      <w:r>
        <w:rPr>
          <w:rStyle w:val="CharStyle12"/>
          <w:b/>
          <w:bCs/>
        </w:rPr>
        <w:t xml:space="preserve">P24V00002447. </w:t>
      </w:r>
      <w:r>
        <w:rPr>
          <w:rStyle w:val="CharStyle12"/>
        </w:rPr>
        <w:t>Přílohou faktury bude kopie oboustranně podepsaného předávacího protokolu. Nebude-li faktura splňovat veškeré náležitosti daňového dokladu podle zákona a další náležitosti podle této smlouvy, je objednatel oprávněn vrátit takovou fakturu zhotoviteli k opravě, přičemž doba její splatnosti začne znovu celá běžet ode dne doručení opravené faktury objednateli.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Zhotovitel se zavazuje vést o provádění díla záznamy o všech skutečnostech důležitých pro plnění závazku zhotovitele podle této smlouvy. Zhotovitel je rovněž povinen zpracovat technickou zprávu o provedení díla, a to 1 x v písemné podobě a v el. podobě. Objednatel je oprávněn nahlížet do dokumentace a připojovat k ní svoje průběžná stanoviska a vyjádření.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Pro případ prodlení s úhradou ceny díla ve lhůtě podle čl. 9 této smlouvy se objednatel zavazuje zaplatit zhotoviteli úrok z prodlení ve výši dle zákona.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Zhotovitel odpovídá objednateli za to, že dílo podle čl. 1 této smlouvy bude odpovídat tuzemským právním předpisům, technickým, hygienickým a jiným normám, a že bude mít ty vlastnosti, které jsou u děl tohoto druhu obvyklé. V tomto smyslu se zhotovitel zavazuje bezplatně odstraňovat vady, které se na dílo podle čl. 1 této smlouvy vyskytnou v záruční době 60-ti měsíců ode dne splnění závazku zhotovitele k provedení díla způsobem podle čl. 5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Zhotovitel se zavazuje rozhodovat o písemných reklamacích objednatele v období po dokončení díla písemně ve Ihůtách dle příslušné servisní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Pro případ sporu o oprávněnost reklamace se objednateli výhrazuje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3" w:lineRule="auto"/>
        <w:ind w:left="400" w:right="0" w:hanging="400"/>
        <w:jc w:val="both"/>
      </w:pPr>
      <w:r>
        <w:rPr>
          <w:rStyle w:val="CharStyle12"/>
        </w:rPr>
        <w:t>Nepřikročí-li zhotovitel k odstranění vady ve lhůtě podle čl. 13 této smlouvy nebo v něm z důvodů na své straně nepokračuje, a to ani po písemné výzvě objednatele, je objednatel oprávněn nechat provést toto odstranění třetí osobou na náklad zhotovitele.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after="100" w:line="286" w:lineRule="auto"/>
        <w:ind w:left="400" w:right="0" w:hanging="400"/>
        <w:jc w:val="both"/>
      </w:pPr>
      <w:r>
        <w:rPr>
          <w:rStyle w:val="CharStyle12"/>
        </w:rPr>
        <w:t>Pro případ prodlení zhotovitele se splněním jeho povinností podle čl. 12 této smlouvy ve lhůtě podle čl. 13 této smlouvy se zhotovitel zavazuje zaplatit objednateli smluvní pokutu ve výši 500,- Kč za každý započatý den tohoto prodlení..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43"/>
        </w:rPr>
        <w:t>I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Objednatel je oprávněn odstoupit od této smlouvy o dílo, bude-li zhotovitel v prodlení se splněním svého závazku podle čl. 1 této smlouvy ve lhůtě podle čl. 4 této smlouvy o více než 2 týdny.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Zaplacením smluvní pokuty podle této smlouvy není dotčeno právo objednatele na náhradu případné škody v plné výši.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Není-li touto smlouvou ujednáno jinak, řídí se vzájemný právní vztah mezi zhotovitelem a objednatelem ust. § 2586 a násl.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12"/>
        </w:rPr>
        <w:t>Zhotovitel se zavazuje, že jeho zaměstnanci, jakožto i zaměstnanci případných poddodavatelů, kteří se budou podílet na plnění podle této smlouvy, zachovají mlčenlivost o všech skutečnostech, se kterými se u objednatele v průběhu plnění seznámí a které nejsou veřejně známy.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Tato smlouva se uzavírá na základě návrhu na její uzavření ze strany objednatele. Předpokladem uzavření této smlouvy je její písemná forma a dohoda o jejích podstatných náležitostech, čímž se rozumí celý obsah této smlouvy, jak je uveden v čl. 1 až 24 této smlouvy. Objednatel přitom předem vylučuje přijetí tohoto návrhu s dodatkem nebo odchylkou ve smyslu ust.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0" w:right="0" w:firstLine="0"/>
        <w:jc w:val="both"/>
      </w:pPr>
      <w:r>
        <w:rPr>
          <w:rStyle w:val="CharStyle12"/>
        </w:rPr>
        <w:t>Tuto smlouvu lze změnit nebo zrušit pouze jinou písemnou dohodu obou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</w:pPr>
      <w:r>
        <w:rPr>
          <w:rStyle w:val="CharStyle12"/>
        </w:rPr>
        <w:t>Tato smlouva nabývá platnosti dnem jejího uzavření a účinnosti dnem jejího uveřejnění v registru smluv dle příslušných ustanovení zákona č. 340/2015 Sb. o registru smluv. Uveřejnění v registru smluv zajistí objednatel.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/>
        <w:ind w:left="400" w:right="0" w:hanging="4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849" w:right="1451" w:bottom="1698" w:left="1627" w:header="421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</w:rPr>
        <w:t>Dáno ve dvou originálních písemných vyhotoveních, z nichž každá ze smluvních stran obdrží po jednom.</w:t>
      </w:r>
    </w:p>
    <w:p>
      <w:pPr>
        <w:pStyle w:val="Style11"/>
        <w:keepNext w:val="0"/>
        <w:keepLines w:val="0"/>
        <w:framePr w:w="2962" w:h="350" w:wrap="none" w:hAnchor="page" w:x="1620" w:y="1"/>
        <w:widowControl w:val="0"/>
        <w:shd w:val="clear" w:color="auto" w:fill="auto"/>
        <w:tabs>
          <w:tab w:leader="dot" w:pos="1694" w:val="left"/>
          <w:tab w:pos="2827" w:val="left"/>
        </w:tabs>
        <w:bidi w:val="0"/>
        <w:spacing w:before="80" w:after="0" w:line="240" w:lineRule="auto"/>
        <w:ind w:left="0" w:right="0" w:firstLine="0"/>
        <w:jc w:val="left"/>
      </w:pPr>
      <w:r>
        <w:rPr>
          <w:rStyle w:val="CharStyle12"/>
          <w:i/>
          <w:iCs/>
        </w:rPr>
        <w:t>V</w:t>
      </w:r>
      <w:r>
        <w:rPr>
          <w:rStyle w:val="CharStyle12"/>
        </w:rPr>
        <w:t xml:space="preserve"> Brně dne</w:t>
        <w:tab/>
        <w:tab/>
      </w:r>
      <w:r>
        <w:rPr>
          <w:rStyle w:val="CharStyle12"/>
          <w:color w:val="87A9CC"/>
        </w:rPr>
        <w:t>)</w:t>
      </w:r>
    </w:p>
    <w:p>
      <w:pPr>
        <w:pStyle w:val="Style11"/>
        <w:keepNext w:val="0"/>
        <w:keepLines w:val="0"/>
        <w:framePr w:w="2189" w:h="240" w:wrap="none" w:hAnchor="page" w:x="6669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V Ostravě dne 21.8.2024</w:t>
      </w:r>
    </w:p>
    <w:p>
      <w:pPr>
        <w:pStyle w:val="Style44"/>
        <w:keepNext w:val="0"/>
        <w:keepLines w:val="0"/>
        <w:framePr w:w="2194" w:h="538" w:wrap="none" w:hAnchor="page" w:x="1620" w:y="1877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45"/>
        </w:rPr>
        <w:t>MUDr. Hana Albrechtová ředitelka</w:t>
      </w:r>
    </w:p>
    <w:p>
      <w:pPr>
        <w:pStyle w:val="Style44"/>
        <w:keepNext w:val="0"/>
        <w:keepLines w:val="0"/>
        <w:framePr w:w="773" w:h="235" w:wrap="none" w:hAnchor="page" w:x="6660" w:y="2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5"/>
        </w:rPr>
        <w:t>Jednatel</w:t>
      </w:r>
    </w:p>
    <w:p>
      <w:pPr>
        <w:pStyle w:val="Style44"/>
        <w:keepNext w:val="0"/>
        <w:keepLines w:val="0"/>
        <w:framePr w:w="1310" w:h="235" w:wrap="none" w:hAnchor="page" w:x="6660" w:y="2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45"/>
          <w:b/>
          <w:bCs/>
        </w:rPr>
        <w:t>za zhotovitele</w:t>
      </w:r>
    </w:p>
    <w:p>
      <w:pPr>
        <w:pStyle w:val="Style11"/>
        <w:keepNext w:val="0"/>
        <w:keepLines w:val="0"/>
        <w:framePr w:w="1378" w:h="245" w:wrap="none" w:hAnchor="page" w:x="1620" w:y="2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za objednatele</w:t>
      </w:r>
    </w:p>
    <w:p>
      <w:pPr>
        <w:pStyle w:val="Style11"/>
        <w:keepNext w:val="0"/>
        <w:keepLines w:val="0"/>
        <w:framePr w:w="1075" w:h="456" w:wrap="none" w:hAnchor="page" w:x="1620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1</w:t>
      </w:r>
    </w:p>
    <w:p>
      <w:pPr>
        <w:pStyle w:val="Style11"/>
        <w:keepNext w:val="0"/>
        <w:keepLines w:val="0"/>
        <w:framePr w:w="1075" w:h="456" w:wrap="none" w:hAnchor="page" w:x="1620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2</w:t>
      </w:r>
    </w:p>
    <w:p>
      <w:pPr>
        <w:pStyle w:val="Style11"/>
        <w:keepNext w:val="0"/>
        <w:keepLines w:val="0"/>
        <w:framePr w:w="2083" w:h="461" w:wrap="none" w:hAnchor="page" w:x="2983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  <w:b/>
          <w:bCs/>
        </w:rPr>
        <w:t>Technická specifikace Ceník</w:t>
      </w:r>
    </w:p>
    <w:p>
      <w:pPr>
        <w:widowControl w:val="0"/>
        <w:spacing w:line="360" w:lineRule="exact"/>
      </w:pPr>
      <w:r>
        <w:drawing>
          <wp:anchor distT="0" distB="326390" distL="24130" distR="0" simplePos="0" relativeHeight="62914692" behindDoc="1" locked="0" layoutInCell="1" allowOverlap="1">
            <wp:simplePos x="0" y="0"/>
            <wp:positionH relativeFrom="page">
              <wp:posOffset>1052195</wp:posOffset>
            </wp:positionH>
            <wp:positionV relativeFrom="margin">
              <wp:posOffset>664210</wp:posOffset>
            </wp:positionV>
            <wp:extent cx="1798320" cy="54229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798320" cy="542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4386580</wp:posOffset>
            </wp:positionH>
            <wp:positionV relativeFrom="margin">
              <wp:posOffset>567055</wp:posOffset>
            </wp:positionV>
            <wp:extent cx="402590" cy="2133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402590" cy="2133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26390" distL="18415" distR="0" simplePos="0" relativeHeight="62914694" behindDoc="1" locked="0" layoutInCell="1" allowOverlap="1">
            <wp:simplePos x="0" y="0"/>
            <wp:positionH relativeFrom="page">
              <wp:posOffset>4246880</wp:posOffset>
            </wp:positionH>
            <wp:positionV relativeFrom="margin">
              <wp:posOffset>783590</wp:posOffset>
            </wp:positionV>
            <wp:extent cx="1042670" cy="57912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042670" cy="579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53" w:right="3043" w:bottom="1068" w:left="1619" w:header="1325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</w:pPr>
      <w:r>
        <w:rPr>
          <w:rStyle w:val="CharStyle15"/>
        </w:rPr>
        <w:t>Příloha č. 1 Technická specifikace</w:t>
      </w:r>
    </w:p>
    <w:tbl>
      <w:tblPr>
        <w:tblOverlap w:val="never"/>
        <w:jc w:val="center"/>
        <w:tblLayout w:type="fixed"/>
      </w:tblPr>
      <w:tblGrid>
        <w:gridCol w:w="3197"/>
        <w:gridCol w:w="2410"/>
        <w:gridCol w:w="2448"/>
        <w:gridCol w:w="1430"/>
      </w:tblGrid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BCE7FA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color w:val="425667"/>
                <w:sz w:val="15"/>
                <w:szCs w:val="15"/>
              </w:rPr>
              <w:t>Požadavek na funkcionalitu nebo parametr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9"/>
                <w:color w:val="425667"/>
                <w:sz w:val="15"/>
                <w:szCs w:val="15"/>
              </w:rPr>
              <w:t>Specifikace požadavků stanovených zadavatelem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Style w:val="CharStyle19"/>
                <w:color w:val="425667"/>
                <w:sz w:val="15"/>
                <w:szCs w:val="15"/>
              </w:rPr>
              <w:t>Dodavatelem nabízené parametry s uvedením modelu a výrobce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CE7FA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color w:val="425667"/>
                <w:sz w:val="15"/>
                <w:szCs w:val="15"/>
              </w:rPr>
              <w:t>Splněno (ano/ne)</w:t>
            </w:r>
          </w:p>
        </w:tc>
      </w:tr>
      <w:tr>
        <w:trPr>
          <w:trHeight w:val="22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19"/>
                <w:color w:val="425667"/>
                <w:sz w:val="15"/>
                <w:szCs w:val="15"/>
              </w:rPr>
              <w:t>UPS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Počet jednotek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I</w:t>
              <w:tab/>
              <w:t>2</w:t>
            </w:r>
          </w:p>
        </w:tc>
      </w:tr>
      <w:tr>
        <w:trPr>
          <w:trHeight w:val="23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Modulární Online UPS v rack provedeni včetně 19" racku s výkonem min. 30 kW s redundancí na výkonovém modulu n+1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86A07D"/>
                <w:sz w:val="14"/>
                <w:szCs w:val="14"/>
              </w:rPr>
              <w:t>Vertiv™ Uebert* APM2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/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Výkon online UPS (kVA)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30 kVA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30 kVA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Výkon online UPS (kW)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30 kW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30 kW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Výstupní účiník (PF)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Výkonové moduly, bateriové moduly, bypass modul a uživatelský interface vyměnitelný za provozu UPS v online režimu bez ztráty zálohy z baterií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Redundance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Na výkonovém modulu, výměna modulu za provozu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Možnost budoucího rozšířeni UPS do stávajícího rámu na výkon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60 kW s redundanci na výkonovém modulu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60kW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Vstupní rozsah napětí (V) bez přepnutí na baterie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478 až 228 při 100% zátěži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478 až 228 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Vstupní frekvenční rozsah (Hz)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40-70 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40-70 Hz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Vstupní účiník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0.99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0,99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Činitel harmonického zkreslení vstupního proudu THDI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max. 3%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3%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Jmenovité výstupní napětí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400 V AC, 3 fáze +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400 V AC. 3 fáze + 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Výstupní frekvence invertoru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50 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50 Hz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Přetižitelnost invertoru (%)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max. 105% - trvale max. 125% -10 minut max. 150% -1 minuta max. 200% - 200 ms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Účinnost AC - AC Online dvojité konverze (VFI- SS-111)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97%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97,50%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UPSs podporou funkce provozu vysokoúčinného módu, norma IEC62040-3, třída 1, přepnutí Oms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98,5%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98,80%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Baterie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Interní v těle UPS, vyměnitelné za provozu bez ztráty zálohy z baterií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4 samostatné bateriové větve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Doba zálohy na baterie při zatížení UPS 7 kW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60 minut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60 minut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b/>
                <w:bCs/>
                <w:sz w:val="16"/>
                <w:szCs w:val="16"/>
              </w:rPr>
              <w:t xml:space="preserve">Typ </w:t>
            </w:r>
            <w:r>
              <w:rPr>
                <w:rStyle w:val="CharStyle19"/>
                <w:sz w:val="14"/>
                <w:szCs w:val="14"/>
              </w:rPr>
              <w:t>baterií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doba životnosti 10 let, VRLA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VRLA s životnosti 10 let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UPS musí být kompatibilní s interními modulárními bateriovými moduly v provedení baterií VRLA a LiFePO4 (LIB)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Nabízená UPS umožňuje použita VRLA a nebo LiFePO4 bateriové moduly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Měření teploty v každém bateriovém modulu samostatně pro zvýšení životnosti baterií včetně integrace do uživatelského rozhraní a monitoringu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Bateriové moduly (VRLA a LIB) mají samostatné jištění s možností automatického odpojení při detekci vysoké teploty nebo poruchy modulu bez vlivu na chod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Požadovaný nabíjecí výkon baterií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70A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140A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Minimální požadované komunikační rozhraní bez nutnosti převodníku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SNMP v1, v2c, v3, Modbus (RS485/IP), BACnet (RS485/IP) 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HTTP(S)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SNMP v1. v2c, v3, Modbus (RS485/IP), BACnet (RS485/IP) a HTTP(S)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Provoz minimálně 2 komunikačních protokolů současně na jedné monitorovací kartě jednotky, externí převodníky nejsou přípustné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Ovládání a signalizace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Dotykový displej, velikost min. 9“, LED barevná signalizace statusu - bez alarmu/upozornění/alarm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9“ displej s barevnou LED signalizací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Mechanický BYPASS v těle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Hluk v 1 m (dBA) při výkonu 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max. 65 dBA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65dBA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Možnost integrace UPS do systému zakrytované studené uličky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192"/>
        <w:gridCol w:w="2414"/>
        <w:gridCol w:w="2453"/>
        <w:gridCol w:w="1454"/>
      </w:tblGrid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Rozměry UPS (šířka x výška x hloubka)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max. 600x2000x1200 mm</w:t>
            </w:r>
          </w:p>
        </w:tc>
        <w:tc>
          <w:tcPr>
            <w:tcBorders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600x930x2000 mm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Váha s bateriemi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max. 700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Provozní podmínky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0-40’C bez snižování výkonu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0-40'C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6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Minimální požadavky na normy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Přímé zastoupení výrobce v České republice včetně technické podpory v českém jazyce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IEC 62040-1 - Bezpečnostní požadavky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IEC 62040-2 - Požadavky na elektromagnetickou kompatibilitu (EMC)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IEC EN 62040-3 - Metoda stanovení požadavků na funkci VFI-SS-111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6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IEC 62040-1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6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IEC 62040-3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6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IEC 62040-3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57" w:lineRule="auto"/>
              <w:ind w:left="164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IEC 62040-4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57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Vertiv Czech Republic s.r.o., Dělnická 213/12, 170 00 Praha 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BCE7FA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Požadavek na funkcionalitu nebo parametr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CE7FA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Specifikace požadavků stanovených Zadavatelem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CE7FA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Dodavatelem nabízené parametry s uvedením modelu a výrobce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CE7FA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Splněno (ano/ne)</w:t>
            </w:r>
          </w:p>
        </w:tc>
      </w:tr>
      <w:tr>
        <w:trPr>
          <w:trHeight w:val="40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BCE7FA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Software pro centrální monitoring a správu UPS</w:t>
            </w:r>
          </w:p>
        </w:tc>
      </w:tr>
      <w:tr>
        <w:trPr>
          <w:trHeight w:val="40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Vertiv™ Critical Insight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  <w:u w:val="single"/>
              </w:rPr>
              <w:t>Počet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BCE7FA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19"/>
                <w:color w:val="425667"/>
                <w:sz w:val="14"/>
                <w:szCs w:val="14"/>
              </w:rPr>
              <w:t>1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Počet monitorovaných zařízení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Počet souběžných pracujících správců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Řízeni a monitorování v reálném čase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Monitorování zařízeni třetích stran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Podporované typy zařízeni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UPS, PDU, Motorgenerátor, monitorovací systém (RMS)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Podporované protokoly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SNMP, Modbus, EEM, YDN23 a SiteWeb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Vytváření uživatelských skupin s různými 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Bezpečnost připojení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SSL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Export dat a alarmových událostí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Monitoring více lokalit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Upozornění na poplach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e-mail, SNMP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Vzdálená správa a ovládání zařízeni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Podporované operační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Windows 10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Enterprise/Professional (x64) nebo Windows 2012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R2 Essentials/Standard/Datacenter (x64) nebo Windows Server 2016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5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Standard (x64)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Podporované prohlížeče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min. IE, Firefox, Safari, Chromé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Ukládání dat do interní databáze včetně vizualizace hodnot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19"/>
                <w:sz w:val="14"/>
                <w:szCs w:val="14"/>
              </w:rPr>
              <w:t>Vyžadováno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CFC97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CFC97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4"/>
                <w:szCs w:val="14"/>
              </w:rPr>
            </w:pPr>
            <w:r>
              <w:rPr>
                <w:rStyle w:val="CharStyle19"/>
                <w:color w:val="3C3617"/>
                <w:sz w:val="14"/>
                <w:szCs w:val="14"/>
              </w:rPr>
              <w:t>ANO</w:t>
            </w:r>
          </w:p>
        </w:tc>
      </w:tr>
    </w:tbl>
    <w:p>
      <w:pPr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595" w:right="1263" w:bottom="779" w:left="1123" w:header="1167" w:footer="351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2" w:right="0" w:firstLine="0"/>
        <w:jc w:val="left"/>
        <w:rPr>
          <w:sz w:val="19"/>
          <w:szCs w:val="19"/>
        </w:rPr>
      </w:pPr>
      <w:r>
        <w:rPr>
          <w:rStyle w:val="CharStyle15"/>
          <w:b/>
          <w:bCs/>
          <w:sz w:val="19"/>
          <w:szCs w:val="19"/>
        </w:rPr>
        <w:t>Příloha č. 2 Ceník</w:t>
      </w:r>
    </w:p>
    <w:tbl>
      <w:tblPr>
        <w:tblOverlap w:val="never"/>
        <w:jc w:val="center"/>
        <w:tblLayout w:type="fixed"/>
      </w:tblPr>
      <w:tblGrid>
        <w:gridCol w:w="571"/>
        <w:gridCol w:w="5808"/>
        <w:gridCol w:w="912"/>
        <w:gridCol w:w="1718"/>
        <w:gridCol w:w="1618"/>
        <w:gridCol w:w="1766"/>
        <w:gridCol w:w="1867"/>
      </w:tblGrid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P,c.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Položka - 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za jednotku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, Cena celkem vč. DPH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9"/>
              </w:rPr>
              <w:t>Modulární online UPS v rack provedení včetně 19“ racku s výkonem min. 30 kW s redundancí na výkonovém modulu n+1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428 800,00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9"/>
              </w:rPr>
              <w:t>518 848,00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9"/>
              </w:rPr>
              <w:t>857 600,00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9"/>
              </w:rPr>
              <w:t>1 037 696,00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Software pro centrální monitoring a správu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112 450,00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9"/>
              </w:rPr>
              <w:t>136 064,50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9"/>
              </w:rPr>
              <w:t>112 450,00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9"/>
              </w:rPr>
              <w:t>136 064,50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  <w:b/>
                <w:bCs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Instalace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9"/>
              </w:rPr>
              <w:t>77 950,00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94 319,50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19"/>
              </w:rPr>
              <w:t>77 950,00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9"/>
              </w:rPr>
              <w:t>94 319,50 Kč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Instalace nástroje pro centralizovanou správu a monitoring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9"/>
              </w:rPr>
              <w:t>15 400,00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18 634,00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19"/>
              </w:rPr>
              <w:t>15 400,00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9"/>
              </w:rPr>
              <w:t>18 634,00 Kč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9"/>
              </w:rPr>
              <w:t>Provedení všech testů, zkoušek, připojení do dálkového dohledu, provedení funkčních zkoušek a zátěžových testů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9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6 655,00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19"/>
              </w:rPr>
              <w:t>5 500,00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9"/>
              </w:rPr>
              <w:t>6 655,00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Zaškolení uživatelů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rStyle w:val="CharStyle19"/>
              </w:rPr>
              <w:t>2 200,00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</w:rPr>
              <w:t>2 662,00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19"/>
              </w:rPr>
              <w:t>2 200,00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9"/>
              </w:rPr>
              <w:t>2 662,00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Výměna všech baterií ve “4 ročé provozu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‘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178 900,00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19"/>
              </w:rPr>
              <w:t>216 469,00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19"/>
              </w:rPr>
              <w:t>178 900,00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9"/>
              </w:rPr>
              <w:t>216469,00 Kč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9"/>
                <w:b/>
                <w:bCs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</w:rPr>
              <w:t>Ekologická likvidace obalů a původních UPS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9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rStyle w:val="CharStyle19"/>
              </w:rPr>
              <w:t>13 310,00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19"/>
              </w:rPr>
              <w:t>11 000,00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19"/>
              </w:rPr>
              <w:t>13 310,00 Kč</w:t>
            </w:r>
          </w:p>
        </w:tc>
      </w:tr>
      <w:tr>
        <w:trPr>
          <w:trHeight w:val="451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b/>
                <w:bCs/>
              </w:rPr>
              <w:t>1 261 000,00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9"/>
                <w:b/>
                <w:bCs/>
              </w:rPr>
              <w:t>1 525 810,00 Kč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405" w:right="1366" w:bottom="1045" w:left="1213" w:header="977" w:footer="617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1054100</wp:posOffset>
              </wp:positionH>
              <wp:positionV relativeFrom="page">
                <wp:posOffset>10009505</wp:posOffset>
              </wp:positionV>
              <wp:extent cx="327025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02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28-24: Záložní systém UPS pro serverovnu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pt;margin-top:788.14999999999998pt;width:257.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28-24: Záložní systém UPS pro serverovnu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3">
    <w:name w:val="Základní text (3)_"/>
    <w:basedOn w:val="DefaultParagraphFont"/>
    <w:link w:val="Style4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5">
    <w:name w:val="Titulek obrázku_"/>
    <w:basedOn w:val="DefaultParagraphFont"/>
    <w:link w:val="Style4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ind w:right="102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60"/>
      <w:ind w:right="10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28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2">
    <w:name w:val="Základní text (3)"/>
    <w:basedOn w:val="Normal"/>
    <w:link w:val="CharStyle43"/>
    <w:pPr>
      <w:widowControl w:val="0"/>
      <w:shd w:val="clear" w:color="auto" w:fill="auto"/>
      <w:spacing w:after="100"/>
      <w:jc w:val="center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4">
    <w:name w:val="Titulek obrázku"/>
    <w:basedOn w:val="Normal"/>
    <w:link w:val="CharStyle45"/>
    <w:pPr>
      <w:widowControl w:val="0"/>
      <w:shd w:val="clear" w:color="auto" w:fill="auto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footer" Target="footer2.xml"/></Relationships>
</file>