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A459" w14:textId="77777777" w:rsidR="00BD0757" w:rsidRDefault="00000000">
      <w:pPr>
        <w:pStyle w:val="Nadpis1"/>
        <w:spacing w:line="320" w:lineRule="exact"/>
        <w:ind w:right="1447"/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 a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</w:p>
    <w:p w14:paraId="39DBB736" w14:textId="77777777" w:rsidR="00BD0757" w:rsidRDefault="00000000">
      <w:pPr>
        <w:spacing w:before="114" w:line="242" w:lineRule="auto"/>
        <w:ind w:left="245" w:right="245"/>
        <w:jc w:val="center"/>
        <w:rPr>
          <w:sz w:val="18"/>
        </w:rPr>
      </w:pPr>
      <w:proofErr w:type="spellStart"/>
      <w:r>
        <w:rPr>
          <w:sz w:val="18"/>
        </w:rPr>
        <w:t>uzavřená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ustanovení</w:t>
      </w:r>
      <w:proofErr w:type="spellEnd"/>
      <w:r>
        <w:rPr>
          <w:sz w:val="18"/>
        </w:rPr>
        <w:t xml:space="preserve"> § 1746zákona č. 89/2012 Sb., </w:t>
      </w:r>
      <w:proofErr w:type="spellStart"/>
      <w:r>
        <w:rPr>
          <w:sz w:val="18"/>
        </w:rPr>
        <w:t>občanského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zákoníku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pozdějších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předpisů</w:t>
      </w:r>
      <w:proofErr w:type="spellEnd"/>
      <w:r>
        <w:rPr>
          <w:sz w:val="18"/>
        </w:rPr>
        <w:t xml:space="preserve">, a v </w:t>
      </w:r>
      <w:proofErr w:type="spellStart"/>
      <w:r>
        <w:rPr>
          <w:sz w:val="18"/>
        </w:rPr>
        <w:t>souladu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příslušnými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ustanoveními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130/2002 Sb., o </w:t>
      </w:r>
      <w:proofErr w:type="spellStart"/>
      <w:r>
        <w:rPr>
          <w:sz w:val="18"/>
        </w:rPr>
        <w:t>podpoře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výzkumu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experimentálního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vývoje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inovací</w:t>
      </w:r>
      <w:proofErr w:type="spellEnd"/>
      <w:r>
        <w:rPr>
          <w:sz w:val="18"/>
        </w:rPr>
        <w:t xml:space="preserve"> z </w:t>
      </w:r>
      <w:proofErr w:type="spellStart"/>
      <w:r>
        <w:rPr>
          <w:sz w:val="18"/>
        </w:rPr>
        <w:t>veřejných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prostředků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změně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některých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souvisejících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zákonů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zákon</w:t>
      </w:r>
      <w:proofErr w:type="spellEnd"/>
      <w:r>
        <w:rPr>
          <w:sz w:val="18"/>
        </w:rPr>
        <w:t xml:space="preserve"> o </w:t>
      </w:r>
      <w:proofErr w:type="spellStart"/>
      <w:r>
        <w:rPr>
          <w:sz w:val="18"/>
        </w:rPr>
        <w:t>podpoře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výzkumu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vývoje</w:t>
      </w:r>
      <w:proofErr w:type="spellEnd"/>
      <w:r>
        <w:rPr>
          <w:sz w:val="18"/>
        </w:rPr>
        <w:t xml:space="preserve">),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znění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pozdějších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předpisů</w:t>
      </w:r>
      <w:proofErr w:type="spellEnd"/>
    </w:p>
    <w:p w14:paraId="3D105408" w14:textId="77777777" w:rsidR="00BD0757" w:rsidRDefault="00BD0757">
      <w:pPr>
        <w:pStyle w:val="Zkladntext"/>
        <w:jc w:val="left"/>
        <w:rPr>
          <w:sz w:val="20"/>
        </w:rPr>
      </w:pPr>
    </w:p>
    <w:p w14:paraId="36748056" w14:textId="77777777" w:rsidR="00BD0757" w:rsidRDefault="00BD0757">
      <w:pPr>
        <w:rPr>
          <w:sz w:val="20"/>
        </w:rPr>
        <w:sectPr w:rsidR="00BD0757">
          <w:footerReference w:type="default" r:id="rId7"/>
          <w:type w:val="continuous"/>
          <w:pgSz w:w="11910" w:h="16850"/>
          <w:pgMar w:top="1200" w:right="1300" w:bottom="920" w:left="1300" w:header="708" w:footer="731" w:gutter="0"/>
          <w:pgNumType w:start="1"/>
          <w:cols w:space="708"/>
        </w:sectPr>
      </w:pPr>
    </w:p>
    <w:p w14:paraId="2E6C3D62" w14:textId="77777777" w:rsidR="00BD0757" w:rsidRDefault="00BD0757">
      <w:pPr>
        <w:pStyle w:val="Zkladntext"/>
        <w:jc w:val="left"/>
        <w:rPr>
          <w:sz w:val="26"/>
        </w:rPr>
      </w:pPr>
    </w:p>
    <w:p w14:paraId="097B9FC9" w14:textId="77777777" w:rsidR="00BD0757" w:rsidRDefault="00BD0757">
      <w:pPr>
        <w:pStyle w:val="Zkladntext"/>
        <w:jc w:val="left"/>
        <w:rPr>
          <w:sz w:val="26"/>
        </w:rPr>
      </w:pPr>
    </w:p>
    <w:p w14:paraId="66ADAAEC" w14:textId="77777777" w:rsidR="00BD0757" w:rsidRDefault="00000000">
      <w:pPr>
        <w:pStyle w:val="Nadpis2"/>
        <w:numPr>
          <w:ilvl w:val="1"/>
          <w:numId w:val="10"/>
        </w:numPr>
        <w:tabs>
          <w:tab w:val="left" w:pos="826"/>
          <w:tab w:val="left" w:pos="827"/>
        </w:tabs>
        <w:spacing w:before="204"/>
        <w:ind w:right="0"/>
      </w:pPr>
      <w:r>
        <w:t>FINAL Tools</w:t>
      </w:r>
      <w:r>
        <w:rPr>
          <w:spacing w:val="-6"/>
        </w:rPr>
        <w:t xml:space="preserve"> </w:t>
      </w:r>
      <w:proofErr w:type="spellStart"/>
      <w:r>
        <w:t>a.s.</w:t>
      </w:r>
      <w:proofErr w:type="spellEnd"/>
    </w:p>
    <w:p w14:paraId="2F8315D3" w14:textId="77777777" w:rsidR="00BD0757" w:rsidRDefault="00000000">
      <w:pPr>
        <w:spacing w:before="249"/>
        <w:ind w:left="102" w:right="3927"/>
        <w:jc w:val="center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>.</w:t>
      </w:r>
    </w:p>
    <w:p w14:paraId="52E8FD51" w14:textId="77777777" w:rsidR="00BD0757" w:rsidRDefault="00000000">
      <w:pPr>
        <w:ind w:left="102" w:right="3928"/>
        <w:jc w:val="center"/>
        <w:rPr>
          <w:b/>
          <w:sz w:val="24"/>
        </w:rPr>
      </w:pPr>
      <w:proofErr w:type="spellStart"/>
      <w:r>
        <w:rPr>
          <w:b/>
          <w:sz w:val="24"/>
        </w:rPr>
        <w:t>Smluvní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strany</w:t>
      </w:r>
      <w:proofErr w:type="spellEnd"/>
    </w:p>
    <w:p w14:paraId="4F4AF912" w14:textId="77777777" w:rsidR="00BD0757" w:rsidRDefault="00BD0757">
      <w:pPr>
        <w:jc w:val="center"/>
        <w:rPr>
          <w:sz w:val="24"/>
        </w:rPr>
        <w:sectPr w:rsidR="00BD0757">
          <w:type w:val="continuous"/>
          <w:pgSz w:w="11910" w:h="16850"/>
          <w:pgMar w:top="1200" w:right="1300" w:bottom="920" w:left="1300" w:header="708" w:footer="708" w:gutter="0"/>
          <w:cols w:num="2" w:space="708" w:equalWidth="0">
            <w:col w:w="2372" w:space="1456"/>
            <w:col w:w="5482"/>
          </w:cols>
        </w:sectPr>
      </w:pPr>
    </w:p>
    <w:p w14:paraId="0A420FEB" w14:textId="77777777" w:rsidR="00BD0757" w:rsidRDefault="00000000">
      <w:pPr>
        <w:pStyle w:val="Zkladntext"/>
        <w:spacing w:line="274" w:lineRule="exact"/>
        <w:ind w:left="82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Tuřanka</w:t>
      </w:r>
      <w:proofErr w:type="spellEnd"/>
      <w:r>
        <w:t xml:space="preserve"> 1315/112, 627 00 Brno</w:t>
      </w:r>
    </w:p>
    <w:p w14:paraId="23695ED3" w14:textId="77777777" w:rsidR="00BD0757" w:rsidRDefault="00000000">
      <w:pPr>
        <w:pStyle w:val="Zkladntext"/>
        <w:spacing w:line="274" w:lineRule="exact"/>
        <w:ind w:left="826"/>
      </w:pPr>
      <w:r>
        <w:t>IČ: 25502352</w:t>
      </w:r>
    </w:p>
    <w:p w14:paraId="1C677DD3" w14:textId="77777777" w:rsidR="00BD0757" w:rsidRDefault="00000000">
      <w:pPr>
        <w:pStyle w:val="Zkladntext"/>
        <w:spacing w:before="1"/>
        <w:ind w:left="826"/>
      </w:pPr>
      <w:r>
        <w:t>DIČ: CZ 25502352</w:t>
      </w:r>
    </w:p>
    <w:p w14:paraId="4952D1D5" w14:textId="77777777" w:rsidR="00BD0757" w:rsidRDefault="00000000">
      <w:pPr>
        <w:pStyle w:val="Zkladntext"/>
        <w:ind w:left="826" w:right="794"/>
        <w:jc w:val="left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Brně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7795 </w:t>
      </w: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: Stanislav Fiala,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0948AB7A" w14:textId="77777777" w:rsidR="00BD0757" w:rsidRDefault="00BD0757">
      <w:pPr>
        <w:pStyle w:val="Zkladntext"/>
        <w:spacing w:before="9"/>
        <w:jc w:val="left"/>
        <w:rPr>
          <w:sz w:val="23"/>
        </w:rPr>
      </w:pPr>
    </w:p>
    <w:p w14:paraId="43E72BA8" w14:textId="77777777" w:rsidR="00BD0757" w:rsidRDefault="00000000">
      <w:pPr>
        <w:pStyle w:val="Nadpis2"/>
        <w:ind w:left="855" w:right="0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příjemce</w:t>
      </w:r>
      <w:proofErr w:type="spellEnd"/>
    </w:p>
    <w:p w14:paraId="168298B0" w14:textId="77777777" w:rsidR="00BD0757" w:rsidRDefault="00BD0757">
      <w:pPr>
        <w:pStyle w:val="Zkladntext"/>
        <w:jc w:val="left"/>
        <w:rPr>
          <w:b/>
        </w:rPr>
      </w:pPr>
    </w:p>
    <w:p w14:paraId="2B284472" w14:textId="77777777" w:rsidR="00BD0757" w:rsidRDefault="00000000">
      <w:pPr>
        <w:pStyle w:val="Zkladntext"/>
        <w:ind w:left="826"/>
      </w:pPr>
      <w:r>
        <w:rPr>
          <w:w w:val="99"/>
        </w:rPr>
        <w:t>a</w:t>
      </w:r>
    </w:p>
    <w:p w14:paraId="42D69F35" w14:textId="77777777" w:rsidR="00BD0757" w:rsidRDefault="00BD0757">
      <w:pPr>
        <w:pStyle w:val="Zkladntext"/>
        <w:spacing w:before="9"/>
        <w:jc w:val="left"/>
        <w:rPr>
          <w:sz w:val="23"/>
        </w:rPr>
      </w:pPr>
    </w:p>
    <w:p w14:paraId="3EA68D45" w14:textId="77777777" w:rsidR="00BD0757" w:rsidRDefault="00000000">
      <w:pPr>
        <w:pStyle w:val="Odstavecseseznamem"/>
        <w:numPr>
          <w:ilvl w:val="1"/>
          <w:numId w:val="10"/>
        </w:numPr>
        <w:tabs>
          <w:tab w:val="left" w:pos="826"/>
          <w:tab w:val="left" w:pos="827"/>
        </w:tabs>
        <w:spacing w:before="0"/>
        <w:ind w:right="5073"/>
        <w:rPr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Plzni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Sídlo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Univerzitní</w:t>
      </w:r>
      <w:proofErr w:type="spellEnd"/>
      <w:r>
        <w:rPr>
          <w:sz w:val="24"/>
        </w:rPr>
        <w:t xml:space="preserve"> 2732/8, 301 00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 IČ:</w:t>
      </w:r>
      <w:r>
        <w:rPr>
          <w:spacing w:val="-8"/>
          <w:sz w:val="24"/>
        </w:rPr>
        <w:t xml:space="preserve"> </w:t>
      </w:r>
      <w:r>
        <w:rPr>
          <w:sz w:val="24"/>
        </w:rPr>
        <w:t>49777513</w:t>
      </w:r>
    </w:p>
    <w:p w14:paraId="168661D1" w14:textId="77777777" w:rsidR="00BD0757" w:rsidRDefault="00000000">
      <w:pPr>
        <w:pStyle w:val="Zkladntext"/>
        <w:spacing w:line="274" w:lineRule="exact"/>
        <w:ind w:left="826"/>
      </w:pPr>
      <w:r>
        <w:t>DIČ: CZ49777513</w:t>
      </w:r>
    </w:p>
    <w:p w14:paraId="3C6348EC" w14:textId="77777777" w:rsidR="00BD0757" w:rsidRDefault="00000000">
      <w:pPr>
        <w:pStyle w:val="Zkladntext"/>
        <w:spacing w:before="1"/>
        <w:ind w:left="826"/>
      </w:pPr>
      <w:proofErr w:type="spellStart"/>
      <w:r>
        <w:t>zástupce</w:t>
      </w:r>
      <w:proofErr w:type="spellEnd"/>
      <w:r>
        <w:t xml:space="preserve">: doc. Ing. Jiří </w:t>
      </w:r>
      <w:proofErr w:type="spellStart"/>
      <w:r>
        <w:t>Hammerbauer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</w:t>
      </w:r>
    </w:p>
    <w:p w14:paraId="47F14FD7" w14:textId="77777777" w:rsidR="00BD0757" w:rsidRDefault="00BD0757">
      <w:pPr>
        <w:pStyle w:val="Zkladntext"/>
        <w:spacing w:before="6"/>
        <w:jc w:val="left"/>
        <w:rPr>
          <w:sz w:val="34"/>
        </w:rPr>
      </w:pPr>
    </w:p>
    <w:p w14:paraId="0F90B73C" w14:textId="77777777" w:rsidR="00BD0757" w:rsidRDefault="00000000">
      <w:pPr>
        <w:pStyle w:val="Nadpis2"/>
        <w:ind w:left="826" w:right="0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DD24141" w14:textId="77777777" w:rsidR="00BD0757" w:rsidRDefault="00BD0757">
      <w:pPr>
        <w:pStyle w:val="Zkladntext"/>
        <w:jc w:val="left"/>
        <w:rPr>
          <w:b/>
          <w:sz w:val="28"/>
        </w:rPr>
      </w:pPr>
    </w:p>
    <w:p w14:paraId="461E26E4" w14:textId="77777777" w:rsidR="00BD0757" w:rsidRDefault="00000000">
      <w:pPr>
        <w:spacing w:before="229"/>
        <w:ind w:left="1374" w:right="1370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>.</w:t>
      </w:r>
    </w:p>
    <w:p w14:paraId="0DC6CF39" w14:textId="77777777" w:rsidR="00BD0757" w:rsidRDefault="00000000">
      <w:pPr>
        <w:spacing w:before="1"/>
        <w:ind w:left="1374" w:right="1371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</w:p>
    <w:p w14:paraId="1F0881BF" w14:textId="77777777" w:rsidR="00BD0757" w:rsidRDefault="00000000">
      <w:pPr>
        <w:spacing w:before="121"/>
        <w:ind w:left="826" w:right="111" w:hanging="708"/>
        <w:jc w:val="both"/>
        <w:rPr>
          <w:sz w:val="24"/>
        </w:rPr>
      </w:pPr>
      <w:r>
        <w:rPr>
          <w:b/>
          <w:sz w:val="24"/>
        </w:rPr>
        <w:t xml:space="preserve">2.1       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oblasti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„</w:t>
      </w:r>
      <w:r>
        <w:rPr>
          <w:b/>
          <w:sz w:val="24"/>
        </w:rPr>
        <w:t xml:space="preserve">CASTREAMER - </w:t>
      </w:r>
      <w:proofErr w:type="spellStart"/>
      <w:r>
        <w:rPr>
          <w:b/>
          <w:sz w:val="24"/>
        </w:rPr>
        <w:t>Výzkum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vývoj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inovativních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nástrojů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nové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generace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vystružování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velmi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přesných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děr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litinových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komponentech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plně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automatizovaných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strojích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převážně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nahrazující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honování</w:t>
      </w:r>
      <w:proofErr w:type="spellEnd"/>
      <w:r>
        <w:rPr>
          <w:sz w:val="24"/>
        </w:rPr>
        <w:t>“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24662D2B" w14:textId="77777777" w:rsidR="00BD0757" w:rsidRDefault="00000000">
      <w:pPr>
        <w:pStyle w:val="Zkladntext"/>
        <w:spacing w:before="1"/>
        <w:ind w:left="826" w:right="112"/>
      </w:pPr>
      <w:r>
        <w:t>„</w:t>
      </w:r>
      <w:proofErr w:type="spellStart"/>
      <w:r>
        <w:t>projekt</w:t>
      </w:r>
      <w:proofErr w:type="spellEnd"/>
      <w:r>
        <w:t xml:space="preserve">“), </w:t>
      </w:r>
      <w:proofErr w:type="spellStart"/>
      <w:r>
        <w:t>realizovaného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“) pod </w:t>
      </w:r>
      <w:proofErr w:type="spellStart"/>
      <w:r>
        <w:t>názvem</w:t>
      </w:r>
      <w:proofErr w:type="spellEnd"/>
      <w:r>
        <w:t xml:space="preserve"> INTER-EXCELLENCE II - </w:t>
      </w:r>
      <w:proofErr w:type="spellStart"/>
      <w:r>
        <w:t>podprogram</w:t>
      </w:r>
      <w:proofErr w:type="spellEnd"/>
      <w:r>
        <w:t xml:space="preserve"> INTER- EUREKA, a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pro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7EDF879C" w14:textId="77777777" w:rsidR="00BD0757" w:rsidRDefault="00BD0757">
      <w:pPr>
        <w:pStyle w:val="Zkladntext"/>
        <w:jc w:val="left"/>
        <w:rPr>
          <w:sz w:val="28"/>
        </w:rPr>
      </w:pPr>
    </w:p>
    <w:p w14:paraId="60626654" w14:textId="77777777" w:rsidR="00BD0757" w:rsidRDefault="00000000">
      <w:pPr>
        <w:pStyle w:val="Nadpis2"/>
        <w:spacing w:before="229"/>
        <w:ind w:right="1374"/>
      </w:pPr>
      <w:proofErr w:type="spellStart"/>
      <w:r>
        <w:t>Článek</w:t>
      </w:r>
      <w:proofErr w:type="spellEnd"/>
      <w:r>
        <w:t xml:space="preserve"> </w:t>
      </w:r>
      <w:proofErr w:type="gramStart"/>
      <w:r>
        <w:t>3</w:t>
      </w:r>
      <w:proofErr w:type="gramEnd"/>
      <w:r>
        <w:t>.</w:t>
      </w:r>
    </w:p>
    <w:p w14:paraId="39FC8BB1" w14:textId="77777777" w:rsidR="00BD0757" w:rsidRDefault="00000000">
      <w:pPr>
        <w:ind w:left="1374" w:right="1373"/>
        <w:jc w:val="center"/>
        <w:rPr>
          <w:b/>
          <w:sz w:val="24"/>
        </w:rPr>
      </w:pPr>
      <w:proofErr w:type="spellStart"/>
      <w:r>
        <w:rPr>
          <w:b/>
          <w:sz w:val="24"/>
        </w:rPr>
        <w:t>Řešení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2887E3B6" w14:textId="77777777" w:rsidR="00BD0757" w:rsidRDefault="00BD0757">
      <w:pPr>
        <w:pStyle w:val="Zkladntext"/>
        <w:spacing w:before="9"/>
        <w:jc w:val="left"/>
        <w:rPr>
          <w:b/>
          <w:sz w:val="23"/>
        </w:rPr>
      </w:pPr>
    </w:p>
    <w:p w14:paraId="003791DE" w14:textId="77777777" w:rsidR="00BD0757" w:rsidRDefault="00000000">
      <w:pPr>
        <w:pStyle w:val="Odstavecseseznamem"/>
        <w:numPr>
          <w:ilvl w:val="1"/>
          <w:numId w:val="9"/>
        </w:numPr>
        <w:tabs>
          <w:tab w:val="left" w:pos="855"/>
          <w:tab w:val="left" w:pos="856"/>
        </w:tabs>
        <w:spacing w:before="0"/>
        <w:ind w:right="0"/>
        <w:rPr>
          <w:sz w:val="24"/>
        </w:rPr>
      </w:pP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rozloženo</w:t>
      </w:r>
      <w:proofErr w:type="spellEnd"/>
      <w:r>
        <w:rPr>
          <w:sz w:val="24"/>
        </w:rPr>
        <w:t xml:space="preserve"> do let </w:t>
      </w:r>
      <w:r>
        <w:rPr>
          <w:b/>
          <w:sz w:val="24"/>
        </w:rPr>
        <w:t xml:space="preserve">2024 </w:t>
      </w:r>
      <w:proofErr w:type="spellStart"/>
      <w:r>
        <w:rPr>
          <w:b/>
          <w:sz w:val="24"/>
        </w:rPr>
        <w:t>až</w:t>
      </w:r>
      <w:proofErr w:type="spellEnd"/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2027</w:t>
      </w:r>
      <w:r>
        <w:rPr>
          <w:sz w:val="24"/>
        </w:rPr>
        <w:t>.</w:t>
      </w:r>
    </w:p>
    <w:p w14:paraId="6EE38F78" w14:textId="77777777" w:rsidR="00BD0757" w:rsidRDefault="00000000">
      <w:pPr>
        <w:pStyle w:val="Odstavecseseznamem"/>
        <w:numPr>
          <w:ilvl w:val="1"/>
          <w:numId w:val="9"/>
        </w:numPr>
        <w:tabs>
          <w:tab w:val="left" w:pos="855"/>
          <w:tab w:val="left" w:pos="856"/>
        </w:tabs>
        <w:spacing w:before="0"/>
        <w:ind w:right="112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výzkum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inovativních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nástrojů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generace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vystružování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velmi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přesných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děr</w:t>
      </w:r>
      <w:proofErr w:type="spellEnd"/>
      <w:r>
        <w:rPr>
          <w:sz w:val="24"/>
        </w:rPr>
        <w:t>.</w:t>
      </w:r>
    </w:p>
    <w:p w14:paraId="2B03D3AD" w14:textId="77777777" w:rsidR="00BD0757" w:rsidRDefault="00000000">
      <w:pPr>
        <w:pStyle w:val="Odstavecseseznamem"/>
        <w:numPr>
          <w:ilvl w:val="1"/>
          <w:numId w:val="9"/>
        </w:numPr>
        <w:tabs>
          <w:tab w:val="left" w:pos="855"/>
          <w:tab w:val="left" w:pos="856"/>
        </w:tabs>
        <w:spacing w:before="0"/>
        <w:ind w:right="114"/>
        <w:rPr>
          <w:sz w:val="24"/>
        </w:rPr>
      </w:pPr>
      <w:proofErr w:type="spellStart"/>
      <w:r>
        <w:rPr>
          <w:sz w:val="24"/>
        </w:rPr>
        <w:t>Hlavními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prototypy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inovativních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nástrojů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ověřená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inovativních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nástrojů</w:t>
      </w:r>
      <w:proofErr w:type="spellEnd"/>
      <w:r>
        <w:rPr>
          <w:sz w:val="24"/>
        </w:rPr>
        <w:t>.</w:t>
      </w:r>
    </w:p>
    <w:p w14:paraId="4CDC570F" w14:textId="77777777" w:rsidR="00BD0757" w:rsidRDefault="00000000">
      <w:pPr>
        <w:pStyle w:val="Odstavecseseznamem"/>
        <w:numPr>
          <w:ilvl w:val="1"/>
          <w:numId w:val="9"/>
        </w:numPr>
        <w:tabs>
          <w:tab w:val="left" w:pos="855"/>
          <w:tab w:val="left" w:pos="856"/>
        </w:tabs>
        <w:spacing w:before="0"/>
        <w:ind w:right="0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odpovědný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</w:p>
    <w:p w14:paraId="3C04B1AB" w14:textId="77777777" w:rsidR="00BD0757" w:rsidRDefault="00000000">
      <w:pPr>
        <w:pStyle w:val="Odstavecseseznamem"/>
        <w:numPr>
          <w:ilvl w:val="1"/>
          <w:numId w:val="9"/>
        </w:numPr>
        <w:tabs>
          <w:tab w:val="left" w:pos="855"/>
          <w:tab w:val="left" w:pos="856"/>
        </w:tabs>
        <w:spacing w:before="0"/>
        <w:ind w:right="114"/>
        <w:rPr>
          <w:sz w:val="24"/>
        </w:rPr>
      </w:pPr>
      <w:proofErr w:type="spellStart"/>
      <w:r>
        <w:rPr>
          <w:sz w:val="24"/>
        </w:rPr>
        <w:t>Nedílnou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vstupní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- „</w:t>
      </w:r>
      <w:proofErr w:type="spellStart"/>
      <w:r>
        <w:rPr>
          <w:sz w:val="24"/>
        </w:rPr>
        <w:t>Český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EUREKA“.</w:t>
      </w:r>
    </w:p>
    <w:p w14:paraId="1B20B115" w14:textId="77777777" w:rsidR="00BD0757" w:rsidRDefault="00BD0757">
      <w:pPr>
        <w:rPr>
          <w:sz w:val="24"/>
        </w:rPr>
        <w:sectPr w:rsidR="00BD0757">
          <w:type w:val="continuous"/>
          <w:pgSz w:w="11910" w:h="16850"/>
          <w:pgMar w:top="1200" w:right="1300" w:bottom="920" w:left="1300" w:header="708" w:footer="708" w:gutter="0"/>
          <w:cols w:space="708"/>
        </w:sectPr>
      </w:pPr>
    </w:p>
    <w:p w14:paraId="503642CD" w14:textId="77777777" w:rsidR="00BD0757" w:rsidRDefault="00000000">
      <w:pPr>
        <w:pStyle w:val="Nadpis2"/>
        <w:spacing w:before="70"/>
      </w:pPr>
      <w:proofErr w:type="spellStart"/>
      <w:r>
        <w:lastRenderedPageBreak/>
        <w:t>Článek</w:t>
      </w:r>
      <w:proofErr w:type="spellEnd"/>
      <w:r>
        <w:t xml:space="preserve"> </w:t>
      </w:r>
      <w:proofErr w:type="gramStart"/>
      <w:r>
        <w:t>4</w:t>
      </w:r>
      <w:proofErr w:type="gramEnd"/>
      <w:r>
        <w:t>.</w:t>
      </w:r>
    </w:p>
    <w:p w14:paraId="4CAD99F3" w14:textId="77777777" w:rsidR="00BD0757" w:rsidRDefault="00000000">
      <w:pPr>
        <w:ind w:left="1374" w:right="1369"/>
        <w:jc w:val="center"/>
        <w:rPr>
          <w:b/>
          <w:sz w:val="24"/>
        </w:rPr>
      </w:pPr>
      <w:proofErr w:type="spellStart"/>
      <w:r>
        <w:rPr>
          <w:b/>
          <w:sz w:val="24"/>
        </w:rPr>
        <w:t>Řešitelský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tým</w:t>
      </w:r>
      <w:proofErr w:type="spellEnd"/>
    </w:p>
    <w:p w14:paraId="3AF7D333" w14:textId="77777777" w:rsidR="00BD0757" w:rsidRDefault="00BD0757">
      <w:pPr>
        <w:pStyle w:val="Zkladntext"/>
        <w:spacing w:before="10"/>
        <w:jc w:val="left"/>
        <w:rPr>
          <w:b/>
          <w:sz w:val="23"/>
        </w:rPr>
      </w:pPr>
    </w:p>
    <w:p w14:paraId="506E0FC9" w14:textId="77777777" w:rsidR="00BD0757" w:rsidRDefault="00000000">
      <w:pPr>
        <w:pStyle w:val="Odstavecseseznamem"/>
        <w:numPr>
          <w:ilvl w:val="1"/>
          <w:numId w:val="8"/>
        </w:numPr>
        <w:tabs>
          <w:tab w:val="left" w:pos="856"/>
        </w:tabs>
        <w:spacing w:before="0"/>
        <w:ind w:right="114"/>
        <w:jc w:val="both"/>
        <w:rPr>
          <w:sz w:val="24"/>
        </w:rPr>
      </w:pPr>
      <w:proofErr w:type="spellStart"/>
      <w:r>
        <w:rPr>
          <w:sz w:val="24"/>
        </w:rPr>
        <w:t>Řešitelský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významným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účastníku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29607E11" w14:textId="387E841B" w:rsidR="00BD0757" w:rsidRDefault="00000000">
      <w:pPr>
        <w:pStyle w:val="Odstavecseseznamem"/>
        <w:numPr>
          <w:ilvl w:val="1"/>
          <w:numId w:val="8"/>
        </w:numPr>
        <w:tabs>
          <w:tab w:val="left" w:pos="856"/>
        </w:tabs>
        <w:spacing w:before="0"/>
        <w:ind w:right="113"/>
        <w:jc w:val="both"/>
        <w:rPr>
          <w:sz w:val="24"/>
        </w:rPr>
      </w:pP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je: </w:t>
      </w:r>
      <w:proofErr w:type="spellStart"/>
      <w:r w:rsidR="00CD3BF3">
        <w:rPr>
          <w:rFonts w:ascii="Arial" w:hAnsi="Arial"/>
          <w:b/>
          <w:sz w:val="20"/>
        </w:rPr>
        <w:t>xxxx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výzkumný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2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řešitel</w:t>
      </w:r>
      <w:proofErr w:type="spellEnd"/>
      <w:r>
        <w:rPr>
          <w:sz w:val="24"/>
        </w:rPr>
        <w:t>“).</w:t>
      </w:r>
    </w:p>
    <w:p w14:paraId="75D1292A" w14:textId="733E7AC2" w:rsidR="00BD0757" w:rsidRDefault="00000000">
      <w:pPr>
        <w:pStyle w:val="Odstavecseseznamem"/>
        <w:numPr>
          <w:ilvl w:val="1"/>
          <w:numId w:val="8"/>
        </w:numPr>
        <w:tabs>
          <w:tab w:val="left" w:pos="856"/>
        </w:tabs>
        <w:spacing w:before="0"/>
        <w:ind w:right="112"/>
        <w:jc w:val="both"/>
        <w:rPr>
          <w:sz w:val="24"/>
        </w:rPr>
      </w:pP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projektu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je:</w:t>
      </w:r>
      <w:r>
        <w:rPr>
          <w:spacing w:val="-4"/>
          <w:sz w:val="24"/>
        </w:rPr>
        <w:t xml:space="preserve"> </w:t>
      </w:r>
      <w:proofErr w:type="spellStart"/>
      <w:r w:rsidR="00CD3BF3">
        <w:rPr>
          <w:b/>
          <w:sz w:val="24"/>
        </w:rPr>
        <w:t>xxxxxx</w:t>
      </w:r>
      <w:proofErr w:type="spellEnd"/>
      <w:r>
        <w:rPr>
          <w:b/>
          <w:sz w:val="24"/>
        </w:rPr>
        <w:t>.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výzkumný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pracovník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další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řešitel</w:t>
      </w:r>
      <w:proofErr w:type="spellEnd"/>
      <w:r>
        <w:rPr>
          <w:sz w:val="24"/>
        </w:rPr>
        <w:t>“).</w:t>
      </w:r>
    </w:p>
    <w:p w14:paraId="74252C09" w14:textId="77777777" w:rsidR="00BD0757" w:rsidRDefault="00BD0757">
      <w:pPr>
        <w:pStyle w:val="Zkladntext"/>
        <w:jc w:val="left"/>
        <w:rPr>
          <w:sz w:val="28"/>
        </w:rPr>
      </w:pPr>
    </w:p>
    <w:p w14:paraId="5117582B" w14:textId="77777777" w:rsidR="00BD0757" w:rsidRDefault="00000000">
      <w:pPr>
        <w:pStyle w:val="Nadpis2"/>
        <w:spacing w:before="186"/>
      </w:pPr>
      <w:bookmarkStart w:id="0" w:name="Věcná_náplň_spolupráce_příjemce_a_dalšíh"/>
      <w:bookmarkEnd w:id="0"/>
      <w:proofErr w:type="spellStart"/>
      <w:r>
        <w:t>Článek</w:t>
      </w:r>
      <w:proofErr w:type="spellEnd"/>
      <w:r>
        <w:t xml:space="preserve"> </w:t>
      </w:r>
      <w:proofErr w:type="gramStart"/>
      <w:r>
        <w:t>5</w:t>
      </w:r>
      <w:proofErr w:type="gramEnd"/>
      <w:r>
        <w:t>.</w:t>
      </w:r>
    </w:p>
    <w:p w14:paraId="079E500D" w14:textId="77777777" w:rsidR="00BD0757" w:rsidRDefault="00000000">
      <w:pPr>
        <w:ind w:left="1374" w:right="1374"/>
        <w:jc w:val="center"/>
        <w:rPr>
          <w:b/>
          <w:sz w:val="24"/>
        </w:rPr>
      </w:pPr>
      <w:proofErr w:type="spellStart"/>
      <w:r>
        <w:rPr>
          <w:b/>
          <w:sz w:val="24"/>
        </w:rPr>
        <w:t>Věcná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náplň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spolupráce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dalšího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účastníka</w:t>
      </w:r>
      <w:proofErr w:type="spellEnd"/>
    </w:p>
    <w:p w14:paraId="5F71C1D0" w14:textId="77777777" w:rsidR="00BD0757" w:rsidRDefault="00BD0757">
      <w:pPr>
        <w:pStyle w:val="Zkladntext"/>
        <w:spacing w:before="1"/>
        <w:jc w:val="left"/>
        <w:rPr>
          <w:b/>
          <w:sz w:val="40"/>
        </w:rPr>
      </w:pPr>
    </w:p>
    <w:p w14:paraId="2A252028" w14:textId="77777777" w:rsidR="00BD0757" w:rsidRDefault="00000000">
      <w:pPr>
        <w:pStyle w:val="Odstavecseseznamem"/>
        <w:numPr>
          <w:ilvl w:val="1"/>
          <w:numId w:val="7"/>
        </w:numPr>
        <w:tabs>
          <w:tab w:val="left" w:pos="856"/>
        </w:tabs>
        <w:spacing w:before="0"/>
        <w:ind w:right="112"/>
        <w:jc w:val="both"/>
        <w:rPr>
          <w:sz w:val="24"/>
        </w:rPr>
      </w:pPr>
      <w:bookmarkStart w:id="1" w:name="5.1_Smluvní_strany_se_za_účelem_naplnění"/>
      <w:bookmarkEnd w:id="1"/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příp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)  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řešitele</w:t>
      </w:r>
      <w:proofErr w:type="spellEnd"/>
      <w:r>
        <w:rPr>
          <w:sz w:val="24"/>
        </w:rPr>
        <w:t xml:space="preserve">  (</w:t>
      </w:r>
      <w:proofErr w:type="spellStart"/>
      <w:r>
        <w:rPr>
          <w:sz w:val="24"/>
        </w:rPr>
        <w:t>příp</w:t>
      </w:r>
      <w:proofErr w:type="spellEnd"/>
      <w:proofErr w:type="gramStart"/>
      <w:r>
        <w:rPr>
          <w:sz w:val="24"/>
        </w:rPr>
        <w:t xml:space="preserve">.  </w:t>
      </w:r>
      <w:proofErr w:type="spellStart"/>
      <w:proofErr w:type="gramEnd"/>
      <w:r>
        <w:rPr>
          <w:sz w:val="24"/>
        </w:rPr>
        <w:t>dalších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)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6D4F5EF8" w14:textId="77777777" w:rsidR="00BD0757" w:rsidRDefault="00000000">
      <w:pPr>
        <w:pStyle w:val="Odstavecseseznamem"/>
        <w:numPr>
          <w:ilvl w:val="1"/>
          <w:numId w:val="7"/>
        </w:numPr>
        <w:tabs>
          <w:tab w:val="left" w:pos="856"/>
        </w:tabs>
        <w:spacing w:before="0"/>
        <w:ind w:right="174"/>
        <w:jc w:val="both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náplň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úkoly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vymezena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vstupní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dokumentaci</w:t>
      </w:r>
      <w:proofErr w:type="spellEnd"/>
      <w:r>
        <w:rPr>
          <w:sz w:val="24"/>
        </w:rPr>
        <w:t xml:space="preserve"> - „</w:t>
      </w:r>
      <w:proofErr w:type="spellStart"/>
      <w:r>
        <w:rPr>
          <w:sz w:val="24"/>
        </w:rPr>
        <w:t>Český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28"/>
          <w:sz w:val="24"/>
        </w:rPr>
        <w:t xml:space="preserve"> </w:t>
      </w:r>
      <w:r>
        <w:rPr>
          <w:sz w:val="24"/>
        </w:rPr>
        <w:t>EUREKA“.</w:t>
      </w:r>
    </w:p>
    <w:p w14:paraId="18FB3207" w14:textId="77777777" w:rsidR="00BD0757" w:rsidRDefault="00BD0757">
      <w:pPr>
        <w:pStyle w:val="Zkladntext"/>
        <w:jc w:val="left"/>
        <w:rPr>
          <w:sz w:val="28"/>
        </w:rPr>
      </w:pPr>
    </w:p>
    <w:p w14:paraId="77BAF99A" w14:textId="77777777" w:rsidR="00BD0757" w:rsidRDefault="00BD0757">
      <w:pPr>
        <w:pStyle w:val="Zkladntext"/>
        <w:jc w:val="left"/>
        <w:rPr>
          <w:sz w:val="36"/>
        </w:rPr>
      </w:pPr>
    </w:p>
    <w:p w14:paraId="5B067896" w14:textId="77777777" w:rsidR="00BD0757" w:rsidRDefault="00000000">
      <w:pPr>
        <w:pStyle w:val="Nadpis2"/>
      </w:pPr>
      <w:bookmarkStart w:id="2" w:name="Finanční_zajištění_projektu"/>
      <w:bookmarkEnd w:id="2"/>
      <w:proofErr w:type="spellStart"/>
      <w:r>
        <w:t>Článek</w:t>
      </w:r>
      <w:proofErr w:type="spellEnd"/>
      <w:r>
        <w:t xml:space="preserve"> </w:t>
      </w:r>
      <w:proofErr w:type="gramStart"/>
      <w:r>
        <w:t>6</w:t>
      </w:r>
      <w:proofErr w:type="gramEnd"/>
      <w:r>
        <w:t>.</w:t>
      </w:r>
    </w:p>
    <w:p w14:paraId="224D0536" w14:textId="77777777" w:rsidR="00BD0757" w:rsidRDefault="00000000">
      <w:pPr>
        <w:ind w:left="1374" w:right="1372"/>
        <w:jc w:val="center"/>
        <w:rPr>
          <w:b/>
          <w:sz w:val="24"/>
        </w:rPr>
      </w:pPr>
      <w:proofErr w:type="spellStart"/>
      <w:r>
        <w:rPr>
          <w:b/>
          <w:sz w:val="24"/>
        </w:rPr>
        <w:t>Finanční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7FCD9F9C" w14:textId="77777777" w:rsidR="00BD0757" w:rsidRDefault="00000000">
      <w:pPr>
        <w:pStyle w:val="Odstavecseseznamem"/>
        <w:numPr>
          <w:ilvl w:val="1"/>
          <w:numId w:val="6"/>
        </w:numPr>
        <w:tabs>
          <w:tab w:val="left" w:pos="856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neinvestiční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:</w:t>
      </w:r>
    </w:p>
    <w:p w14:paraId="0E713051" w14:textId="77777777" w:rsidR="00BD0757" w:rsidRDefault="00000000">
      <w:pPr>
        <w:pStyle w:val="Nadpis1"/>
        <w:spacing w:before="118"/>
      </w:pPr>
      <w:r>
        <w:t xml:space="preserve">3 000 000,-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tři</w:t>
      </w:r>
      <w:proofErr w:type="spellEnd"/>
      <w:r>
        <w:t xml:space="preserve"> </w:t>
      </w:r>
      <w:proofErr w:type="spellStart"/>
      <w:r>
        <w:t>miliony</w:t>
      </w:r>
      <w:proofErr w:type="spellEnd"/>
      <w:r>
        <w:t xml:space="preserve"> Korun </w:t>
      </w:r>
      <w:proofErr w:type="spellStart"/>
      <w:r>
        <w:t>českých</w:t>
      </w:r>
      <w:proofErr w:type="spellEnd"/>
      <w:r>
        <w:t>),</w:t>
      </w:r>
    </w:p>
    <w:p w14:paraId="275744A8" w14:textId="77777777" w:rsidR="00BD0757" w:rsidRDefault="00000000">
      <w:pPr>
        <w:pStyle w:val="Zkladntext"/>
        <w:spacing w:before="59"/>
        <w:ind w:left="826"/>
        <w:jc w:val="left"/>
      </w:pPr>
      <w:proofErr w:type="spellStart"/>
      <w:r>
        <w:t>a</w:t>
      </w:r>
      <w:proofErr w:type="spellEnd"/>
      <w:r>
        <w:t xml:space="preserve"> to v </w:t>
      </w:r>
      <w:proofErr w:type="spellStart"/>
      <w:r>
        <w:t>roce</w:t>
      </w:r>
      <w:proofErr w:type="spellEnd"/>
      <w:r>
        <w:t xml:space="preserve"> 2024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500</w:t>
      </w:r>
      <w:proofErr w:type="gramEnd"/>
      <w:r>
        <w:t xml:space="preserve"> tis. </w:t>
      </w:r>
      <w:proofErr w:type="spellStart"/>
      <w:r>
        <w:t>Kč</w:t>
      </w:r>
      <w:proofErr w:type="spellEnd"/>
      <w:r>
        <w:t xml:space="preserve">, v </w:t>
      </w:r>
      <w:proofErr w:type="spellStart"/>
      <w:r>
        <w:t>roce</w:t>
      </w:r>
      <w:proofErr w:type="spellEnd"/>
      <w:r>
        <w:t xml:space="preserve"> 2025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1 000 tis. </w:t>
      </w:r>
      <w:proofErr w:type="spellStart"/>
      <w:r>
        <w:t>Kč</w:t>
      </w:r>
      <w:proofErr w:type="spellEnd"/>
      <w:r>
        <w:t xml:space="preserve">, v </w:t>
      </w:r>
      <w:proofErr w:type="spellStart"/>
      <w:r>
        <w:t>roce</w:t>
      </w:r>
      <w:proofErr w:type="spellEnd"/>
      <w:r>
        <w:t xml:space="preserve"> 2026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1 000 tis. </w:t>
      </w:r>
      <w:proofErr w:type="spellStart"/>
      <w:r>
        <w:t>Kč</w:t>
      </w:r>
      <w:proofErr w:type="spellEnd"/>
      <w:r>
        <w:t xml:space="preserve"> a v </w:t>
      </w:r>
      <w:proofErr w:type="spellStart"/>
      <w:r>
        <w:t>roce</w:t>
      </w:r>
      <w:proofErr w:type="spellEnd"/>
      <w:r>
        <w:t xml:space="preserve"> 2027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500</w:t>
      </w:r>
      <w:proofErr w:type="gramEnd"/>
      <w:r>
        <w:t xml:space="preserve"> tis. </w:t>
      </w:r>
      <w:proofErr w:type="spellStart"/>
      <w:r>
        <w:t>Kč</w:t>
      </w:r>
      <w:proofErr w:type="spellEnd"/>
      <w:r>
        <w:t>.</w:t>
      </w:r>
    </w:p>
    <w:p w14:paraId="59F1A178" w14:textId="77777777" w:rsidR="00BD0757" w:rsidRDefault="00BD0757">
      <w:pPr>
        <w:pStyle w:val="Zkladntext"/>
        <w:spacing w:before="1"/>
        <w:jc w:val="left"/>
      </w:pPr>
    </w:p>
    <w:p w14:paraId="25CC5A87" w14:textId="77777777" w:rsidR="00BD0757" w:rsidRDefault="00000000">
      <w:pPr>
        <w:pStyle w:val="Odstavecseseznamem"/>
        <w:numPr>
          <w:ilvl w:val="1"/>
          <w:numId w:val="6"/>
        </w:numPr>
        <w:tabs>
          <w:tab w:val="left" w:pos="827"/>
        </w:tabs>
        <w:spacing w:before="0"/>
        <w:ind w:right="113"/>
        <w:jc w:val="both"/>
        <w:rPr>
          <w:sz w:val="24"/>
        </w:rPr>
      </w:pP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bezhotovostním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převodem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20-ti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2BB9B008" w14:textId="77777777" w:rsidR="00BD0757" w:rsidRDefault="00000000">
      <w:pPr>
        <w:pStyle w:val="Odstavecseseznamem"/>
        <w:numPr>
          <w:ilvl w:val="1"/>
          <w:numId w:val="6"/>
        </w:numPr>
        <w:tabs>
          <w:tab w:val="left" w:pos="827"/>
        </w:tabs>
        <w:spacing w:before="0"/>
        <w:ind w:right="112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14:paraId="0DA2E539" w14:textId="77777777" w:rsidR="00BD0757" w:rsidRDefault="00000000">
      <w:pPr>
        <w:pStyle w:val="Odstavecseseznamem"/>
        <w:numPr>
          <w:ilvl w:val="1"/>
          <w:numId w:val="6"/>
        </w:numPr>
        <w:tabs>
          <w:tab w:val="left" w:pos="826"/>
          <w:tab w:val="left" w:pos="827"/>
        </w:tabs>
        <w:ind w:left="826" w:right="0" w:hanging="708"/>
        <w:rPr>
          <w:sz w:val="24"/>
        </w:rPr>
      </w:pPr>
      <w:proofErr w:type="spellStart"/>
      <w:r>
        <w:rPr>
          <w:spacing w:val="-3"/>
          <w:sz w:val="24"/>
        </w:rPr>
        <w:t>Převáděné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účelové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prostředky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předmětem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>DPH.</w:t>
      </w:r>
    </w:p>
    <w:p w14:paraId="3D4065AB" w14:textId="77777777" w:rsidR="00BD0757" w:rsidRDefault="00000000">
      <w:pPr>
        <w:pStyle w:val="Odstavecseseznamem"/>
        <w:numPr>
          <w:ilvl w:val="1"/>
          <w:numId w:val="6"/>
        </w:numPr>
        <w:tabs>
          <w:tab w:val="left" w:pos="827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14:paraId="6A89202B" w14:textId="77777777" w:rsidR="00BD0757" w:rsidRDefault="00000000">
      <w:pPr>
        <w:pStyle w:val="Odstavecseseznamem"/>
        <w:numPr>
          <w:ilvl w:val="1"/>
          <w:numId w:val="6"/>
        </w:numPr>
        <w:tabs>
          <w:tab w:val="left" w:pos="827"/>
        </w:tabs>
        <w:ind w:right="116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neposkytnutí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nevzniká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bodu</w:t>
      </w:r>
      <w:proofErr w:type="spellEnd"/>
      <w:r>
        <w:rPr>
          <w:spacing w:val="-32"/>
          <w:sz w:val="24"/>
        </w:rPr>
        <w:t xml:space="preserve"> </w:t>
      </w:r>
      <w:r>
        <w:rPr>
          <w:sz w:val="24"/>
        </w:rPr>
        <w:t>6.1.</w:t>
      </w:r>
    </w:p>
    <w:p w14:paraId="29A403AA" w14:textId="77777777" w:rsidR="00BD0757" w:rsidRDefault="00BD0757">
      <w:pPr>
        <w:pStyle w:val="Zkladntext"/>
        <w:jc w:val="left"/>
        <w:rPr>
          <w:sz w:val="28"/>
        </w:rPr>
      </w:pPr>
    </w:p>
    <w:p w14:paraId="142D55C5" w14:textId="77777777" w:rsidR="00BD0757" w:rsidRDefault="00BD0757">
      <w:pPr>
        <w:pStyle w:val="Zkladntext"/>
        <w:spacing w:before="4"/>
        <w:jc w:val="left"/>
        <w:rPr>
          <w:sz w:val="30"/>
        </w:rPr>
      </w:pPr>
    </w:p>
    <w:p w14:paraId="2A402535" w14:textId="77777777" w:rsidR="00BD0757" w:rsidRDefault="00000000">
      <w:pPr>
        <w:pStyle w:val="Nadpis2"/>
      </w:pPr>
      <w:proofErr w:type="spellStart"/>
      <w:r>
        <w:t>Článek</w:t>
      </w:r>
      <w:proofErr w:type="spellEnd"/>
      <w:r>
        <w:t xml:space="preserve"> </w:t>
      </w:r>
      <w:proofErr w:type="gramStart"/>
      <w:r>
        <w:t>7</w:t>
      </w:r>
      <w:proofErr w:type="gramEnd"/>
      <w:r>
        <w:t>.</w:t>
      </w:r>
    </w:p>
    <w:p w14:paraId="79E03665" w14:textId="77777777" w:rsidR="00BD0757" w:rsidRDefault="00BD0757">
      <w:pPr>
        <w:sectPr w:rsidR="00BD0757">
          <w:pgSz w:w="11910" w:h="16850"/>
          <w:pgMar w:top="1480" w:right="1300" w:bottom="920" w:left="1300" w:header="0" w:footer="731" w:gutter="0"/>
          <w:cols w:space="708"/>
        </w:sectPr>
      </w:pPr>
    </w:p>
    <w:p w14:paraId="2993C039" w14:textId="77777777" w:rsidR="00BD0757" w:rsidRDefault="00000000">
      <w:pPr>
        <w:spacing w:before="74"/>
        <w:ind w:left="1601"/>
        <w:rPr>
          <w:b/>
          <w:sz w:val="24"/>
        </w:rPr>
      </w:pPr>
      <w:bookmarkStart w:id="3" w:name="Podmínky_použití_poskytnutých_účelových_"/>
      <w:bookmarkEnd w:id="3"/>
      <w:proofErr w:type="spellStart"/>
      <w:r>
        <w:rPr>
          <w:b/>
          <w:sz w:val="24"/>
        </w:rPr>
        <w:lastRenderedPageBreak/>
        <w:t>Podmínky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použití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účelových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prostředků</w:t>
      </w:r>
      <w:proofErr w:type="spellEnd"/>
    </w:p>
    <w:p w14:paraId="2442042E" w14:textId="77777777" w:rsidR="00BD0757" w:rsidRDefault="00000000">
      <w:pPr>
        <w:pStyle w:val="Zkladntext"/>
        <w:spacing w:before="120"/>
        <w:ind w:left="118"/>
        <w:jc w:val="left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>:</w:t>
      </w:r>
    </w:p>
    <w:p w14:paraId="13A71867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výhradně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nezbytně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parametrů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podmínkami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0C5FEA08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jc w:val="both"/>
        <w:rPr>
          <w:sz w:val="24"/>
        </w:rPr>
      </w:pPr>
      <w:proofErr w:type="spellStart"/>
      <w:r>
        <w:rPr>
          <w:sz w:val="24"/>
        </w:rPr>
        <w:t>Vést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samostatnou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nimi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odděleno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Tuto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10-ti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evidence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běžné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zvyklosti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zásadách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pokynech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směrnicích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zpravodaji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financí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závazným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>.</w:t>
      </w:r>
    </w:p>
    <w:p w14:paraId="56A1FABD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řešitele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řešením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1F1D0997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6"/>
          <w:tab w:val="left" w:pos="827"/>
        </w:tabs>
        <w:spacing w:before="58"/>
        <w:ind w:right="0"/>
        <w:rPr>
          <w:sz w:val="24"/>
        </w:rPr>
      </w:pPr>
      <w:proofErr w:type="spellStart"/>
      <w:r>
        <w:rPr>
          <w:sz w:val="24"/>
        </w:rPr>
        <w:t>Dosáhnout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parametrů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3805B308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Dodržet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hrazenými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ostatními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4DB21731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spacing w:before="57"/>
        <w:jc w:val="both"/>
        <w:rPr>
          <w:sz w:val="24"/>
        </w:rPr>
      </w:pPr>
      <w:proofErr w:type="spellStart"/>
      <w:r>
        <w:rPr>
          <w:sz w:val="24"/>
        </w:rPr>
        <w:t>Předložit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gramStart"/>
      <w:r>
        <w:rPr>
          <w:b/>
          <w:sz w:val="24"/>
        </w:rPr>
        <w:t>15</w:t>
      </w:r>
      <w:proofErr w:type="gramEnd"/>
      <w:r>
        <w:rPr>
          <w:b/>
          <w:sz w:val="24"/>
        </w:rPr>
        <w:t xml:space="preserve">. 1.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podrobné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hospodaření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finančními</w:t>
      </w:r>
      <w:proofErr w:type="spellEnd"/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>.</w:t>
      </w:r>
    </w:p>
    <w:p w14:paraId="4430921C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přidělené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níž</w:t>
      </w:r>
      <w:proofErr w:type="spellEnd"/>
      <w:r>
        <w:rPr>
          <w:sz w:val="24"/>
        </w:rPr>
        <w:t xml:space="preserve"> mu je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známo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určitostí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dočerpána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 xml:space="preserve">, co se </w:t>
      </w:r>
      <w:proofErr w:type="spellStart"/>
      <w:r>
        <w:rPr>
          <w:sz w:val="24"/>
        </w:rPr>
        <w:t>dozví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jakéhokoliv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nevyužije</w:t>
      </w:r>
      <w:proofErr w:type="spellEnd"/>
      <w:r>
        <w:rPr>
          <w:sz w:val="24"/>
        </w:rPr>
        <w:t>.</w:t>
      </w:r>
    </w:p>
    <w:p w14:paraId="166217D0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ind w:right="114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vypořádání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způsobu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>.</w:t>
      </w:r>
    </w:p>
    <w:p w14:paraId="4C383FA8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pověřeným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komplexní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jak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evidence a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do 10-ti let od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omezena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kontrolních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.</w:t>
      </w:r>
    </w:p>
    <w:p w14:paraId="24EEF99B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jc w:val="both"/>
        <w:rPr>
          <w:sz w:val="24"/>
        </w:rPr>
      </w:pP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účelovými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efektivně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hospodárně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účelně</w:t>
      </w:r>
      <w:proofErr w:type="spellEnd"/>
      <w:r>
        <w:rPr>
          <w:sz w:val="24"/>
        </w:rPr>
        <w:t xml:space="preserve">  a </w:t>
      </w:r>
      <w:proofErr w:type="spellStart"/>
      <w:r>
        <w:rPr>
          <w:sz w:val="24"/>
        </w:rPr>
        <w:t>přiměřeně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cenám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obvyklým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vynakládání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postupovat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134/2016 Sb., o </w:t>
      </w:r>
      <w:proofErr w:type="spellStart"/>
      <w:r>
        <w:rPr>
          <w:sz w:val="24"/>
        </w:rPr>
        <w:t>zadávání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7EEA8686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smluvně</w:t>
      </w:r>
      <w:proofErr w:type="spellEnd"/>
      <w:r>
        <w:rPr>
          <w:sz w:val="24"/>
        </w:rPr>
        <w:t xml:space="preserve">  s </w:t>
      </w:r>
      <w:proofErr w:type="spellStart"/>
      <w:r>
        <w:rPr>
          <w:sz w:val="24"/>
        </w:rPr>
        <w:t>nositeli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chráněných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vzniklých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 </w:t>
      </w:r>
      <w:proofErr w:type="spellStart"/>
      <w:r>
        <w:rPr>
          <w:sz w:val="24"/>
        </w:rPr>
        <w:t>realizací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těmito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právy</w:t>
      </w:r>
      <w:proofErr w:type="spellEnd"/>
      <w:r>
        <w:rPr>
          <w:sz w:val="24"/>
        </w:rPr>
        <w:t>.</w:t>
      </w:r>
    </w:p>
    <w:p w14:paraId="0637AD02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spacing w:before="58"/>
        <w:ind w:right="113"/>
        <w:jc w:val="both"/>
        <w:rPr>
          <w:sz w:val="24"/>
        </w:rPr>
      </w:pP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neschopnosti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něj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postavení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snížení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kapitálu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vstup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likvidace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insolventního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zánik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činnosti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>.,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bezprostředně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tyto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nabudou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>.</w:t>
      </w:r>
    </w:p>
    <w:p w14:paraId="20F4CF9D" w14:textId="77777777" w:rsidR="00BD0757" w:rsidRDefault="00000000">
      <w:pPr>
        <w:pStyle w:val="Odstavecseseznamem"/>
        <w:numPr>
          <w:ilvl w:val="1"/>
          <w:numId w:val="5"/>
        </w:numPr>
        <w:tabs>
          <w:tab w:val="left" w:pos="827"/>
        </w:tabs>
        <w:jc w:val="both"/>
        <w:rPr>
          <w:sz w:val="24"/>
        </w:rPr>
      </w:pP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nevyčerpané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získaného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použitím</w:t>
      </w:r>
      <w:proofErr w:type="spellEnd"/>
      <w:r>
        <w:rPr>
          <w:sz w:val="24"/>
        </w:rPr>
        <w:t xml:space="preserve"> a to do 30-ti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oznámit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nastaly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jejichž</w:t>
      </w:r>
      <w:proofErr w:type="spellEnd"/>
      <w:r>
        <w:rPr>
          <w:spacing w:val="25"/>
          <w:sz w:val="24"/>
        </w:rPr>
        <w:t xml:space="preserve"> </w:t>
      </w:r>
      <w:proofErr w:type="spellStart"/>
      <w:proofErr w:type="gramStart"/>
      <w:r>
        <w:rPr>
          <w:sz w:val="24"/>
        </w:rPr>
        <w:t>základě</w:t>
      </w:r>
      <w:proofErr w:type="spellEnd"/>
      <w:proofErr w:type="gramEnd"/>
    </w:p>
    <w:p w14:paraId="6ACD821D" w14:textId="77777777" w:rsidR="00BD0757" w:rsidRDefault="00BD0757">
      <w:pPr>
        <w:jc w:val="both"/>
        <w:rPr>
          <w:sz w:val="24"/>
        </w:rPr>
        <w:sectPr w:rsidR="00BD0757">
          <w:pgSz w:w="11910" w:h="16850"/>
          <w:pgMar w:top="1200" w:right="1300" w:bottom="920" w:left="1300" w:header="0" w:footer="731" w:gutter="0"/>
          <w:cols w:space="708"/>
        </w:sectPr>
      </w:pPr>
    </w:p>
    <w:p w14:paraId="690588B2" w14:textId="77777777" w:rsidR="00BD0757" w:rsidRDefault="00000000">
      <w:pPr>
        <w:pStyle w:val="Zkladntext"/>
        <w:spacing w:before="74"/>
        <w:ind w:left="826" w:right="68"/>
        <w:jc w:val="left"/>
      </w:pPr>
      <w:proofErr w:type="spellStart"/>
      <w:r>
        <w:lastRenderedPageBreak/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pro </w:t>
      </w:r>
      <w:proofErr w:type="spellStart"/>
      <w:r>
        <w:t>něj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459FFBD" w14:textId="77777777" w:rsidR="00BD0757" w:rsidRDefault="00000000">
      <w:pPr>
        <w:pStyle w:val="Nadpis2"/>
      </w:pPr>
      <w:proofErr w:type="spellStart"/>
      <w:r>
        <w:t>Článek</w:t>
      </w:r>
      <w:proofErr w:type="spellEnd"/>
      <w:r>
        <w:t xml:space="preserve"> </w:t>
      </w:r>
      <w:proofErr w:type="gramStart"/>
      <w:r>
        <w:t>8</w:t>
      </w:r>
      <w:proofErr w:type="gramEnd"/>
      <w:r>
        <w:t>.</w:t>
      </w:r>
    </w:p>
    <w:p w14:paraId="5BB4BECA" w14:textId="77777777" w:rsidR="00BD0757" w:rsidRDefault="00000000">
      <w:pPr>
        <w:ind w:left="1374" w:right="1372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hmotnému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majetku</w:t>
      </w:r>
      <w:proofErr w:type="spellEnd"/>
    </w:p>
    <w:p w14:paraId="40083003" w14:textId="77777777" w:rsidR="00BD0757" w:rsidRDefault="00000000">
      <w:pPr>
        <w:pStyle w:val="Odstavecseseznamem"/>
        <w:numPr>
          <w:ilvl w:val="1"/>
          <w:numId w:val="4"/>
        </w:numPr>
        <w:tabs>
          <w:tab w:val="left" w:pos="856"/>
        </w:tabs>
        <w:spacing w:before="118"/>
        <w:ind w:right="109"/>
        <w:jc w:val="both"/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nutného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pořízeného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, je ta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pořídila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ho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vytvořila</w:t>
      </w:r>
      <w:proofErr w:type="spellEnd"/>
      <w:r>
        <w:rPr>
          <w:sz w:val="24"/>
        </w:rPr>
        <w:t xml:space="preserve">. Byl-li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pořízen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nedohodnou</w:t>
      </w:r>
      <w:proofErr w:type="spellEnd"/>
      <w:r>
        <w:rPr>
          <w:sz w:val="24"/>
        </w:rPr>
        <w:t>-li se</w:t>
      </w:r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>.</w:t>
      </w:r>
    </w:p>
    <w:p w14:paraId="1526BAC2" w14:textId="77777777" w:rsidR="00BD0757" w:rsidRDefault="00000000">
      <w:pPr>
        <w:pStyle w:val="Odstavecseseznamem"/>
        <w:numPr>
          <w:ilvl w:val="1"/>
          <w:numId w:val="4"/>
        </w:numPr>
        <w:tabs>
          <w:tab w:val="left" w:pos="856"/>
        </w:tabs>
        <w:spacing w:before="120"/>
        <w:ind w:right="112"/>
        <w:jc w:val="both"/>
        <w:rPr>
          <w:sz w:val="24"/>
        </w:rPr>
      </w:pPr>
      <w:r>
        <w:rPr>
          <w:sz w:val="24"/>
        </w:rPr>
        <w:t xml:space="preserve">S </w:t>
      </w:r>
      <w:proofErr w:type="spellStart"/>
      <w:r>
        <w:rPr>
          <w:sz w:val="24"/>
        </w:rPr>
        <w:t>majetkem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přímé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pořídí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vyrovnání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09D76BE3" w14:textId="77777777" w:rsidR="00BD0757" w:rsidRDefault="00000000">
      <w:pPr>
        <w:pStyle w:val="Odstavecseseznamem"/>
        <w:numPr>
          <w:ilvl w:val="1"/>
          <w:numId w:val="4"/>
        </w:numPr>
        <w:tabs>
          <w:tab w:val="left" w:pos="856"/>
        </w:tabs>
        <w:spacing w:before="120"/>
        <w:ind w:right="11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potřebná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zpřístupnění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pacing w:val="-36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z w:val="24"/>
        </w:rPr>
        <w:t>.</w:t>
      </w:r>
    </w:p>
    <w:p w14:paraId="28529AEA" w14:textId="77777777" w:rsidR="00BD0757" w:rsidRDefault="00BD0757">
      <w:pPr>
        <w:pStyle w:val="Zkladntext"/>
        <w:jc w:val="left"/>
        <w:rPr>
          <w:sz w:val="28"/>
        </w:rPr>
      </w:pPr>
    </w:p>
    <w:p w14:paraId="040DC65F" w14:textId="77777777" w:rsidR="00BD0757" w:rsidRDefault="00000000">
      <w:pPr>
        <w:pStyle w:val="Nadpis2"/>
        <w:spacing w:before="229"/>
      </w:pPr>
      <w:bookmarkStart w:id="4" w:name="Ochrana_duševního_vlastnictví._Práva_k_v"/>
      <w:bookmarkEnd w:id="4"/>
      <w:proofErr w:type="spellStart"/>
      <w:r>
        <w:t>Článek</w:t>
      </w:r>
      <w:proofErr w:type="spellEnd"/>
      <w:r>
        <w:t xml:space="preserve"> </w:t>
      </w:r>
      <w:proofErr w:type="gramStart"/>
      <w:r>
        <w:t>9</w:t>
      </w:r>
      <w:proofErr w:type="gramEnd"/>
      <w:r>
        <w:t>.</w:t>
      </w:r>
    </w:p>
    <w:p w14:paraId="1F7FE94E" w14:textId="77777777" w:rsidR="00BD0757" w:rsidRDefault="00000000">
      <w:pPr>
        <w:ind w:left="245" w:right="245"/>
        <w:jc w:val="center"/>
        <w:rPr>
          <w:b/>
          <w:sz w:val="24"/>
        </w:rPr>
      </w:pPr>
      <w:proofErr w:type="spellStart"/>
      <w:r>
        <w:rPr>
          <w:b/>
          <w:sz w:val="24"/>
        </w:rPr>
        <w:t>Ochrana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duševního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vlastnictví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výsledkům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využití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výsledků</w:t>
      </w:r>
      <w:proofErr w:type="spellEnd"/>
      <w:r>
        <w:rPr>
          <w:b/>
          <w:sz w:val="24"/>
        </w:rPr>
        <w:t>.</w:t>
      </w:r>
    </w:p>
    <w:p w14:paraId="0926110F" w14:textId="77777777" w:rsidR="00BD0757" w:rsidRDefault="00000000">
      <w:pPr>
        <w:pStyle w:val="Odstavecseseznamem"/>
        <w:numPr>
          <w:ilvl w:val="1"/>
          <w:numId w:val="3"/>
        </w:numPr>
        <w:tabs>
          <w:tab w:val="left" w:pos="827"/>
        </w:tabs>
        <w:spacing w:before="117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(í)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považují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>.</w:t>
      </w:r>
    </w:p>
    <w:p w14:paraId="14691703" w14:textId="77777777" w:rsidR="00BD0757" w:rsidRDefault="00000000">
      <w:pPr>
        <w:pStyle w:val="Odstavecseseznamem"/>
        <w:numPr>
          <w:ilvl w:val="1"/>
          <w:numId w:val="3"/>
        </w:numPr>
        <w:tabs>
          <w:tab w:val="left" w:pos="826"/>
          <w:tab w:val="left" w:pos="827"/>
        </w:tabs>
        <w:spacing w:before="117"/>
        <w:ind w:right="0"/>
        <w:rPr>
          <w:sz w:val="24"/>
        </w:rPr>
      </w:pPr>
      <w:proofErr w:type="spellStart"/>
      <w:r>
        <w:rPr>
          <w:sz w:val="24"/>
          <w:u w:val="single"/>
        </w:rPr>
        <w:t>Práva</w:t>
      </w:r>
      <w:proofErr w:type="spellEnd"/>
      <w:r>
        <w:rPr>
          <w:sz w:val="24"/>
          <w:u w:val="single"/>
        </w:rPr>
        <w:t xml:space="preserve"> k</w:t>
      </w:r>
      <w:r>
        <w:rPr>
          <w:spacing w:val="-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výsledkům</w:t>
      </w:r>
      <w:proofErr w:type="spellEnd"/>
      <w:r>
        <w:rPr>
          <w:sz w:val="24"/>
          <w:u w:val="single"/>
        </w:rPr>
        <w:t>:</w:t>
      </w:r>
    </w:p>
    <w:p w14:paraId="1EA48829" w14:textId="77777777" w:rsidR="00BD0757" w:rsidRDefault="00000000">
      <w:pPr>
        <w:pStyle w:val="Odstavecseseznamem"/>
        <w:numPr>
          <w:ilvl w:val="2"/>
          <w:numId w:val="3"/>
        </w:numPr>
        <w:tabs>
          <w:tab w:val="left" w:pos="1537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vyvinula</w:t>
      </w:r>
      <w:proofErr w:type="spellEnd"/>
      <w:r>
        <w:rPr>
          <w:sz w:val="24"/>
        </w:rPr>
        <w:t>.</w:t>
      </w:r>
    </w:p>
    <w:p w14:paraId="29085DF8" w14:textId="77777777" w:rsidR="00BD0757" w:rsidRDefault="00000000">
      <w:pPr>
        <w:pStyle w:val="Odstavecseseznamem"/>
        <w:numPr>
          <w:ilvl w:val="2"/>
          <w:numId w:val="3"/>
        </w:numPr>
        <w:tabs>
          <w:tab w:val="left" w:pos="1537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vytvoření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objektivně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podíly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rovné</w:t>
      </w:r>
      <w:proofErr w:type="spellEnd"/>
      <w:r>
        <w:rPr>
          <w:sz w:val="24"/>
        </w:rPr>
        <w:t>.</w:t>
      </w:r>
    </w:p>
    <w:p w14:paraId="4109BB1A" w14:textId="77777777" w:rsidR="00BD0757" w:rsidRDefault="00000000">
      <w:pPr>
        <w:pStyle w:val="Odstavecseseznamem"/>
        <w:numPr>
          <w:ilvl w:val="2"/>
          <w:numId w:val="3"/>
        </w:numPr>
        <w:tabs>
          <w:tab w:val="left" w:pos="1536"/>
          <w:tab w:val="left" w:pos="1537"/>
        </w:tabs>
        <w:spacing w:before="117"/>
        <w:ind w:right="0"/>
        <w:rPr>
          <w:sz w:val="24"/>
        </w:rPr>
      </w:pP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původců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odstavců</w:t>
      </w:r>
      <w:proofErr w:type="spellEnd"/>
      <w:r>
        <w:rPr>
          <w:spacing w:val="-38"/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>.</w:t>
      </w:r>
    </w:p>
    <w:p w14:paraId="2D5B9D47" w14:textId="77777777" w:rsidR="00BD0757" w:rsidRDefault="00000000">
      <w:pPr>
        <w:pStyle w:val="Odstavecseseznamem"/>
        <w:numPr>
          <w:ilvl w:val="1"/>
          <w:numId w:val="3"/>
        </w:numPr>
        <w:tabs>
          <w:tab w:val="left" w:pos="826"/>
          <w:tab w:val="left" w:pos="827"/>
        </w:tabs>
        <w:spacing w:before="120"/>
        <w:ind w:right="0"/>
        <w:rPr>
          <w:sz w:val="24"/>
        </w:rPr>
      </w:pPr>
      <w:proofErr w:type="spellStart"/>
      <w:r>
        <w:rPr>
          <w:sz w:val="24"/>
          <w:u w:val="single"/>
        </w:rPr>
        <w:t>Využití</w:t>
      </w:r>
      <w:proofErr w:type="spellEnd"/>
      <w:r>
        <w:rPr>
          <w:spacing w:val="-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výsledků</w:t>
      </w:r>
      <w:proofErr w:type="spellEnd"/>
      <w:r>
        <w:rPr>
          <w:sz w:val="24"/>
        </w:rPr>
        <w:t>:</w:t>
      </w:r>
    </w:p>
    <w:p w14:paraId="2EAD758D" w14:textId="77777777" w:rsidR="00BD0757" w:rsidRDefault="00000000">
      <w:pPr>
        <w:pStyle w:val="Odstavecseseznamem"/>
        <w:numPr>
          <w:ilvl w:val="2"/>
          <w:numId w:val="3"/>
        </w:numPr>
        <w:tabs>
          <w:tab w:val="left" w:pos="1537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nevýhradní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tržních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vlastněných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>.</w:t>
      </w:r>
    </w:p>
    <w:p w14:paraId="4F836402" w14:textId="77777777" w:rsidR="00BD0757" w:rsidRDefault="00000000">
      <w:pPr>
        <w:pStyle w:val="Odstavecseseznamem"/>
        <w:numPr>
          <w:ilvl w:val="2"/>
          <w:numId w:val="3"/>
        </w:numPr>
        <w:tabs>
          <w:tab w:val="left" w:pos="1537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 xml:space="preserve">, co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Komerčním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podlicence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nutno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Výnosy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plynoucí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využívání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vlastněných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.</w:t>
      </w:r>
    </w:p>
    <w:p w14:paraId="7EA08CFF" w14:textId="77777777" w:rsidR="00BD0757" w:rsidRDefault="00BD0757">
      <w:pPr>
        <w:jc w:val="both"/>
        <w:rPr>
          <w:sz w:val="24"/>
        </w:rPr>
        <w:sectPr w:rsidR="00BD0757">
          <w:pgSz w:w="11910" w:h="16850"/>
          <w:pgMar w:top="1200" w:right="1300" w:bottom="920" w:left="1300" w:header="0" w:footer="731" w:gutter="0"/>
          <w:cols w:space="708"/>
        </w:sectPr>
      </w:pPr>
    </w:p>
    <w:p w14:paraId="704DFE88" w14:textId="77777777" w:rsidR="00BD0757" w:rsidRDefault="00000000">
      <w:pPr>
        <w:pStyle w:val="Odstavecseseznamem"/>
        <w:numPr>
          <w:ilvl w:val="2"/>
          <w:numId w:val="3"/>
        </w:numPr>
        <w:tabs>
          <w:tab w:val="left" w:pos="1537"/>
        </w:tabs>
        <w:spacing w:before="74"/>
        <w:jc w:val="both"/>
        <w:rPr>
          <w:sz w:val="24"/>
        </w:rPr>
      </w:pPr>
      <w:proofErr w:type="spellStart"/>
      <w:r>
        <w:rPr>
          <w:sz w:val="24"/>
        </w:rPr>
        <w:lastRenderedPageBreak/>
        <w:t>Spoluvlastník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nepřijme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stejných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jakých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nabízen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32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>.</w:t>
      </w:r>
    </w:p>
    <w:p w14:paraId="7B2A96D2" w14:textId="77777777" w:rsidR="00BD0757" w:rsidRDefault="00000000">
      <w:pPr>
        <w:pStyle w:val="Odstavecseseznamem"/>
        <w:numPr>
          <w:ilvl w:val="1"/>
          <w:numId w:val="3"/>
        </w:numPr>
        <w:tabs>
          <w:tab w:val="left" w:pos="826"/>
          <w:tab w:val="left" w:pos="827"/>
        </w:tabs>
        <w:spacing w:before="120"/>
        <w:ind w:right="0"/>
        <w:rPr>
          <w:sz w:val="24"/>
        </w:rPr>
      </w:pPr>
      <w:proofErr w:type="spellStart"/>
      <w:r>
        <w:rPr>
          <w:sz w:val="24"/>
          <w:u w:val="single"/>
        </w:rPr>
        <w:t>Ochrana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duševního</w:t>
      </w:r>
      <w:proofErr w:type="spellEnd"/>
      <w:r>
        <w:rPr>
          <w:spacing w:val="-15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vlastnictví</w:t>
      </w:r>
      <w:proofErr w:type="spellEnd"/>
      <w:r>
        <w:rPr>
          <w:sz w:val="24"/>
        </w:rPr>
        <w:t>:</w:t>
      </w:r>
    </w:p>
    <w:p w14:paraId="2BE8FA64" w14:textId="77777777" w:rsidR="00BD0757" w:rsidRDefault="00000000">
      <w:pPr>
        <w:pStyle w:val="Odstavecseseznamem"/>
        <w:numPr>
          <w:ilvl w:val="2"/>
          <w:numId w:val="3"/>
        </w:numPr>
        <w:tabs>
          <w:tab w:val="left" w:pos="1537"/>
        </w:tabs>
        <w:spacing w:before="11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ujednávají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případ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výrobně-technický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poznatek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zkušenost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způsobilé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vynález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průmyslový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ochranná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známka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přihlášku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Úřadu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Praze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případně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mezinárodní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svou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povahou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obdobné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instituce</w:t>
      </w:r>
      <w:proofErr w:type="spellEnd"/>
      <w:r>
        <w:rPr>
          <w:sz w:val="24"/>
        </w:rPr>
        <w:t>).</w:t>
      </w:r>
    </w:p>
    <w:p w14:paraId="23DA8ACC" w14:textId="77777777" w:rsidR="00BD0757" w:rsidRDefault="00000000">
      <w:pPr>
        <w:pStyle w:val="Odstavecseseznamem"/>
        <w:numPr>
          <w:ilvl w:val="2"/>
          <w:numId w:val="3"/>
        </w:numPr>
        <w:tabs>
          <w:tab w:val="left" w:pos="1537"/>
        </w:tabs>
        <w:spacing w:before="120"/>
        <w:ind w:right="110"/>
        <w:jc w:val="both"/>
        <w:rPr>
          <w:sz w:val="24"/>
        </w:rPr>
      </w:pP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přihlášku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a to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spolumajiteli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institutu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spolumajiteli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použijí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získáním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podílejí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výnosech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převodu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vzoru</w:t>
      </w:r>
      <w:proofErr w:type="spellEnd"/>
      <w:r>
        <w:rPr>
          <w:sz w:val="24"/>
        </w:rPr>
        <w:t xml:space="preserve">, k </w:t>
      </w:r>
      <w:proofErr w:type="spellStart"/>
      <w:r>
        <w:rPr>
          <w:sz w:val="24"/>
        </w:rPr>
        <w:t>nabídce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zapotřebí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 ze 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 je 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samostatně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uplatňovat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nároky</w:t>
      </w:r>
      <w:proofErr w:type="spellEnd"/>
      <w:r>
        <w:rPr>
          <w:sz w:val="24"/>
        </w:rPr>
        <w:t xml:space="preserve">  z </w:t>
      </w:r>
      <w:proofErr w:type="spellStart"/>
      <w:r>
        <w:rPr>
          <w:sz w:val="24"/>
        </w:rPr>
        <w:t>prokazatelných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 k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předmětům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průmyslového</w:t>
      </w:r>
      <w:proofErr w:type="spellEnd"/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>.</w:t>
      </w:r>
    </w:p>
    <w:p w14:paraId="120B7DFE" w14:textId="77777777" w:rsidR="00BD0757" w:rsidRDefault="00000000">
      <w:pPr>
        <w:pStyle w:val="Odstavecseseznamem"/>
        <w:numPr>
          <w:ilvl w:val="1"/>
          <w:numId w:val="3"/>
        </w:numPr>
        <w:tabs>
          <w:tab w:val="left" w:pos="827"/>
        </w:tabs>
        <w:spacing w:before="120"/>
        <w:ind w:right="114"/>
        <w:jc w:val="both"/>
        <w:rPr>
          <w:sz w:val="24"/>
        </w:rPr>
      </w:pP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nebrání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tomu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upravily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vlastnická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užívací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>.</w:t>
      </w:r>
    </w:p>
    <w:p w14:paraId="5DED307E" w14:textId="77777777" w:rsidR="00BD0757" w:rsidRDefault="00BD0757">
      <w:pPr>
        <w:pStyle w:val="Zkladntext"/>
        <w:jc w:val="left"/>
        <w:rPr>
          <w:sz w:val="28"/>
        </w:rPr>
      </w:pPr>
    </w:p>
    <w:p w14:paraId="6F6A4CF4" w14:textId="77777777" w:rsidR="00BD0757" w:rsidRDefault="00000000">
      <w:pPr>
        <w:pStyle w:val="Nadpis2"/>
        <w:spacing w:before="231" w:line="274" w:lineRule="exact"/>
      </w:pPr>
      <w:bookmarkStart w:id="5" w:name="Vrácení_podpory_a_sankce"/>
      <w:bookmarkEnd w:id="5"/>
      <w:proofErr w:type="spellStart"/>
      <w:r>
        <w:t>Článek</w:t>
      </w:r>
      <w:proofErr w:type="spellEnd"/>
      <w:r>
        <w:t xml:space="preserve"> </w:t>
      </w:r>
      <w:proofErr w:type="gramStart"/>
      <w:r>
        <w:t>10</w:t>
      </w:r>
      <w:proofErr w:type="gramEnd"/>
      <w:r>
        <w:t>.</w:t>
      </w:r>
    </w:p>
    <w:p w14:paraId="5C171E28" w14:textId="77777777" w:rsidR="00BD0757" w:rsidRDefault="00000000">
      <w:pPr>
        <w:spacing w:line="274" w:lineRule="exact"/>
        <w:ind w:left="1374" w:right="1371"/>
        <w:jc w:val="center"/>
        <w:rPr>
          <w:b/>
          <w:sz w:val="24"/>
        </w:rPr>
      </w:pPr>
      <w:proofErr w:type="spellStart"/>
      <w:r>
        <w:rPr>
          <w:b/>
          <w:sz w:val="24"/>
        </w:rPr>
        <w:t>Vrácení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sankce</w:t>
      </w:r>
      <w:proofErr w:type="spellEnd"/>
    </w:p>
    <w:p w14:paraId="7DECC58F" w14:textId="77777777" w:rsidR="00BD0757" w:rsidRDefault="00000000">
      <w:pPr>
        <w:pStyle w:val="Odstavecseseznamem"/>
        <w:numPr>
          <w:ilvl w:val="1"/>
          <w:numId w:val="2"/>
        </w:numPr>
        <w:tabs>
          <w:tab w:val="left" w:pos="856"/>
        </w:tabs>
        <w:spacing w:before="121"/>
        <w:jc w:val="both"/>
        <w:rPr>
          <w:sz w:val="24"/>
        </w:rPr>
      </w:pP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uzavřenou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k</w:t>
      </w:r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7F6407C4" w14:textId="77777777" w:rsidR="00BD0757" w:rsidRDefault="00000000">
      <w:pPr>
        <w:pStyle w:val="Odstavecseseznamem"/>
        <w:numPr>
          <w:ilvl w:val="1"/>
          <w:numId w:val="2"/>
        </w:numPr>
        <w:tabs>
          <w:tab w:val="left" w:pos="856"/>
        </w:tabs>
        <w:spacing w:before="118"/>
        <w:ind w:right="112"/>
        <w:jc w:val="both"/>
        <w:rPr>
          <w:sz w:val="24"/>
        </w:rPr>
      </w:pP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nespotřebované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nesprávně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vztahují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účastníky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3B8ADE1E" w14:textId="77777777" w:rsidR="00BD0757" w:rsidRDefault="00000000">
      <w:pPr>
        <w:pStyle w:val="Odstavecseseznamem"/>
        <w:numPr>
          <w:ilvl w:val="1"/>
          <w:numId w:val="2"/>
        </w:numPr>
        <w:tabs>
          <w:tab w:val="left" w:pos="856"/>
        </w:tabs>
        <w:spacing w:before="120"/>
        <w:ind w:right="109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resp. pro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, a to do 10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zasláním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odůvodněné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námitky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obranné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vracení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orgánu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obraně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mimořádné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opravné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neodkládá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neodkládají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>.</w:t>
      </w:r>
    </w:p>
    <w:p w14:paraId="5977FEBC" w14:textId="77777777" w:rsidR="00BD0757" w:rsidRDefault="00000000">
      <w:pPr>
        <w:pStyle w:val="Odstavecseseznamem"/>
        <w:numPr>
          <w:ilvl w:val="1"/>
          <w:numId w:val="2"/>
        </w:numPr>
        <w:tabs>
          <w:tab w:val="left" w:pos="856"/>
        </w:tabs>
        <w:ind w:right="112"/>
        <w:jc w:val="both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závažné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vyplývajících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porušila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</w:p>
    <w:p w14:paraId="6B746A54" w14:textId="77777777" w:rsidR="00BD0757" w:rsidRDefault="00BD0757">
      <w:pPr>
        <w:jc w:val="both"/>
        <w:rPr>
          <w:sz w:val="24"/>
        </w:rPr>
        <w:sectPr w:rsidR="00BD0757">
          <w:pgSz w:w="11910" w:h="16850"/>
          <w:pgMar w:top="1200" w:right="1300" w:bottom="920" w:left="1300" w:header="0" w:footer="731" w:gutter="0"/>
          <w:cols w:space="708"/>
        </w:sectPr>
      </w:pPr>
    </w:p>
    <w:p w14:paraId="6C201844" w14:textId="77777777" w:rsidR="00BD0757" w:rsidRDefault="00000000">
      <w:pPr>
        <w:spacing w:before="74"/>
        <w:ind w:left="854" w:right="194"/>
        <w:jc w:val="both"/>
        <w:rPr>
          <w:sz w:val="24"/>
        </w:rPr>
      </w:pPr>
      <w:proofErr w:type="spellStart"/>
      <w:r>
        <w:rPr>
          <w:sz w:val="24"/>
        </w:rPr>
        <w:lastRenderedPageBreak/>
        <w:t>výši</w:t>
      </w:r>
      <w:proofErr w:type="spellEnd"/>
      <w:r>
        <w:rPr>
          <w:sz w:val="24"/>
        </w:rPr>
        <w:t xml:space="preserve"> 0,05 % z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3.000.000,-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. </w:t>
      </w: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uplatnění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nárok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požadovat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porušující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náhradu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, o </w:t>
      </w:r>
      <w:proofErr w:type="spellStart"/>
      <w:r>
        <w:rPr>
          <w:rFonts w:ascii="Arial" w:hAnsi="Arial"/>
          <w:sz w:val="20"/>
        </w:rPr>
        <w:t>kterou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vzniklá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vyjádřená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penězích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převyšuje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Hradí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pouze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přímé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žádná</w:t>
      </w:r>
      <w:proofErr w:type="spellEnd"/>
      <w:r>
        <w:rPr>
          <w:rFonts w:ascii="Arial" w:hAnsi="Arial"/>
          <w:sz w:val="20"/>
        </w:rPr>
        <w:t xml:space="preserve"> ze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nárok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náhradu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jiné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následných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ušlého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zisku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zvláštních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nepřímých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náhodných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</w:t>
      </w:r>
      <w:proofErr w:type="spellEnd"/>
      <w:r>
        <w:rPr>
          <w:sz w:val="24"/>
        </w:rPr>
        <w:t>.</w:t>
      </w:r>
    </w:p>
    <w:p w14:paraId="264FDD5E" w14:textId="77777777" w:rsidR="00BD0757" w:rsidRDefault="00BD0757">
      <w:pPr>
        <w:pStyle w:val="Zkladntext"/>
        <w:jc w:val="left"/>
        <w:rPr>
          <w:sz w:val="26"/>
        </w:rPr>
      </w:pPr>
    </w:p>
    <w:p w14:paraId="60EC31F1" w14:textId="77777777" w:rsidR="00BD0757" w:rsidRDefault="00BD0757">
      <w:pPr>
        <w:pStyle w:val="Zkladntext"/>
        <w:spacing w:before="10"/>
        <w:jc w:val="left"/>
        <w:rPr>
          <w:sz w:val="21"/>
        </w:rPr>
      </w:pPr>
    </w:p>
    <w:p w14:paraId="6044DFBD" w14:textId="77777777" w:rsidR="00BD0757" w:rsidRDefault="00000000">
      <w:pPr>
        <w:pStyle w:val="Nadpis2"/>
        <w:ind w:left="3099" w:right="3171"/>
      </w:pPr>
      <w:proofErr w:type="spellStart"/>
      <w:r>
        <w:t>Článek</w:t>
      </w:r>
      <w:proofErr w:type="spellEnd"/>
      <w:r>
        <w:t xml:space="preserve"> </w:t>
      </w:r>
      <w:proofErr w:type="gramStart"/>
      <w:r>
        <w:t>11</w:t>
      </w:r>
      <w:proofErr w:type="gramEnd"/>
      <w:r>
        <w:t>.</w:t>
      </w:r>
    </w:p>
    <w:p w14:paraId="4D4832CC" w14:textId="77777777" w:rsidR="00BD0757" w:rsidRDefault="00000000">
      <w:pPr>
        <w:ind w:left="3099" w:right="3175"/>
        <w:jc w:val="center"/>
        <w:rPr>
          <w:b/>
          <w:sz w:val="24"/>
        </w:rPr>
      </w:pPr>
      <w:proofErr w:type="spellStart"/>
      <w:r>
        <w:rPr>
          <w:b/>
          <w:sz w:val="24"/>
        </w:rPr>
        <w:t>Všeobecná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65D18D7B" w14:textId="77777777" w:rsidR="00BD0757" w:rsidRDefault="00000000">
      <w:pPr>
        <w:pStyle w:val="Odstavecseseznamem"/>
        <w:numPr>
          <w:ilvl w:val="1"/>
          <w:numId w:val="1"/>
        </w:numPr>
        <w:tabs>
          <w:tab w:val="left" w:pos="856"/>
        </w:tabs>
        <w:spacing w:before="58"/>
        <w:ind w:right="192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pravidel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</w:p>
    <w:p w14:paraId="332D8B90" w14:textId="77777777" w:rsidR="00BD0757" w:rsidRDefault="00000000">
      <w:pPr>
        <w:pStyle w:val="Odstavecseseznamem"/>
        <w:numPr>
          <w:ilvl w:val="1"/>
          <w:numId w:val="1"/>
        </w:numPr>
        <w:tabs>
          <w:tab w:val="left" w:pos="856"/>
        </w:tabs>
        <w:ind w:right="19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ujednávají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a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>.</w:t>
      </w:r>
    </w:p>
    <w:p w14:paraId="754FF205" w14:textId="77777777" w:rsidR="00BD0757" w:rsidRDefault="00000000">
      <w:pPr>
        <w:pStyle w:val="Odstavecseseznamem"/>
        <w:numPr>
          <w:ilvl w:val="1"/>
          <w:numId w:val="1"/>
        </w:numPr>
        <w:tabs>
          <w:tab w:val="left" w:pos="856"/>
        </w:tabs>
        <w:ind w:right="191"/>
        <w:jc w:val="both"/>
        <w:rPr>
          <w:sz w:val="24"/>
        </w:rPr>
      </w:pPr>
      <w:proofErr w:type="spellStart"/>
      <w:r>
        <w:rPr>
          <w:sz w:val="24"/>
        </w:rPr>
        <w:t>Zásady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zákoníkem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130/2002 Sb.,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17049A70" w14:textId="77777777" w:rsidR="00BD0757" w:rsidRDefault="00000000">
      <w:pPr>
        <w:pStyle w:val="Odstavecseseznamem"/>
        <w:numPr>
          <w:ilvl w:val="1"/>
          <w:numId w:val="1"/>
        </w:numPr>
        <w:tabs>
          <w:tab w:val="left" w:pos="855"/>
          <w:tab w:val="left" w:pos="856"/>
        </w:tabs>
        <w:ind w:right="0"/>
        <w:rPr>
          <w:sz w:val="24"/>
        </w:rPr>
      </w:pP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doplňky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>.</w:t>
      </w:r>
    </w:p>
    <w:p w14:paraId="26A56E77" w14:textId="77777777" w:rsidR="00BD0757" w:rsidRDefault="00000000">
      <w:pPr>
        <w:pStyle w:val="Odstavecseseznamem"/>
        <w:numPr>
          <w:ilvl w:val="1"/>
          <w:numId w:val="1"/>
        </w:numPr>
        <w:tabs>
          <w:tab w:val="left" w:pos="856"/>
        </w:tabs>
        <w:ind w:right="190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 do 180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(31. 12. 2026) </w:t>
      </w:r>
      <w:r>
        <w:rPr>
          <w:sz w:val="24"/>
        </w:rPr>
        <w:t xml:space="preserve">a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druhou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ujednávají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vybrán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pozbude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>.</w:t>
      </w:r>
    </w:p>
    <w:p w14:paraId="338B926A" w14:textId="77777777" w:rsidR="00BD0757" w:rsidRDefault="00000000">
      <w:pPr>
        <w:pStyle w:val="Odstavecseseznamem"/>
        <w:numPr>
          <w:ilvl w:val="1"/>
          <w:numId w:val="1"/>
        </w:numPr>
        <w:tabs>
          <w:tab w:val="left" w:pos="856"/>
        </w:tabs>
        <w:ind w:right="191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(2)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platností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</w:t>
      </w:r>
      <w:proofErr w:type="spellEnd"/>
      <w:r>
        <w:rPr>
          <w:sz w:val="24"/>
        </w:rPr>
        <w:t xml:space="preserve"> (1).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zaznamenány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zaručených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certifikátu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Podepsanou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.</w:t>
      </w:r>
    </w:p>
    <w:p w14:paraId="0C7CB56B" w14:textId="77777777" w:rsidR="00BD0757" w:rsidRDefault="00000000">
      <w:pPr>
        <w:pStyle w:val="Odstavecseseznamem"/>
        <w:numPr>
          <w:ilvl w:val="1"/>
          <w:numId w:val="1"/>
        </w:numPr>
        <w:tabs>
          <w:tab w:val="left" w:pos="856"/>
        </w:tabs>
        <w:ind w:right="19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seznámeny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srozuměny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celým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plynou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naopak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, bez </w:t>
      </w:r>
      <w:proofErr w:type="spellStart"/>
      <w:r>
        <w:rPr>
          <w:sz w:val="24"/>
        </w:rPr>
        <w:t>výhrad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přijímají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 xml:space="preserve"> se  k 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připojují</w:t>
      </w:r>
      <w:proofErr w:type="spellEnd"/>
      <w:r>
        <w:rPr>
          <w:sz w:val="24"/>
        </w:rPr>
        <w:t>.</w:t>
      </w:r>
    </w:p>
    <w:p w14:paraId="2748733C" w14:textId="77777777" w:rsidR="00BD0757" w:rsidRDefault="00BD0757">
      <w:pPr>
        <w:pStyle w:val="Zkladntext"/>
        <w:spacing w:before="3"/>
        <w:jc w:val="left"/>
        <w:rPr>
          <w:sz w:val="29"/>
        </w:rPr>
      </w:pPr>
    </w:p>
    <w:p w14:paraId="21798277" w14:textId="77777777" w:rsidR="00BD0757" w:rsidRDefault="00000000">
      <w:pPr>
        <w:pStyle w:val="Zkladntext"/>
        <w:ind w:left="118"/>
        <w:jc w:val="left"/>
      </w:pPr>
      <w:r>
        <w:pict w14:anchorId="281E3F8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70.9pt;margin-top:27.5pt;width:431.95pt;height:109.1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33"/>
                    <w:gridCol w:w="4806"/>
                  </w:tblGrid>
                  <w:tr w:rsidR="00BD0757" w14:paraId="06964D49" w14:textId="77777777">
                    <w:trPr>
                      <w:trHeight w:hRule="exact" w:val="2176"/>
                    </w:trPr>
                    <w:tc>
                      <w:tcPr>
                        <w:tcW w:w="3833" w:type="dxa"/>
                        <w:tcBorders>
                          <w:bottom w:val="single" w:sz="5" w:space="0" w:color="000000"/>
                        </w:tcBorders>
                      </w:tcPr>
                      <w:p w14:paraId="1E7B287B" w14:textId="77777777" w:rsidR="00BD0757" w:rsidRDefault="00000000">
                        <w:pPr>
                          <w:pStyle w:val="TableParagraph"/>
                          <w:spacing w:line="480" w:lineRule="auto"/>
                          <w:ind w:left="0" w:right="2685"/>
                          <w:rPr>
                            <w:rFonts w:ascii="Arial Narrow" w:hAnsi="Arial Narrow"/>
                            <w:sz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4"/>
                          </w:rPr>
                          <w:t>Brně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4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4"/>
                          </w:rPr>
                          <w:t xml:space="preserve">: za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>příjemce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4806" w:type="dxa"/>
                      </w:tcPr>
                      <w:p w14:paraId="75CCBADE" w14:textId="77777777" w:rsidR="00BD0757" w:rsidRDefault="00000000">
                        <w:pPr>
                          <w:pStyle w:val="TableParagraph"/>
                          <w:spacing w:line="275" w:lineRule="exact"/>
                          <w:rPr>
                            <w:rFonts w:ascii="Arial Narrow"/>
                            <w:sz w:val="24"/>
                          </w:rPr>
                        </w:pPr>
                        <w:r>
                          <w:rPr>
                            <w:rFonts w:ascii="Arial Narrow"/>
                            <w:sz w:val="24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Arial Narrow"/>
                            <w:sz w:val="24"/>
                          </w:rPr>
                          <w:t>Plzni</w:t>
                        </w:r>
                        <w:proofErr w:type="spellEnd"/>
                        <w:r>
                          <w:rPr>
                            <w:rFonts w:ascii="Arial Narrow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z w:val="24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 Narrow"/>
                            <w:sz w:val="24"/>
                          </w:rPr>
                          <w:t>:</w:t>
                        </w:r>
                      </w:p>
                      <w:p w14:paraId="4A29BBBA" w14:textId="77777777" w:rsidR="00BD0757" w:rsidRDefault="00BD0757">
                        <w:pPr>
                          <w:pStyle w:val="TableParagraph"/>
                          <w:spacing w:before="8"/>
                          <w:ind w:left="0"/>
                        </w:pPr>
                      </w:p>
                      <w:p w14:paraId="3E13A9C2" w14:textId="77777777" w:rsidR="00BD0757" w:rsidRDefault="00000000">
                        <w:pPr>
                          <w:pStyle w:val="TableParagraph"/>
                          <w:rPr>
                            <w:rFonts w:ascii="Arial Narrow" w:hAnsi="Arial Narrow"/>
                            <w:b/>
                            <w:sz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</w:rPr>
                          <w:t xml:space="preserve">za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>dalšího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>účastníka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>projektu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sz w:val="24"/>
                          </w:rPr>
                          <w:t>:</w:t>
                        </w:r>
                      </w:p>
                      <w:p w14:paraId="7CCAAE86" w14:textId="32AB27D9" w:rsidR="00BD0757" w:rsidRDefault="00000000">
                        <w:pPr>
                          <w:pStyle w:val="TableParagraph"/>
                          <w:tabs>
                            <w:tab w:val="left" w:pos="4605"/>
                          </w:tabs>
                          <w:spacing w:line="208" w:lineRule="exact"/>
                          <w:ind w:left="3124"/>
                          <w:rPr>
                            <w:sz w:val="19"/>
                          </w:rPr>
                        </w:pP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</w:p>
                    </w:tc>
                  </w:tr>
                </w:tbl>
                <w:p w14:paraId="4F1F8DB6" w14:textId="77777777" w:rsidR="00BD0757" w:rsidRDefault="00BD0757">
                  <w:pPr>
                    <w:pStyle w:val="Zkladntext"/>
                    <w:jc w:val="left"/>
                  </w:pPr>
                </w:p>
              </w:txbxContent>
            </v:textbox>
            <w10:wrap anchorx="page"/>
          </v:shape>
        </w:pict>
      </w:r>
      <w:proofErr w:type="spellStart"/>
      <w:r>
        <w:t>Příloha</w:t>
      </w:r>
      <w:proofErr w:type="spellEnd"/>
      <w:r>
        <w:t xml:space="preserve">: </w:t>
      </w:r>
      <w:proofErr w:type="spellStart"/>
      <w:r>
        <w:t>projektová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- „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EUREKA“</w:t>
      </w:r>
    </w:p>
    <w:p w14:paraId="4D8ED583" w14:textId="77777777" w:rsidR="00BD0757" w:rsidRDefault="00BD0757">
      <w:pPr>
        <w:pStyle w:val="Zkladntext"/>
        <w:jc w:val="left"/>
        <w:rPr>
          <w:sz w:val="28"/>
        </w:rPr>
      </w:pPr>
    </w:p>
    <w:p w14:paraId="7BA1EAF6" w14:textId="77777777" w:rsidR="00BD0757" w:rsidRDefault="00BD0757">
      <w:pPr>
        <w:pStyle w:val="Zkladntext"/>
        <w:jc w:val="left"/>
        <w:rPr>
          <w:sz w:val="28"/>
        </w:rPr>
      </w:pPr>
    </w:p>
    <w:p w14:paraId="0DBFE08C" w14:textId="77777777" w:rsidR="00BD0757" w:rsidRDefault="00BD0757">
      <w:pPr>
        <w:pStyle w:val="Zkladntext"/>
        <w:jc w:val="left"/>
        <w:rPr>
          <w:sz w:val="28"/>
        </w:rPr>
      </w:pPr>
    </w:p>
    <w:p w14:paraId="15161408" w14:textId="77777777" w:rsidR="00BD0757" w:rsidRDefault="00BD0757">
      <w:pPr>
        <w:pStyle w:val="Zkladntext"/>
        <w:spacing w:before="8"/>
        <w:jc w:val="left"/>
        <w:rPr>
          <w:sz w:val="22"/>
        </w:rPr>
      </w:pPr>
    </w:p>
    <w:p w14:paraId="0B0B4117" w14:textId="452A4D14" w:rsidR="00BD0757" w:rsidRDefault="00000000">
      <w:pPr>
        <w:spacing w:after="4"/>
        <w:ind w:left="8729"/>
        <w:rPr>
          <w:rFonts w:ascii="Calibri"/>
          <w:sz w:val="19"/>
        </w:rPr>
      </w:pPr>
      <w:r>
        <w:pict w14:anchorId="2B775A62">
          <v:shape id="_x0000_s2051" style="position:absolute;left:0;text-align:left;margin-left:386.95pt;margin-top:.45pt;width:59.65pt;height:59.25pt;z-index:1048;mso-position-horizontal-relative:page" coordorigin="7739,9" coordsize="1193,1185" o:spt="100" adj="0,,0" path="m7954,943r-104,68l7784,1076r-35,56l7739,1174r8,15l7753,1193r79,l7836,1191r-74,l7773,1147r38,-63l7874,1013r80,-70xm8249,9r-24,16l8213,62r-5,41l8208,133r1,27l8211,189r4,30l8220,251r6,31l8233,315r7,34l8249,382r-5,27l8228,455r-24,64l8173,594r-38,84l8093,767r-47,89l7998,942r-50,79l7898,1090r-48,53l7804,1178r-42,13l7836,1191r25,-15l7904,1135r49,-60l8009,996r62,-102l8082,891r-11,l8132,781r47,-92l8214,612r26,-64l8258,494r13,-45l8313,449r-1,-1l8287,378r9,-62l8271,316r-14,-53l8248,211r-6,-48l8241,119r,-18l8244,70r7,-32l8266,16r30,l8280,10,8249,9xm8901,888r-11,3l8881,897r-6,9l8872,918r,l8875,929r6,8l8890,943r11,3l8914,943r6,-4l8889,939r-11,-9l8878,904r11,-10l8920,894r-6,-3l8901,888xm8920,894r-4,l8925,904r,26l8916,939r4,l8924,937r6,-8l8932,918r,l8930,906r-6,-9l8920,894xm8910,898r-19,l8891,933r6,l8897,920r15,l8911,919r-3,-1l8915,915r-18,l8897,905r17,l8914,903r-4,-5xm8912,920r-8,l8906,924r2,3l8909,933r6,l8914,927r,-5l8912,920xm8914,905r-9,l8908,907r,7l8904,915r11,l8915,910r-1,-5xm8313,449r-42,l8323,558r55,80l8431,696r49,39l8520,761r-72,14l8373,791r-76,20l8221,834r-76,27l8071,891r11,l8145,871r80,-22l8309,831r85,-17l8480,801r85,-10l8656,791r-19,-8l8701,779r207,l8876,762r-46,-10l8583,752r-28,-16l8527,719r-27,-18l8474,682r-49,-48l8382,578r-38,-63l8313,449xm8656,791r-91,l8645,827r79,27l8796,872r61,5l8882,876r18,-5l8913,862r2,-4l8882,858r-48,-5l8774,837r-67,-24l8656,791xm8920,850r-9,3l8898,858r17,l8920,850xm8908,779r-131,l8850,786r54,18l8925,836r3,-8l8932,824r,-8l8917,784r-9,-5xm8729,744r-33,1l8661,747r-78,5l8830,752r-19,-4l8729,744xm8307,109r-6,35l8293,191r-9,57l8271,316r25,l8297,308r5,-66l8305,176r2,-67xm8296,16r-30,l8279,24r13,14l8302,58r5,29l8312,42,8302,19r-6,-3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49CCBC16" w14:textId="016D506A" w:rsidR="00BD0757" w:rsidRDefault="00BD0757">
      <w:pPr>
        <w:pStyle w:val="Zkladntext"/>
        <w:spacing w:line="229" w:lineRule="exact"/>
        <w:ind w:left="8773"/>
        <w:jc w:val="left"/>
        <w:rPr>
          <w:rFonts w:ascii="Calibri"/>
          <w:sz w:val="20"/>
        </w:rPr>
      </w:pPr>
    </w:p>
    <w:p w14:paraId="4E5882B1" w14:textId="77777777" w:rsidR="00BD0757" w:rsidRDefault="00BD0757">
      <w:pPr>
        <w:pStyle w:val="Zkladntext"/>
        <w:spacing w:before="7"/>
        <w:jc w:val="left"/>
        <w:rPr>
          <w:rFonts w:ascii="Calibri"/>
          <w:sz w:val="19"/>
        </w:rPr>
      </w:pPr>
    </w:p>
    <w:p w14:paraId="349A8CF4" w14:textId="4AC1298C" w:rsidR="00BD0757" w:rsidRDefault="00BD0757">
      <w:pPr>
        <w:ind w:right="109"/>
        <w:jc w:val="right"/>
        <w:rPr>
          <w:rFonts w:ascii="Calibri"/>
          <w:sz w:val="19"/>
        </w:rPr>
      </w:pPr>
    </w:p>
    <w:sectPr w:rsidR="00BD0757">
      <w:pgSz w:w="11910" w:h="16850"/>
      <w:pgMar w:top="1200" w:right="1220" w:bottom="920" w:left="1300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4DCD1" w14:textId="77777777" w:rsidR="00DB7CF1" w:rsidRDefault="00DB7CF1">
      <w:r>
        <w:separator/>
      </w:r>
    </w:p>
  </w:endnote>
  <w:endnote w:type="continuationSeparator" w:id="0">
    <w:p w14:paraId="2AD765AC" w14:textId="77777777" w:rsidR="00DB7CF1" w:rsidRDefault="00DB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B4ACA" w14:textId="77777777" w:rsidR="00BD0757" w:rsidRDefault="00000000">
    <w:pPr>
      <w:pStyle w:val="Zkladntext"/>
      <w:spacing w:line="14" w:lineRule="auto"/>
      <w:jc w:val="left"/>
      <w:rPr>
        <w:sz w:val="20"/>
      </w:rPr>
    </w:pPr>
    <w:r>
      <w:pict w14:anchorId="131B6E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2pt;margin-top:794.5pt;width:9pt;height:13.05pt;z-index:-251658752;mso-position-horizontal-relative:page;mso-position-vertical-relative:page" filled="f" stroked="f">
          <v:textbox inset="0,0,0,0">
            <w:txbxContent>
              <w:p w14:paraId="17C0402B" w14:textId="77777777" w:rsidR="00BD0757" w:rsidRDefault="00000000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04F85" w14:textId="77777777" w:rsidR="00DB7CF1" w:rsidRDefault="00DB7CF1">
      <w:r>
        <w:separator/>
      </w:r>
    </w:p>
  </w:footnote>
  <w:footnote w:type="continuationSeparator" w:id="0">
    <w:p w14:paraId="19142C36" w14:textId="77777777" w:rsidR="00DB7CF1" w:rsidRDefault="00DB7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42571"/>
    <w:multiLevelType w:val="multilevel"/>
    <w:tmpl w:val="417A619A"/>
    <w:lvl w:ilvl="0">
      <w:start w:val="3"/>
      <w:numFmt w:val="decimal"/>
      <w:lvlText w:val="%1"/>
      <w:lvlJc w:val="left"/>
      <w:pPr>
        <w:ind w:left="855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737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49" w:hanging="737"/>
      </w:pPr>
      <w:rPr>
        <w:rFonts w:hint="default"/>
      </w:rPr>
    </w:lvl>
    <w:lvl w:ilvl="3">
      <w:numFmt w:val="bullet"/>
      <w:lvlText w:val="•"/>
      <w:lvlJc w:val="left"/>
      <w:pPr>
        <w:ind w:left="3393" w:hanging="737"/>
      </w:pPr>
      <w:rPr>
        <w:rFonts w:hint="default"/>
      </w:rPr>
    </w:lvl>
    <w:lvl w:ilvl="4">
      <w:numFmt w:val="bullet"/>
      <w:lvlText w:val="•"/>
      <w:lvlJc w:val="left"/>
      <w:pPr>
        <w:ind w:left="4238" w:hanging="737"/>
      </w:pPr>
      <w:rPr>
        <w:rFonts w:hint="default"/>
      </w:rPr>
    </w:lvl>
    <w:lvl w:ilvl="5">
      <w:numFmt w:val="bullet"/>
      <w:lvlText w:val="•"/>
      <w:lvlJc w:val="left"/>
      <w:pPr>
        <w:ind w:left="5083" w:hanging="737"/>
      </w:pPr>
      <w:rPr>
        <w:rFonts w:hint="default"/>
      </w:rPr>
    </w:lvl>
    <w:lvl w:ilvl="6">
      <w:numFmt w:val="bullet"/>
      <w:lvlText w:val="•"/>
      <w:lvlJc w:val="left"/>
      <w:pPr>
        <w:ind w:left="5927" w:hanging="737"/>
      </w:pPr>
      <w:rPr>
        <w:rFonts w:hint="default"/>
      </w:rPr>
    </w:lvl>
    <w:lvl w:ilvl="7">
      <w:numFmt w:val="bullet"/>
      <w:lvlText w:val="•"/>
      <w:lvlJc w:val="left"/>
      <w:pPr>
        <w:ind w:left="6772" w:hanging="737"/>
      </w:pPr>
      <w:rPr>
        <w:rFonts w:hint="default"/>
      </w:rPr>
    </w:lvl>
    <w:lvl w:ilvl="8">
      <w:numFmt w:val="bullet"/>
      <w:lvlText w:val="•"/>
      <w:lvlJc w:val="left"/>
      <w:pPr>
        <w:ind w:left="7617" w:hanging="737"/>
      </w:pPr>
      <w:rPr>
        <w:rFonts w:hint="default"/>
      </w:rPr>
    </w:lvl>
  </w:abstractNum>
  <w:abstractNum w:abstractNumId="1" w15:restartNumberingAfterBreak="0">
    <w:nsid w:val="1E4273E0"/>
    <w:multiLevelType w:val="multilevel"/>
    <w:tmpl w:val="3BA45166"/>
    <w:lvl w:ilvl="0">
      <w:start w:val="8"/>
      <w:numFmt w:val="decimal"/>
      <w:lvlText w:val="%1"/>
      <w:lvlJc w:val="left"/>
      <w:pPr>
        <w:ind w:left="855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737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49" w:hanging="737"/>
      </w:pPr>
      <w:rPr>
        <w:rFonts w:hint="default"/>
      </w:rPr>
    </w:lvl>
    <w:lvl w:ilvl="3">
      <w:numFmt w:val="bullet"/>
      <w:lvlText w:val="•"/>
      <w:lvlJc w:val="left"/>
      <w:pPr>
        <w:ind w:left="3393" w:hanging="737"/>
      </w:pPr>
      <w:rPr>
        <w:rFonts w:hint="default"/>
      </w:rPr>
    </w:lvl>
    <w:lvl w:ilvl="4">
      <w:numFmt w:val="bullet"/>
      <w:lvlText w:val="•"/>
      <w:lvlJc w:val="left"/>
      <w:pPr>
        <w:ind w:left="4238" w:hanging="737"/>
      </w:pPr>
      <w:rPr>
        <w:rFonts w:hint="default"/>
      </w:rPr>
    </w:lvl>
    <w:lvl w:ilvl="5">
      <w:numFmt w:val="bullet"/>
      <w:lvlText w:val="•"/>
      <w:lvlJc w:val="left"/>
      <w:pPr>
        <w:ind w:left="5083" w:hanging="737"/>
      </w:pPr>
      <w:rPr>
        <w:rFonts w:hint="default"/>
      </w:rPr>
    </w:lvl>
    <w:lvl w:ilvl="6">
      <w:numFmt w:val="bullet"/>
      <w:lvlText w:val="•"/>
      <w:lvlJc w:val="left"/>
      <w:pPr>
        <w:ind w:left="5927" w:hanging="737"/>
      </w:pPr>
      <w:rPr>
        <w:rFonts w:hint="default"/>
      </w:rPr>
    </w:lvl>
    <w:lvl w:ilvl="7">
      <w:numFmt w:val="bullet"/>
      <w:lvlText w:val="•"/>
      <w:lvlJc w:val="left"/>
      <w:pPr>
        <w:ind w:left="6772" w:hanging="737"/>
      </w:pPr>
      <w:rPr>
        <w:rFonts w:hint="default"/>
      </w:rPr>
    </w:lvl>
    <w:lvl w:ilvl="8">
      <w:numFmt w:val="bullet"/>
      <w:lvlText w:val="•"/>
      <w:lvlJc w:val="left"/>
      <w:pPr>
        <w:ind w:left="7617" w:hanging="737"/>
      </w:pPr>
      <w:rPr>
        <w:rFonts w:hint="default"/>
      </w:rPr>
    </w:lvl>
  </w:abstractNum>
  <w:abstractNum w:abstractNumId="2" w15:restartNumberingAfterBreak="0">
    <w:nsid w:val="1F5B20BF"/>
    <w:multiLevelType w:val="multilevel"/>
    <w:tmpl w:val="D9C60940"/>
    <w:lvl w:ilvl="0">
      <w:start w:val="1"/>
      <w:numFmt w:val="decimal"/>
      <w:lvlText w:val="%1"/>
      <w:lvlJc w:val="left"/>
      <w:pPr>
        <w:ind w:left="826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30" w:hanging="708"/>
      </w:pPr>
      <w:rPr>
        <w:rFonts w:hint="default"/>
      </w:rPr>
    </w:lvl>
    <w:lvl w:ilvl="3">
      <w:numFmt w:val="bullet"/>
      <w:lvlText w:val="•"/>
      <w:lvlJc w:val="left"/>
      <w:pPr>
        <w:ind w:left="1285" w:hanging="708"/>
      </w:pPr>
      <w:rPr>
        <w:rFonts w:hint="default"/>
      </w:rPr>
    </w:lvl>
    <w:lvl w:ilvl="4">
      <w:numFmt w:val="bullet"/>
      <w:lvlText w:val="•"/>
      <w:lvlJc w:val="left"/>
      <w:pPr>
        <w:ind w:left="1440" w:hanging="708"/>
      </w:pPr>
      <w:rPr>
        <w:rFonts w:hint="default"/>
      </w:rPr>
    </w:lvl>
    <w:lvl w:ilvl="5">
      <w:numFmt w:val="bullet"/>
      <w:lvlText w:val="•"/>
      <w:lvlJc w:val="left"/>
      <w:pPr>
        <w:ind w:left="1595" w:hanging="708"/>
      </w:pPr>
      <w:rPr>
        <w:rFonts w:hint="default"/>
      </w:rPr>
    </w:lvl>
    <w:lvl w:ilvl="6">
      <w:numFmt w:val="bullet"/>
      <w:lvlText w:val="•"/>
      <w:lvlJc w:val="left"/>
      <w:pPr>
        <w:ind w:left="1750" w:hanging="708"/>
      </w:pPr>
      <w:rPr>
        <w:rFonts w:hint="default"/>
      </w:rPr>
    </w:lvl>
    <w:lvl w:ilvl="7">
      <w:numFmt w:val="bullet"/>
      <w:lvlText w:val="•"/>
      <w:lvlJc w:val="left"/>
      <w:pPr>
        <w:ind w:left="1906" w:hanging="708"/>
      </w:pPr>
      <w:rPr>
        <w:rFonts w:hint="default"/>
      </w:rPr>
    </w:lvl>
    <w:lvl w:ilvl="8">
      <w:numFmt w:val="bullet"/>
      <w:lvlText w:val="•"/>
      <w:lvlJc w:val="left"/>
      <w:pPr>
        <w:ind w:left="2061" w:hanging="708"/>
      </w:pPr>
      <w:rPr>
        <w:rFonts w:hint="default"/>
      </w:rPr>
    </w:lvl>
  </w:abstractNum>
  <w:abstractNum w:abstractNumId="3" w15:restartNumberingAfterBreak="0">
    <w:nsid w:val="21E20631"/>
    <w:multiLevelType w:val="multilevel"/>
    <w:tmpl w:val="5C46856E"/>
    <w:lvl w:ilvl="0">
      <w:start w:val="7"/>
      <w:numFmt w:val="decimal"/>
      <w:lvlText w:val="%1"/>
      <w:lvlJc w:val="left"/>
      <w:pPr>
        <w:ind w:left="826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17" w:hanging="708"/>
      </w:pPr>
      <w:rPr>
        <w:rFonts w:hint="default"/>
      </w:rPr>
    </w:lvl>
    <w:lvl w:ilvl="3">
      <w:numFmt w:val="bullet"/>
      <w:lvlText w:val="•"/>
      <w:lvlJc w:val="left"/>
      <w:pPr>
        <w:ind w:left="3365" w:hanging="708"/>
      </w:pPr>
      <w:rPr>
        <w:rFonts w:hint="default"/>
      </w:rPr>
    </w:lvl>
    <w:lvl w:ilvl="4">
      <w:numFmt w:val="bullet"/>
      <w:lvlText w:val="•"/>
      <w:lvlJc w:val="left"/>
      <w:pPr>
        <w:ind w:left="4214" w:hanging="708"/>
      </w:pPr>
      <w:rPr>
        <w:rFonts w:hint="default"/>
      </w:rPr>
    </w:lvl>
    <w:lvl w:ilvl="5">
      <w:numFmt w:val="bullet"/>
      <w:lvlText w:val="•"/>
      <w:lvlJc w:val="left"/>
      <w:pPr>
        <w:ind w:left="5063" w:hanging="708"/>
      </w:pPr>
      <w:rPr>
        <w:rFonts w:hint="default"/>
      </w:rPr>
    </w:lvl>
    <w:lvl w:ilvl="6">
      <w:numFmt w:val="bullet"/>
      <w:lvlText w:val="•"/>
      <w:lvlJc w:val="left"/>
      <w:pPr>
        <w:ind w:left="5911" w:hanging="708"/>
      </w:pPr>
      <w:rPr>
        <w:rFonts w:hint="default"/>
      </w:rPr>
    </w:lvl>
    <w:lvl w:ilvl="7"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numFmt w:val="bullet"/>
      <w:lvlText w:val="•"/>
      <w:lvlJc w:val="left"/>
      <w:pPr>
        <w:ind w:left="7609" w:hanging="708"/>
      </w:pPr>
      <w:rPr>
        <w:rFonts w:hint="default"/>
      </w:rPr>
    </w:lvl>
  </w:abstractNum>
  <w:abstractNum w:abstractNumId="4" w15:restartNumberingAfterBreak="0">
    <w:nsid w:val="2F6D1962"/>
    <w:multiLevelType w:val="multilevel"/>
    <w:tmpl w:val="E6B0AD46"/>
    <w:lvl w:ilvl="0">
      <w:start w:val="10"/>
      <w:numFmt w:val="decimal"/>
      <w:lvlText w:val="%1"/>
      <w:lvlJc w:val="left"/>
      <w:pPr>
        <w:ind w:left="855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737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49" w:hanging="737"/>
      </w:pPr>
      <w:rPr>
        <w:rFonts w:hint="default"/>
      </w:rPr>
    </w:lvl>
    <w:lvl w:ilvl="3">
      <w:numFmt w:val="bullet"/>
      <w:lvlText w:val="•"/>
      <w:lvlJc w:val="left"/>
      <w:pPr>
        <w:ind w:left="3393" w:hanging="737"/>
      </w:pPr>
      <w:rPr>
        <w:rFonts w:hint="default"/>
      </w:rPr>
    </w:lvl>
    <w:lvl w:ilvl="4">
      <w:numFmt w:val="bullet"/>
      <w:lvlText w:val="•"/>
      <w:lvlJc w:val="left"/>
      <w:pPr>
        <w:ind w:left="4238" w:hanging="737"/>
      </w:pPr>
      <w:rPr>
        <w:rFonts w:hint="default"/>
      </w:rPr>
    </w:lvl>
    <w:lvl w:ilvl="5">
      <w:numFmt w:val="bullet"/>
      <w:lvlText w:val="•"/>
      <w:lvlJc w:val="left"/>
      <w:pPr>
        <w:ind w:left="5083" w:hanging="737"/>
      </w:pPr>
      <w:rPr>
        <w:rFonts w:hint="default"/>
      </w:rPr>
    </w:lvl>
    <w:lvl w:ilvl="6">
      <w:numFmt w:val="bullet"/>
      <w:lvlText w:val="•"/>
      <w:lvlJc w:val="left"/>
      <w:pPr>
        <w:ind w:left="5927" w:hanging="737"/>
      </w:pPr>
      <w:rPr>
        <w:rFonts w:hint="default"/>
      </w:rPr>
    </w:lvl>
    <w:lvl w:ilvl="7">
      <w:numFmt w:val="bullet"/>
      <w:lvlText w:val="•"/>
      <w:lvlJc w:val="left"/>
      <w:pPr>
        <w:ind w:left="6772" w:hanging="737"/>
      </w:pPr>
      <w:rPr>
        <w:rFonts w:hint="default"/>
      </w:rPr>
    </w:lvl>
    <w:lvl w:ilvl="8">
      <w:numFmt w:val="bullet"/>
      <w:lvlText w:val="•"/>
      <w:lvlJc w:val="left"/>
      <w:pPr>
        <w:ind w:left="7617" w:hanging="737"/>
      </w:pPr>
      <w:rPr>
        <w:rFonts w:hint="default"/>
      </w:rPr>
    </w:lvl>
  </w:abstractNum>
  <w:abstractNum w:abstractNumId="5" w15:restartNumberingAfterBreak="0">
    <w:nsid w:val="39500148"/>
    <w:multiLevelType w:val="multilevel"/>
    <w:tmpl w:val="9D6CCED2"/>
    <w:lvl w:ilvl="0">
      <w:start w:val="6"/>
      <w:numFmt w:val="decimal"/>
      <w:lvlText w:val="%1"/>
      <w:lvlJc w:val="left"/>
      <w:pPr>
        <w:ind w:left="855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737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49" w:hanging="737"/>
      </w:pPr>
      <w:rPr>
        <w:rFonts w:hint="default"/>
      </w:rPr>
    </w:lvl>
    <w:lvl w:ilvl="3">
      <w:numFmt w:val="bullet"/>
      <w:lvlText w:val="•"/>
      <w:lvlJc w:val="left"/>
      <w:pPr>
        <w:ind w:left="3393" w:hanging="737"/>
      </w:pPr>
      <w:rPr>
        <w:rFonts w:hint="default"/>
      </w:rPr>
    </w:lvl>
    <w:lvl w:ilvl="4">
      <w:numFmt w:val="bullet"/>
      <w:lvlText w:val="•"/>
      <w:lvlJc w:val="left"/>
      <w:pPr>
        <w:ind w:left="4238" w:hanging="737"/>
      </w:pPr>
      <w:rPr>
        <w:rFonts w:hint="default"/>
      </w:rPr>
    </w:lvl>
    <w:lvl w:ilvl="5">
      <w:numFmt w:val="bullet"/>
      <w:lvlText w:val="•"/>
      <w:lvlJc w:val="left"/>
      <w:pPr>
        <w:ind w:left="5083" w:hanging="737"/>
      </w:pPr>
      <w:rPr>
        <w:rFonts w:hint="default"/>
      </w:rPr>
    </w:lvl>
    <w:lvl w:ilvl="6">
      <w:numFmt w:val="bullet"/>
      <w:lvlText w:val="•"/>
      <w:lvlJc w:val="left"/>
      <w:pPr>
        <w:ind w:left="5927" w:hanging="737"/>
      </w:pPr>
      <w:rPr>
        <w:rFonts w:hint="default"/>
      </w:rPr>
    </w:lvl>
    <w:lvl w:ilvl="7">
      <w:numFmt w:val="bullet"/>
      <w:lvlText w:val="•"/>
      <w:lvlJc w:val="left"/>
      <w:pPr>
        <w:ind w:left="6772" w:hanging="737"/>
      </w:pPr>
      <w:rPr>
        <w:rFonts w:hint="default"/>
      </w:rPr>
    </w:lvl>
    <w:lvl w:ilvl="8">
      <w:numFmt w:val="bullet"/>
      <w:lvlText w:val="•"/>
      <w:lvlJc w:val="left"/>
      <w:pPr>
        <w:ind w:left="7617" w:hanging="737"/>
      </w:pPr>
      <w:rPr>
        <w:rFonts w:hint="default"/>
      </w:rPr>
    </w:lvl>
  </w:abstractNum>
  <w:abstractNum w:abstractNumId="6" w15:restartNumberingAfterBreak="0">
    <w:nsid w:val="52990EB3"/>
    <w:multiLevelType w:val="multilevel"/>
    <w:tmpl w:val="46DA97FA"/>
    <w:lvl w:ilvl="0">
      <w:start w:val="9"/>
      <w:numFmt w:val="decimal"/>
      <w:lvlText w:val="%1"/>
      <w:lvlJc w:val="left"/>
      <w:pPr>
        <w:ind w:left="826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08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536" w:hanging="720"/>
        <w:jc w:val="left"/>
      </w:pPr>
      <w:rPr>
        <w:rFonts w:ascii="Arial Narrow" w:eastAsia="Arial Narrow" w:hAnsi="Arial Narrow" w:cs="Arial Narrow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265" w:hanging="720"/>
      </w:pPr>
      <w:rPr>
        <w:rFonts w:hint="default"/>
      </w:rPr>
    </w:lvl>
    <w:lvl w:ilvl="4">
      <w:numFmt w:val="bullet"/>
      <w:lvlText w:val="•"/>
      <w:lvlJc w:val="left"/>
      <w:pPr>
        <w:ind w:left="4128" w:hanging="720"/>
      </w:pPr>
      <w:rPr>
        <w:rFonts w:hint="default"/>
      </w:rPr>
    </w:lvl>
    <w:lvl w:ilvl="5">
      <w:numFmt w:val="bullet"/>
      <w:lvlText w:val="•"/>
      <w:lvlJc w:val="left"/>
      <w:pPr>
        <w:ind w:left="4991" w:hanging="720"/>
      </w:pPr>
      <w:rPr>
        <w:rFonts w:hint="default"/>
      </w:rPr>
    </w:lvl>
    <w:lvl w:ilvl="6">
      <w:numFmt w:val="bullet"/>
      <w:lvlText w:val="•"/>
      <w:lvlJc w:val="left"/>
      <w:pPr>
        <w:ind w:left="5854" w:hanging="720"/>
      </w:pPr>
      <w:rPr>
        <w:rFonts w:hint="default"/>
      </w:rPr>
    </w:lvl>
    <w:lvl w:ilvl="7">
      <w:numFmt w:val="bullet"/>
      <w:lvlText w:val="•"/>
      <w:lvlJc w:val="left"/>
      <w:pPr>
        <w:ind w:left="6717" w:hanging="720"/>
      </w:pPr>
      <w:rPr>
        <w:rFonts w:hint="default"/>
      </w:rPr>
    </w:lvl>
    <w:lvl w:ilvl="8">
      <w:numFmt w:val="bullet"/>
      <w:lvlText w:val="•"/>
      <w:lvlJc w:val="left"/>
      <w:pPr>
        <w:ind w:left="7580" w:hanging="720"/>
      </w:pPr>
      <w:rPr>
        <w:rFonts w:hint="default"/>
      </w:rPr>
    </w:lvl>
  </w:abstractNum>
  <w:abstractNum w:abstractNumId="7" w15:restartNumberingAfterBreak="0">
    <w:nsid w:val="545F136F"/>
    <w:multiLevelType w:val="multilevel"/>
    <w:tmpl w:val="6868CCA0"/>
    <w:lvl w:ilvl="0">
      <w:start w:val="4"/>
      <w:numFmt w:val="decimal"/>
      <w:lvlText w:val="%1"/>
      <w:lvlJc w:val="left"/>
      <w:pPr>
        <w:ind w:left="855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737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49" w:hanging="737"/>
      </w:pPr>
      <w:rPr>
        <w:rFonts w:hint="default"/>
      </w:rPr>
    </w:lvl>
    <w:lvl w:ilvl="3">
      <w:numFmt w:val="bullet"/>
      <w:lvlText w:val="•"/>
      <w:lvlJc w:val="left"/>
      <w:pPr>
        <w:ind w:left="3393" w:hanging="737"/>
      </w:pPr>
      <w:rPr>
        <w:rFonts w:hint="default"/>
      </w:rPr>
    </w:lvl>
    <w:lvl w:ilvl="4">
      <w:numFmt w:val="bullet"/>
      <w:lvlText w:val="•"/>
      <w:lvlJc w:val="left"/>
      <w:pPr>
        <w:ind w:left="4238" w:hanging="737"/>
      </w:pPr>
      <w:rPr>
        <w:rFonts w:hint="default"/>
      </w:rPr>
    </w:lvl>
    <w:lvl w:ilvl="5">
      <w:numFmt w:val="bullet"/>
      <w:lvlText w:val="•"/>
      <w:lvlJc w:val="left"/>
      <w:pPr>
        <w:ind w:left="5083" w:hanging="737"/>
      </w:pPr>
      <w:rPr>
        <w:rFonts w:hint="default"/>
      </w:rPr>
    </w:lvl>
    <w:lvl w:ilvl="6">
      <w:numFmt w:val="bullet"/>
      <w:lvlText w:val="•"/>
      <w:lvlJc w:val="left"/>
      <w:pPr>
        <w:ind w:left="5927" w:hanging="737"/>
      </w:pPr>
      <w:rPr>
        <w:rFonts w:hint="default"/>
      </w:rPr>
    </w:lvl>
    <w:lvl w:ilvl="7">
      <w:numFmt w:val="bullet"/>
      <w:lvlText w:val="•"/>
      <w:lvlJc w:val="left"/>
      <w:pPr>
        <w:ind w:left="6772" w:hanging="737"/>
      </w:pPr>
      <w:rPr>
        <w:rFonts w:hint="default"/>
      </w:rPr>
    </w:lvl>
    <w:lvl w:ilvl="8">
      <w:numFmt w:val="bullet"/>
      <w:lvlText w:val="•"/>
      <w:lvlJc w:val="left"/>
      <w:pPr>
        <w:ind w:left="7617" w:hanging="737"/>
      </w:pPr>
      <w:rPr>
        <w:rFonts w:hint="default"/>
      </w:rPr>
    </w:lvl>
  </w:abstractNum>
  <w:abstractNum w:abstractNumId="8" w15:restartNumberingAfterBreak="0">
    <w:nsid w:val="57232AF1"/>
    <w:multiLevelType w:val="multilevel"/>
    <w:tmpl w:val="1102F580"/>
    <w:lvl w:ilvl="0">
      <w:start w:val="5"/>
      <w:numFmt w:val="decimal"/>
      <w:lvlText w:val="%1"/>
      <w:lvlJc w:val="left"/>
      <w:pPr>
        <w:ind w:left="855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737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49" w:hanging="737"/>
      </w:pPr>
      <w:rPr>
        <w:rFonts w:hint="default"/>
      </w:rPr>
    </w:lvl>
    <w:lvl w:ilvl="3">
      <w:numFmt w:val="bullet"/>
      <w:lvlText w:val="•"/>
      <w:lvlJc w:val="left"/>
      <w:pPr>
        <w:ind w:left="3393" w:hanging="737"/>
      </w:pPr>
      <w:rPr>
        <w:rFonts w:hint="default"/>
      </w:rPr>
    </w:lvl>
    <w:lvl w:ilvl="4">
      <w:numFmt w:val="bullet"/>
      <w:lvlText w:val="•"/>
      <w:lvlJc w:val="left"/>
      <w:pPr>
        <w:ind w:left="4238" w:hanging="737"/>
      </w:pPr>
      <w:rPr>
        <w:rFonts w:hint="default"/>
      </w:rPr>
    </w:lvl>
    <w:lvl w:ilvl="5">
      <w:numFmt w:val="bullet"/>
      <w:lvlText w:val="•"/>
      <w:lvlJc w:val="left"/>
      <w:pPr>
        <w:ind w:left="5083" w:hanging="737"/>
      </w:pPr>
      <w:rPr>
        <w:rFonts w:hint="default"/>
      </w:rPr>
    </w:lvl>
    <w:lvl w:ilvl="6">
      <w:numFmt w:val="bullet"/>
      <w:lvlText w:val="•"/>
      <w:lvlJc w:val="left"/>
      <w:pPr>
        <w:ind w:left="5927" w:hanging="737"/>
      </w:pPr>
      <w:rPr>
        <w:rFonts w:hint="default"/>
      </w:rPr>
    </w:lvl>
    <w:lvl w:ilvl="7">
      <w:numFmt w:val="bullet"/>
      <w:lvlText w:val="•"/>
      <w:lvlJc w:val="left"/>
      <w:pPr>
        <w:ind w:left="6772" w:hanging="737"/>
      </w:pPr>
      <w:rPr>
        <w:rFonts w:hint="default"/>
      </w:rPr>
    </w:lvl>
    <w:lvl w:ilvl="8">
      <w:numFmt w:val="bullet"/>
      <w:lvlText w:val="•"/>
      <w:lvlJc w:val="left"/>
      <w:pPr>
        <w:ind w:left="7617" w:hanging="737"/>
      </w:pPr>
      <w:rPr>
        <w:rFonts w:hint="default"/>
      </w:rPr>
    </w:lvl>
  </w:abstractNum>
  <w:abstractNum w:abstractNumId="9" w15:restartNumberingAfterBreak="0">
    <w:nsid w:val="7CCA1B95"/>
    <w:multiLevelType w:val="multilevel"/>
    <w:tmpl w:val="B4A46DA0"/>
    <w:lvl w:ilvl="0">
      <w:start w:val="11"/>
      <w:numFmt w:val="decimal"/>
      <w:lvlText w:val="%1"/>
      <w:lvlJc w:val="left"/>
      <w:pPr>
        <w:ind w:left="855" w:hanging="7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737"/>
        <w:jc w:val="left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2565" w:hanging="737"/>
      </w:pPr>
      <w:rPr>
        <w:rFonts w:hint="default"/>
      </w:rPr>
    </w:lvl>
    <w:lvl w:ilvl="3">
      <w:numFmt w:val="bullet"/>
      <w:lvlText w:val="•"/>
      <w:lvlJc w:val="left"/>
      <w:pPr>
        <w:ind w:left="3417" w:hanging="737"/>
      </w:pPr>
      <w:rPr>
        <w:rFonts w:hint="default"/>
      </w:rPr>
    </w:lvl>
    <w:lvl w:ilvl="4">
      <w:numFmt w:val="bullet"/>
      <w:lvlText w:val="•"/>
      <w:lvlJc w:val="left"/>
      <w:pPr>
        <w:ind w:left="4270" w:hanging="737"/>
      </w:pPr>
      <w:rPr>
        <w:rFonts w:hint="default"/>
      </w:rPr>
    </w:lvl>
    <w:lvl w:ilvl="5">
      <w:numFmt w:val="bullet"/>
      <w:lvlText w:val="•"/>
      <w:lvlJc w:val="left"/>
      <w:pPr>
        <w:ind w:left="5123" w:hanging="737"/>
      </w:pPr>
      <w:rPr>
        <w:rFonts w:hint="default"/>
      </w:rPr>
    </w:lvl>
    <w:lvl w:ilvl="6">
      <w:numFmt w:val="bullet"/>
      <w:lvlText w:val="•"/>
      <w:lvlJc w:val="left"/>
      <w:pPr>
        <w:ind w:left="5975" w:hanging="737"/>
      </w:pPr>
      <w:rPr>
        <w:rFonts w:hint="default"/>
      </w:rPr>
    </w:lvl>
    <w:lvl w:ilvl="7">
      <w:numFmt w:val="bullet"/>
      <w:lvlText w:val="•"/>
      <w:lvlJc w:val="left"/>
      <w:pPr>
        <w:ind w:left="6828" w:hanging="737"/>
      </w:pPr>
      <w:rPr>
        <w:rFonts w:hint="default"/>
      </w:rPr>
    </w:lvl>
    <w:lvl w:ilvl="8">
      <w:numFmt w:val="bullet"/>
      <w:lvlText w:val="•"/>
      <w:lvlJc w:val="left"/>
      <w:pPr>
        <w:ind w:left="7681" w:hanging="737"/>
      </w:pPr>
      <w:rPr>
        <w:rFonts w:hint="default"/>
      </w:rPr>
    </w:lvl>
  </w:abstractNum>
  <w:num w:numId="1" w16cid:durableId="751926571">
    <w:abstractNumId w:val="9"/>
  </w:num>
  <w:num w:numId="2" w16cid:durableId="1591238457">
    <w:abstractNumId w:val="4"/>
  </w:num>
  <w:num w:numId="3" w16cid:durableId="1527015991">
    <w:abstractNumId w:val="6"/>
  </w:num>
  <w:num w:numId="4" w16cid:durableId="1668903696">
    <w:abstractNumId w:val="1"/>
  </w:num>
  <w:num w:numId="5" w16cid:durableId="1198394262">
    <w:abstractNumId w:val="3"/>
  </w:num>
  <w:num w:numId="6" w16cid:durableId="101927022">
    <w:abstractNumId w:val="5"/>
  </w:num>
  <w:num w:numId="7" w16cid:durableId="495808877">
    <w:abstractNumId w:val="8"/>
  </w:num>
  <w:num w:numId="8" w16cid:durableId="1884363042">
    <w:abstractNumId w:val="7"/>
  </w:num>
  <w:num w:numId="9" w16cid:durableId="1463428843">
    <w:abstractNumId w:val="0"/>
  </w:num>
  <w:num w:numId="10" w16cid:durableId="7059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757"/>
    <w:rsid w:val="0058197A"/>
    <w:rsid w:val="00BD0757"/>
    <w:rsid w:val="00CD3BF3"/>
    <w:rsid w:val="00D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7D37434"/>
  <w15:docId w15:val="{A020FFF5-7230-48BB-AC9B-07D272E3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</w:rPr>
  </w:style>
  <w:style w:type="paragraph" w:styleId="Nadpis1">
    <w:name w:val="heading 1"/>
    <w:basedOn w:val="Normln"/>
    <w:uiPriority w:val="9"/>
    <w:qFormat/>
    <w:pPr>
      <w:spacing w:before="81"/>
      <w:ind w:left="1374" w:right="137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74" w:right="1369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60"/>
      <w:ind w:left="855" w:right="111" w:hanging="73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77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2517</Words>
  <Characters>14856</Characters>
  <Application>Microsoft Office Word</Application>
  <DocSecurity>0</DocSecurity>
  <Lines>123</Lines>
  <Paragraphs>34</Paragraphs>
  <ScaleCrop>false</ScaleCrop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2024-08-28T13:30:00Z</dcterms:created>
  <dcterms:modified xsi:type="dcterms:W3CDTF">2024-08-28T11:31:00Z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2024-08-28T00:00:00Z</vt:filetime>
  </property>
</Properties>
</file>