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07.03.2022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81 467,00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11.07.2018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15.04.2020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78 948,00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10.06.2015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410 026,00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Okolí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1 601,11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420,57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05.05.2023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56 450,00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1 814,25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21.03.2023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31.03.2015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656 326,00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5 664,85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5 665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